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9.0 -->
  <w:background w:color="00b8ff">
    <v:background id="_x0000_s1025" filled="t" fillcolor="#00b8ff">
      <v:fill color2="black"/>
      <v:shadow color="black"/>
    </v:background>
  </w:background>
  <w:body>
    <w:p w:rsidR="00347110">
      <w:pPr>
        <w:pStyle w:val="Arial14"/>
      </w:pPr>
    </w:p>
    <w:p w:rsidR="00347110">
      <w:pPr>
        <w:pStyle w:val="Arial14"/>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4.11pt;height:153.07pt" filled="t" stroked="f">
            <v:fill color2="black" type="frame"/>
            <v:imagedata r:id="rId4" o:title=""/>
          </v:shape>
        </w:pict>
      </w:r>
    </w:p>
    <w:p w:rsidR="00347110">
      <w:pPr>
        <w:pStyle w:val="Arial14"/>
      </w:pPr>
      <w:r>
        <w:t xml:space="preserve"> 2026 - 2027</w:t>
      </w:r>
    </w:p>
    <w:p w:rsidR="00347110">
      <w:pPr>
        <w:jc w:val="center"/>
        <w:rPr>
          <w:sz w:val="28"/>
        </w:rPr>
      </w:pPr>
    </w:p>
    <w:p w:rsidR="00347110">
      <w:pPr>
        <w:jc w:val="center"/>
        <w:rPr>
          <w:sz w:val="28"/>
        </w:rPr>
      </w:pPr>
    </w:p>
    <w:p w:rsidR="00347110">
      <w:pPr>
        <w:jc w:val="center"/>
        <w:rPr>
          <w:sz w:val="48"/>
        </w:rPr>
      </w:pPr>
    </w:p>
    <w:p w:rsidR="00347110">
      <w:pPr>
        <w:pStyle w:val="Arial36"/>
      </w:pPr>
      <w:r>
        <w:t>PROTOKOLL</w:t>
      </w:r>
    </w:p>
    <w:p w:rsidR="00347110">
      <w:pPr>
        <w:pStyle w:val="Arial14"/>
      </w:pPr>
    </w:p>
    <w:p w:rsidR="00347110">
      <w:pPr>
        <w:pStyle w:val="Arial14"/>
      </w:pPr>
    </w:p>
    <w:p w:rsidR="00347110">
      <w:pPr>
        <w:pStyle w:val="Arial14"/>
      </w:pPr>
    </w:p>
    <w:p w:rsidR="00347110">
      <w:pPr>
        <w:pStyle w:val="Arial14"/>
      </w:pPr>
    </w:p>
    <w:p w:rsidR="00347110">
      <w:pPr>
        <w:pStyle w:val="Arial14"/>
      </w:pPr>
      <w:r>
        <w:t>der Sitzung vom</w:t>
      </w:r>
    </w:p>
    <w:p w:rsidR="00347110">
      <w:pPr>
        <w:pStyle w:val="Arial9"/>
      </w:pPr>
    </w:p>
    <w:p w:rsidR="00347110">
      <w:pPr>
        <w:pStyle w:val="Arial14B"/>
      </w:pPr>
      <w:r>
        <w:t>Donnerstag</w:t>
      </w:r>
    </w:p>
    <w:p w:rsidR="00347110">
      <w:pPr>
        <w:pStyle w:val="Arial9"/>
      </w:pPr>
    </w:p>
    <w:p w:rsidR="00347110">
      <w:pPr>
        <w:pStyle w:val="Arial14"/>
      </w:pPr>
      <w:r>
        <w:t>8. Oktober 2026</w:t>
      </w:r>
    </w:p>
    <w:p w:rsidR="00347110">
      <w:pPr>
        <w:pStyle w:val="Arial9"/>
      </w:pPr>
    </w:p>
    <w:p w:rsidR="00347110">
      <w:pPr>
        <w:pStyle w:val="Arial9"/>
      </w:pPr>
    </w:p>
    <w:p w:rsidR="00347110">
      <w:pPr>
        <w:jc w:val="center"/>
        <w:rPr>
          <w:sz w:val="48"/>
        </w:rPr>
      </w:pPr>
      <w:r>
        <w:pict>
          <v:shape id="_x0000_s1027" type="#_x0000_t75" style="width:311.75pt;height:99.15pt;margin-top:0;margin-left:85.05pt;mso-position-horizontal:center;mso-position-vertical:top;mso-position-vertical-relative:line;mso-wrap-distance-left:0;mso-wrap-distance-right:0;position:absolute;z-index:251658240" filled="t" stroked="f">
            <v:fill color2="black" type="frame"/>
            <v:imagedata r:id="rId5" o:title=""/>
            <w10:wrap type="topAndBottom"/>
          </v:shape>
        </w:pict>
      </w:r>
    </w:p>
    <w:p w:rsidR="00347110">
      <w:pPr>
        <w:jc w:val="center"/>
        <w:rPr>
          <w:sz w:val="48"/>
        </w:rPr>
      </w:pPr>
    </w:p>
    <w:p w:rsidR="00347110">
      <w:pPr>
        <w:pStyle w:val="Arial14B"/>
      </w:pPr>
    </w:p>
    <w:p w:rsidR="00347110">
      <w:pPr>
        <w:pStyle w:val="Arial9"/>
      </w:pPr>
    </w:p>
    <w:p w:rsidR="00347110">
      <w:pPr>
        <w:pStyle w:val="HorizontalLineSolid"/>
      </w:pPr>
    </w:p>
    <w:p w:rsidR="00347110">
      <w:pPr>
        <w:pStyle w:val="Arial9CoverPageReferences"/>
      </w:pPr>
      <w:r>
        <w:t>P10_PV(2026)10-08</w:t>
        <w:tab/>
        <w:tab/>
        <w:t>PE 796.718</w:t>
      </w:r>
    </w:p>
    <w:tbl>
      <w:tblPr>
        <w:tblStyle w:val="TableNormal"/>
        <w:tblW w:w="0" w:type="auto"/>
        <w:jc w:val="center"/>
        <w:tblLayout w:type="fixed"/>
        <w:tblCellMar>
          <w:left w:w="0" w:type="dxa"/>
          <w:right w:w="0" w:type="dxa"/>
        </w:tblCellMar>
        <w:tblLook w:val="0000"/>
      </w:tblPr>
      <w:tblGrid>
        <w:gridCol w:w="1135"/>
        <w:gridCol w:w="7370"/>
        <w:gridCol w:w="1132"/>
      </w:tblGrid>
      <w:tr>
        <w:tblPrEx>
          <w:tblW w:w="0" w:type="auto"/>
          <w:jc w:val="center"/>
          <w:tblLayout w:type="fixed"/>
          <w:tblLook w:val="0000"/>
        </w:tblPrEx>
        <w:trPr>
          <w:cantSplit/>
          <w:jc w:val="center"/>
        </w:trPr>
        <w:tc>
          <w:tcPr>
            <w:tcW w:w="1135" w:type="dxa"/>
          </w:tcPr>
          <w:p w:rsidR="00347110">
            <w:pPr>
              <w:pStyle w:val="TableContents"/>
              <w:rPr>
                <w:rFonts w:ascii="Arial" w:hAnsi="Arial"/>
                <w:b/>
                <w:bCs/>
                <w:sz w:val="48"/>
                <w:szCs w:val="48"/>
                <w:lang w:val="de-DE"/>
              </w:rPr>
            </w:pPr>
            <w:r>
              <w:rPr>
                <w:rFonts w:ascii="Arial" w:hAnsi="Arial"/>
                <w:b/>
                <w:bCs/>
                <w:sz w:val="48"/>
                <w:szCs w:val="48"/>
                <w:lang w:val="de-DE"/>
              </w:rPr>
              <w:t>DE</w:t>
            </w:r>
          </w:p>
        </w:tc>
        <w:tc>
          <w:tcPr>
            <w:tcW w:w="7370" w:type="dxa"/>
            <w:vAlign w:val="bottom"/>
          </w:tcPr>
          <w:p w:rsidR="00347110">
            <w:pPr>
              <w:pStyle w:val="TableContents"/>
              <w:jc w:val="center"/>
              <w:rPr>
                <w:i/>
                <w:iCs/>
                <w:sz w:val="32"/>
                <w:szCs w:val="32"/>
                <w:lang w:val="de-DE"/>
              </w:rPr>
            </w:pPr>
            <w:r>
              <w:rPr>
                <w:i/>
                <w:iCs/>
                <w:sz w:val="32"/>
                <w:szCs w:val="32"/>
                <w:lang w:val="de-DE"/>
              </w:rPr>
              <w:t>In Vielfalt geeint</w:t>
            </w:r>
          </w:p>
        </w:tc>
        <w:tc>
          <w:tcPr>
            <w:tcW w:w="1132" w:type="dxa"/>
          </w:tcPr>
          <w:p w:rsidR="00347110">
            <w:pPr>
              <w:pStyle w:val="TableContents"/>
              <w:jc w:val="right"/>
              <w:rPr>
                <w:rFonts w:ascii="Arial" w:hAnsi="Arial"/>
                <w:b/>
                <w:bCs/>
                <w:sz w:val="48"/>
                <w:szCs w:val="48"/>
                <w:lang w:val="de-DE"/>
              </w:rPr>
            </w:pPr>
            <w:r>
              <w:rPr>
                <w:rFonts w:ascii="Arial" w:hAnsi="Arial"/>
                <w:b/>
                <w:bCs/>
                <w:sz w:val="48"/>
                <w:szCs w:val="48"/>
                <w:lang w:val="de-DE"/>
              </w:rPr>
              <w:t>DE</w:t>
            </w:r>
          </w:p>
        </w:tc>
      </w:tr>
    </w:tbl>
    <w:p w:rsidR="00347110">
      <w:pPr>
        <w:rPr>
          <w:sz w:val="20"/>
          <w:szCs w:val="20"/>
          <w:lang w:val="de-DE"/>
        </w:rPr>
      </w:pPr>
      <w:r>
        <w:br w:type="page"/>
      </w:r>
    </w:p>
    <w:tbl>
      <w:tblPr>
        <w:tblStyle w:val="TableNormal"/>
        <w:tblW w:w="0" w:type="auto"/>
        <w:tblInd w:w="-15" w:type="dxa"/>
        <w:tblLayout w:type="fixed"/>
        <w:tblCellMar>
          <w:left w:w="0" w:type="dxa"/>
          <w:right w:w="0" w:type="dxa"/>
        </w:tblCellMar>
        <w:tblLook w:val="0000"/>
      </w:tblPr>
      <w:tblGrid>
        <w:gridCol w:w="1802"/>
        <w:gridCol w:w="7851"/>
      </w:tblGrid>
      <w:tr>
        <w:tblPrEx>
          <w:tblW w:w="0" w:type="auto"/>
          <w:tblInd w:w="-15" w:type="dxa"/>
          <w:tblLayout w:type="fixed"/>
          <w:tblLook w:val="0000"/>
        </w:tblPrEx>
        <w:trPr>
          <w:cantSplit/>
        </w:trPr>
        <w:tc>
          <w:tcPr>
            <w:tcW w:w="9653" w:type="dxa"/>
            <w:gridSpan w:val="2"/>
          </w:tcPr>
          <w:p w:rsidR="00347110">
            <w:pPr>
              <w:pStyle w:val="TableContents"/>
              <w:widowControl/>
              <w:spacing w:after="283"/>
              <w:jc w:val="center"/>
              <w:rPr>
                <w:sz w:val="20"/>
                <w:szCs w:val="20"/>
                <w:lang w:val="de-DE"/>
              </w:rPr>
            </w:pPr>
            <w:r>
              <w:rPr>
                <w:sz w:val="20"/>
                <w:szCs w:val="20"/>
                <w:lang w:val="de-DE"/>
              </w:rPr>
              <w:t>LEGENDE DER VERWENDETEN ZEICHEN</w:t>
              <w:br/>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w:t>
            </w:r>
          </w:p>
        </w:tc>
        <w:tc>
          <w:tcPr>
            <w:tcW w:w="7851" w:type="dxa"/>
          </w:tcPr>
          <w:p w:rsidR="00347110">
            <w:pPr>
              <w:spacing w:after="1"/>
              <w:rPr>
                <w:sz w:val="20"/>
                <w:lang w:val="de-DE"/>
              </w:rPr>
            </w:pPr>
            <w:r>
              <w:rPr>
                <w:sz w:val="20"/>
                <w:lang w:val="de-DE"/>
              </w:rPr>
              <w:t>Anhörungsverfahren</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w:t>
            </w:r>
          </w:p>
        </w:tc>
        <w:tc>
          <w:tcPr>
            <w:tcW w:w="7851" w:type="dxa"/>
          </w:tcPr>
          <w:p w:rsidR="00347110">
            <w:pPr>
              <w:spacing w:after="1"/>
              <w:rPr>
                <w:sz w:val="20"/>
                <w:lang w:val="de-DE"/>
              </w:rPr>
            </w:pPr>
            <w:r>
              <w:rPr>
                <w:sz w:val="20"/>
                <w:lang w:val="de-DE"/>
              </w:rPr>
              <w:t>Zustimmungsverfahren</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***I</w:t>
            </w:r>
          </w:p>
        </w:tc>
        <w:tc>
          <w:tcPr>
            <w:tcW w:w="7851" w:type="dxa"/>
          </w:tcPr>
          <w:p w:rsidR="00347110">
            <w:pPr>
              <w:spacing w:after="1"/>
              <w:rPr>
                <w:sz w:val="20"/>
                <w:lang w:val="de-DE"/>
              </w:rPr>
            </w:pPr>
            <w:r>
              <w:rPr>
                <w:sz w:val="20"/>
                <w:lang w:val="de-DE"/>
              </w:rPr>
              <w:t>Ordentliches Gesetzgebungsverfahren, erste Lesung</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***II</w:t>
            </w:r>
          </w:p>
        </w:tc>
        <w:tc>
          <w:tcPr>
            <w:tcW w:w="7851" w:type="dxa"/>
          </w:tcPr>
          <w:p w:rsidR="00347110">
            <w:pPr>
              <w:spacing w:after="1"/>
              <w:rPr>
                <w:sz w:val="20"/>
                <w:lang w:val="de-DE"/>
              </w:rPr>
            </w:pPr>
            <w:r>
              <w:rPr>
                <w:sz w:val="20"/>
                <w:lang w:val="de-DE"/>
              </w:rPr>
              <w:t>Ordentliches Gesetzgebungsverfahren, zweite Lesung</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***III</w:t>
            </w:r>
          </w:p>
        </w:tc>
        <w:tc>
          <w:tcPr>
            <w:tcW w:w="7851" w:type="dxa"/>
          </w:tcPr>
          <w:p w:rsidR="00347110">
            <w:pPr>
              <w:spacing w:after="1"/>
              <w:rPr>
                <w:sz w:val="20"/>
                <w:lang w:val="de-DE"/>
              </w:rPr>
            </w:pPr>
            <w:r>
              <w:rPr>
                <w:sz w:val="20"/>
                <w:lang w:val="de-DE"/>
              </w:rPr>
              <w:t>Ordentliches Gesetzgebungsverfahren, dritte Lesung</w:t>
            </w:r>
          </w:p>
        </w:tc>
      </w:tr>
      <w:tr>
        <w:tblPrEx>
          <w:tblW w:w="0" w:type="auto"/>
          <w:tblInd w:w="-15" w:type="dxa"/>
          <w:tblLayout w:type="fixed"/>
          <w:tblLook w:val="0000"/>
        </w:tblPrEx>
        <w:trPr>
          <w:cantSplit/>
        </w:trPr>
        <w:tc>
          <w:tcPr>
            <w:tcW w:w="9653" w:type="dxa"/>
            <w:gridSpan w:val="2"/>
          </w:tcPr>
          <w:p w:rsidR="00347110">
            <w:pPr>
              <w:spacing w:after="1"/>
              <w:rPr>
                <w:sz w:val="20"/>
                <w:lang w:val="de-DE"/>
              </w:rPr>
            </w:pPr>
            <w:r>
              <w:rPr>
                <w:sz w:val="20"/>
                <w:lang w:val="de-DE"/>
              </w:rPr>
              <w:t>(Das angegebene Verfahren entspricht der von der Kommission vorgeschlagenen Rechtsgrundlage.)</w:t>
            </w:r>
          </w:p>
        </w:tc>
      </w:tr>
      <w:tr>
        <w:tblPrEx>
          <w:tblW w:w="0" w:type="auto"/>
          <w:tblInd w:w="-15" w:type="dxa"/>
          <w:tblLayout w:type="fixed"/>
          <w:tblLook w:val="0000"/>
        </w:tblPrEx>
        <w:trPr>
          <w:cantSplit/>
        </w:trPr>
        <w:tc>
          <w:tcPr>
            <w:tcW w:w="9653" w:type="dxa"/>
            <w:gridSpan w:val="2"/>
          </w:tcPr>
          <w:p w:rsidR="00347110">
            <w:pPr>
              <w:spacing w:after="1"/>
              <w:rPr>
                <w:lang w:val="de-DE"/>
              </w:rPr>
            </w:pPr>
          </w:p>
        </w:tc>
      </w:tr>
      <w:tr>
        <w:tblPrEx>
          <w:tblW w:w="0" w:type="auto"/>
          <w:tblInd w:w="-15" w:type="dxa"/>
          <w:tblLayout w:type="fixed"/>
          <w:tblLook w:val="0000"/>
        </w:tblPrEx>
        <w:trPr>
          <w:cantSplit/>
        </w:trPr>
        <w:tc>
          <w:tcPr>
            <w:tcW w:w="9653" w:type="dxa"/>
            <w:gridSpan w:val="2"/>
          </w:tcPr>
          <w:p w:rsidR="00347110">
            <w:pPr>
              <w:spacing w:after="1"/>
              <w:rPr>
                <w:sz w:val="20"/>
                <w:lang w:val="de-DE"/>
              </w:rPr>
            </w:pPr>
          </w:p>
        </w:tc>
      </w:tr>
      <w:tr>
        <w:tblPrEx>
          <w:tblW w:w="0" w:type="auto"/>
          <w:tblInd w:w="-15" w:type="dxa"/>
          <w:tblLayout w:type="fixed"/>
          <w:tblLook w:val="0000"/>
        </w:tblPrEx>
        <w:trPr>
          <w:cantSplit/>
        </w:trPr>
        <w:tc>
          <w:tcPr>
            <w:tcW w:w="9653" w:type="dxa"/>
            <w:gridSpan w:val="2"/>
          </w:tcPr>
          <w:p w:rsidR="00347110">
            <w:pPr>
              <w:spacing w:after="1"/>
              <w:jc w:val="center"/>
              <w:rPr>
                <w:sz w:val="20"/>
                <w:szCs w:val="20"/>
                <w:lang w:val="de-DE"/>
              </w:rPr>
            </w:pPr>
            <w:r>
              <w:rPr>
                <w:sz w:val="20"/>
                <w:szCs w:val="20"/>
                <w:lang w:val="de-DE"/>
              </w:rPr>
              <w:t>ABKÜRZUNGEN DER</w:t>
            </w:r>
            <w:r>
              <w:rPr>
                <w:sz w:val="20"/>
                <w:szCs w:val="20"/>
                <w:lang w:val="de-DE"/>
              </w:rPr>
              <w:t xml:space="preserve"> AUSSCHÜSSE</w:t>
            </w:r>
          </w:p>
        </w:tc>
      </w:tr>
      <w:tr>
        <w:tblPrEx>
          <w:tblW w:w="0" w:type="auto"/>
          <w:tblInd w:w="-15" w:type="dxa"/>
          <w:tblLayout w:type="fixed"/>
          <w:tblLook w:val="0000"/>
        </w:tblPrEx>
        <w:trPr>
          <w:cantSplit/>
        </w:trPr>
        <w:tc>
          <w:tcPr>
            <w:tcW w:w="9653" w:type="dxa"/>
            <w:gridSpan w:val="2"/>
          </w:tcPr>
          <w:p w:rsidR="00347110">
            <w:pPr>
              <w:jc w:val="center"/>
              <w:rPr>
                <w:sz w:val="20"/>
                <w:szCs w:val="20"/>
                <w:lang w:val="de-DE"/>
              </w:rPr>
            </w:pP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AFET</w:t>
            </w:r>
          </w:p>
        </w:tc>
        <w:tc>
          <w:tcPr>
            <w:tcW w:w="7851" w:type="dxa"/>
          </w:tcPr>
          <w:p w:rsidR="00347110">
            <w:pPr>
              <w:spacing w:after="1"/>
              <w:rPr>
                <w:sz w:val="20"/>
                <w:szCs w:val="20"/>
                <w:lang w:val="de-DE"/>
              </w:rPr>
            </w:pPr>
            <w:r>
              <w:rPr>
                <w:sz w:val="20"/>
                <w:szCs w:val="20"/>
                <w:lang w:val="de-DE"/>
              </w:rPr>
              <w:t>Ausschuss für auswärtige Angelegenheiten</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SEDE</w:t>
            </w:r>
          </w:p>
        </w:tc>
        <w:tc>
          <w:tcPr>
            <w:tcW w:w="7851" w:type="dxa"/>
          </w:tcPr>
          <w:p w:rsidR="00347110">
            <w:pPr>
              <w:spacing w:after="1"/>
              <w:rPr>
                <w:sz w:val="20"/>
                <w:szCs w:val="20"/>
                <w:lang w:val="de-DE"/>
              </w:rPr>
            </w:pPr>
            <w:r>
              <w:rPr>
                <w:sz w:val="20"/>
                <w:szCs w:val="20"/>
                <w:lang w:val="de-DE"/>
              </w:rPr>
              <w:t>Ausschuss für Sicherheit und Verteidigung</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DEVE</w:t>
            </w:r>
          </w:p>
        </w:tc>
        <w:tc>
          <w:tcPr>
            <w:tcW w:w="7851" w:type="dxa"/>
          </w:tcPr>
          <w:p w:rsidR="00347110">
            <w:pPr>
              <w:spacing w:after="1"/>
              <w:rPr>
                <w:sz w:val="20"/>
                <w:szCs w:val="20"/>
                <w:lang w:val="de-DE"/>
              </w:rPr>
            </w:pPr>
            <w:r>
              <w:rPr>
                <w:sz w:val="20"/>
                <w:szCs w:val="20"/>
                <w:lang w:val="de-DE"/>
              </w:rPr>
              <w:t>Entwicklungsausschuss</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INTA</w:t>
            </w:r>
          </w:p>
        </w:tc>
        <w:tc>
          <w:tcPr>
            <w:tcW w:w="7851" w:type="dxa"/>
          </w:tcPr>
          <w:p w:rsidR="00347110">
            <w:pPr>
              <w:spacing w:after="1"/>
              <w:rPr>
                <w:sz w:val="20"/>
                <w:szCs w:val="20"/>
                <w:lang w:val="de-DE"/>
              </w:rPr>
            </w:pPr>
            <w:r>
              <w:rPr>
                <w:sz w:val="20"/>
                <w:szCs w:val="20"/>
                <w:lang w:val="de-DE"/>
              </w:rPr>
              <w:t>Ausschuss für internationalen Handel</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BUDG</w:t>
            </w:r>
          </w:p>
        </w:tc>
        <w:tc>
          <w:tcPr>
            <w:tcW w:w="7851" w:type="dxa"/>
          </w:tcPr>
          <w:p w:rsidR="00347110">
            <w:pPr>
              <w:spacing w:after="1"/>
              <w:rPr>
                <w:sz w:val="20"/>
                <w:szCs w:val="20"/>
                <w:lang w:val="de-DE"/>
              </w:rPr>
            </w:pPr>
            <w:r>
              <w:rPr>
                <w:sz w:val="20"/>
                <w:szCs w:val="20"/>
                <w:lang w:val="de-DE"/>
              </w:rPr>
              <w:t>Haushaltsausschuss</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CONT</w:t>
            </w:r>
          </w:p>
        </w:tc>
        <w:tc>
          <w:tcPr>
            <w:tcW w:w="7851" w:type="dxa"/>
          </w:tcPr>
          <w:p w:rsidR="00347110">
            <w:pPr>
              <w:spacing w:after="1"/>
              <w:rPr>
                <w:sz w:val="20"/>
                <w:szCs w:val="20"/>
                <w:lang w:val="de-DE"/>
              </w:rPr>
            </w:pPr>
            <w:r>
              <w:rPr>
                <w:sz w:val="20"/>
                <w:szCs w:val="20"/>
                <w:lang w:val="de-DE"/>
              </w:rPr>
              <w:t>Haushaltskontrollausschuss</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ECON</w:t>
            </w:r>
          </w:p>
        </w:tc>
        <w:tc>
          <w:tcPr>
            <w:tcW w:w="7851" w:type="dxa"/>
          </w:tcPr>
          <w:p w:rsidR="00347110">
            <w:pPr>
              <w:spacing w:after="1"/>
              <w:rPr>
                <w:sz w:val="20"/>
                <w:szCs w:val="20"/>
                <w:lang w:val="de-DE"/>
              </w:rPr>
            </w:pPr>
            <w:r>
              <w:rPr>
                <w:sz w:val="20"/>
                <w:szCs w:val="20"/>
                <w:lang w:val="de-DE"/>
              </w:rPr>
              <w:t>Ausschuss für Wirtschaft und Währung</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EMPL</w:t>
            </w:r>
          </w:p>
        </w:tc>
        <w:tc>
          <w:tcPr>
            <w:tcW w:w="7851" w:type="dxa"/>
          </w:tcPr>
          <w:p w:rsidR="00347110">
            <w:pPr>
              <w:spacing w:after="1"/>
              <w:rPr>
                <w:sz w:val="20"/>
                <w:szCs w:val="20"/>
                <w:lang w:val="de-DE"/>
              </w:rPr>
            </w:pPr>
            <w:r>
              <w:rPr>
                <w:sz w:val="20"/>
                <w:szCs w:val="20"/>
                <w:lang w:val="de-DE"/>
              </w:rPr>
              <w:t>Ausschuss für Beschäftigung und soziale Angelegenheiten</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ENVI</w:t>
            </w:r>
          </w:p>
        </w:tc>
        <w:tc>
          <w:tcPr>
            <w:tcW w:w="7851" w:type="dxa"/>
          </w:tcPr>
          <w:p w:rsidR="00347110">
            <w:pPr>
              <w:spacing w:after="1"/>
              <w:rPr>
                <w:sz w:val="20"/>
                <w:szCs w:val="20"/>
                <w:lang w:val="de-DE"/>
              </w:rPr>
            </w:pPr>
            <w:r>
              <w:rPr>
                <w:sz w:val="20"/>
                <w:szCs w:val="20"/>
                <w:lang w:val="de-DE"/>
              </w:rPr>
              <w:t>Ausschuss für Umwelt, Klima und Lebensmittelsicherheit</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 xml:space="preserve">SANT </w:t>
            </w:r>
          </w:p>
        </w:tc>
        <w:tc>
          <w:tcPr>
            <w:tcW w:w="7851" w:type="dxa"/>
          </w:tcPr>
          <w:p w:rsidR="00347110">
            <w:pPr>
              <w:spacing w:after="1"/>
              <w:rPr>
                <w:sz w:val="20"/>
                <w:szCs w:val="20"/>
                <w:lang w:val="de-DE"/>
              </w:rPr>
            </w:pPr>
            <w:r>
              <w:rPr>
                <w:sz w:val="20"/>
                <w:szCs w:val="20"/>
                <w:lang w:val="de-DE"/>
              </w:rPr>
              <w:t xml:space="preserve">Ausschuss für öffentliche Gesundheit </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ITRE</w:t>
            </w:r>
          </w:p>
        </w:tc>
        <w:tc>
          <w:tcPr>
            <w:tcW w:w="7851" w:type="dxa"/>
          </w:tcPr>
          <w:p w:rsidR="00347110">
            <w:pPr>
              <w:spacing w:after="1"/>
              <w:rPr>
                <w:sz w:val="20"/>
                <w:szCs w:val="20"/>
                <w:lang w:val="de-DE"/>
              </w:rPr>
            </w:pPr>
            <w:r>
              <w:rPr>
                <w:sz w:val="20"/>
                <w:szCs w:val="20"/>
                <w:lang w:val="de-DE"/>
              </w:rPr>
              <w:t>Ausschuss für Industrie, Forschung und Energie</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IMCO</w:t>
            </w:r>
          </w:p>
        </w:tc>
        <w:tc>
          <w:tcPr>
            <w:tcW w:w="7851" w:type="dxa"/>
          </w:tcPr>
          <w:p w:rsidR="00347110">
            <w:pPr>
              <w:spacing w:after="1"/>
              <w:rPr>
                <w:sz w:val="20"/>
                <w:szCs w:val="20"/>
                <w:lang w:val="de-DE"/>
              </w:rPr>
            </w:pPr>
            <w:r>
              <w:rPr>
                <w:sz w:val="20"/>
                <w:szCs w:val="20"/>
                <w:lang w:val="de-DE"/>
              </w:rPr>
              <w:t>Auss</w:t>
            </w:r>
            <w:r>
              <w:rPr>
                <w:sz w:val="20"/>
                <w:szCs w:val="20"/>
                <w:lang w:val="de-DE"/>
              </w:rPr>
              <w:t>chuss für Binnenmarkt und Verbraucherschutz</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TRAN</w:t>
            </w:r>
          </w:p>
        </w:tc>
        <w:tc>
          <w:tcPr>
            <w:tcW w:w="7851" w:type="dxa"/>
          </w:tcPr>
          <w:p w:rsidR="00347110">
            <w:pPr>
              <w:spacing w:after="1"/>
              <w:rPr>
                <w:sz w:val="20"/>
                <w:szCs w:val="20"/>
                <w:lang w:val="de-DE"/>
              </w:rPr>
            </w:pPr>
            <w:r>
              <w:rPr>
                <w:sz w:val="20"/>
                <w:szCs w:val="20"/>
                <w:lang w:val="de-DE"/>
              </w:rPr>
              <w:t>Ausschuss für Verkehr und Tourismus</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REGI</w:t>
            </w:r>
          </w:p>
        </w:tc>
        <w:tc>
          <w:tcPr>
            <w:tcW w:w="7851" w:type="dxa"/>
          </w:tcPr>
          <w:p w:rsidR="00347110">
            <w:pPr>
              <w:spacing w:after="1"/>
              <w:rPr>
                <w:sz w:val="20"/>
                <w:szCs w:val="20"/>
                <w:lang w:val="de-DE"/>
              </w:rPr>
            </w:pPr>
            <w:r>
              <w:rPr>
                <w:sz w:val="20"/>
                <w:szCs w:val="20"/>
                <w:lang w:val="de-DE"/>
              </w:rPr>
              <w:t>Ausschuss für regionale Entwicklung</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AGRI</w:t>
            </w:r>
          </w:p>
        </w:tc>
        <w:tc>
          <w:tcPr>
            <w:tcW w:w="7851" w:type="dxa"/>
          </w:tcPr>
          <w:p w:rsidR="00347110">
            <w:pPr>
              <w:spacing w:after="1"/>
              <w:rPr>
                <w:sz w:val="20"/>
                <w:szCs w:val="20"/>
                <w:lang w:val="de-DE"/>
              </w:rPr>
            </w:pPr>
            <w:r>
              <w:rPr>
                <w:sz w:val="20"/>
                <w:szCs w:val="20"/>
                <w:lang w:val="de-DE"/>
              </w:rPr>
              <w:t>Ausschuss für Landwirtschaft und ländliche Entwicklung</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PECH</w:t>
            </w:r>
          </w:p>
        </w:tc>
        <w:tc>
          <w:tcPr>
            <w:tcW w:w="7851" w:type="dxa"/>
          </w:tcPr>
          <w:p w:rsidR="00347110">
            <w:pPr>
              <w:spacing w:after="1"/>
              <w:rPr>
                <w:sz w:val="20"/>
                <w:szCs w:val="20"/>
                <w:lang w:val="de-DE"/>
              </w:rPr>
            </w:pPr>
            <w:r>
              <w:rPr>
                <w:sz w:val="20"/>
                <w:szCs w:val="20"/>
                <w:lang w:val="de-DE"/>
              </w:rPr>
              <w:t>Fischereiausschuss</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CULT</w:t>
            </w:r>
          </w:p>
        </w:tc>
        <w:tc>
          <w:tcPr>
            <w:tcW w:w="7851" w:type="dxa"/>
          </w:tcPr>
          <w:p w:rsidR="00347110">
            <w:pPr>
              <w:spacing w:after="1"/>
              <w:rPr>
                <w:sz w:val="20"/>
                <w:szCs w:val="20"/>
                <w:lang w:val="de-DE"/>
              </w:rPr>
            </w:pPr>
            <w:r>
              <w:rPr>
                <w:sz w:val="20"/>
                <w:szCs w:val="20"/>
                <w:lang w:val="de-DE"/>
              </w:rPr>
              <w:t>Ausschuss für Kultur und Bildung</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JURI</w:t>
            </w:r>
          </w:p>
        </w:tc>
        <w:tc>
          <w:tcPr>
            <w:tcW w:w="7851" w:type="dxa"/>
          </w:tcPr>
          <w:p w:rsidR="00347110">
            <w:pPr>
              <w:spacing w:after="1"/>
              <w:rPr>
                <w:sz w:val="20"/>
                <w:szCs w:val="20"/>
                <w:lang w:val="de-DE"/>
              </w:rPr>
            </w:pPr>
            <w:r>
              <w:rPr>
                <w:sz w:val="20"/>
                <w:szCs w:val="20"/>
                <w:lang w:val="de-DE"/>
              </w:rPr>
              <w:t>Rechtsausschuss</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LIBE</w:t>
            </w:r>
          </w:p>
        </w:tc>
        <w:tc>
          <w:tcPr>
            <w:tcW w:w="7851" w:type="dxa"/>
          </w:tcPr>
          <w:p w:rsidR="00347110">
            <w:pPr>
              <w:spacing w:after="1"/>
              <w:rPr>
                <w:sz w:val="20"/>
                <w:szCs w:val="20"/>
                <w:lang w:val="de-DE"/>
              </w:rPr>
            </w:pPr>
            <w:r>
              <w:rPr>
                <w:sz w:val="20"/>
                <w:szCs w:val="20"/>
                <w:lang w:val="de-DE"/>
              </w:rPr>
              <w:t>Ausschuss für bürgerliche Freiheiten, Justiz und Inneres</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AFCO</w:t>
            </w:r>
          </w:p>
        </w:tc>
        <w:tc>
          <w:tcPr>
            <w:tcW w:w="7851" w:type="dxa"/>
          </w:tcPr>
          <w:p w:rsidR="00347110">
            <w:pPr>
              <w:spacing w:after="1"/>
              <w:rPr>
                <w:sz w:val="20"/>
                <w:szCs w:val="20"/>
                <w:lang w:val="de-DE"/>
              </w:rPr>
            </w:pPr>
            <w:r>
              <w:rPr>
                <w:sz w:val="20"/>
                <w:szCs w:val="20"/>
                <w:lang w:val="de-DE"/>
              </w:rPr>
              <w:t>Ausschuss für konstitutionelle Fragen</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FEMM</w:t>
            </w:r>
          </w:p>
        </w:tc>
        <w:tc>
          <w:tcPr>
            <w:tcW w:w="7851" w:type="dxa"/>
          </w:tcPr>
          <w:p w:rsidR="00347110">
            <w:pPr>
              <w:spacing w:after="1"/>
              <w:rPr>
                <w:sz w:val="20"/>
                <w:szCs w:val="20"/>
                <w:lang w:val="de-DE"/>
              </w:rPr>
            </w:pPr>
            <w:r>
              <w:rPr>
                <w:sz w:val="20"/>
                <w:szCs w:val="20"/>
                <w:lang w:val="de-DE"/>
              </w:rPr>
              <w:t>Ausschuss für die Rechte der Frauen und die Gleichstellung der Geschlechter</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PETI</w:t>
            </w:r>
          </w:p>
        </w:tc>
        <w:tc>
          <w:tcPr>
            <w:tcW w:w="7851" w:type="dxa"/>
          </w:tcPr>
          <w:p w:rsidR="00347110">
            <w:pPr>
              <w:spacing w:after="1"/>
              <w:rPr>
                <w:sz w:val="20"/>
                <w:szCs w:val="20"/>
                <w:lang w:val="de-DE"/>
              </w:rPr>
            </w:pPr>
            <w:r>
              <w:rPr>
                <w:sz w:val="20"/>
                <w:szCs w:val="20"/>
                <w:lang w:val="de-DE"/>
              </w:rPr>
              <w:t>Petitionsausschuss</w:t>
            </w:r>
          </w:p>
        </w:tc>
      </w:tr>
      <w:tr>
        <w:tblPrEx>
          <w:tblW w:w="0" w:type="auto"/>
          <w:tblInd w:w="-15" w:type="dxa"/>
          <w:tblLayout w:type="fixed"/>
          <w:tblLook w:val="0000"/>
        </w:tblPrEx>
        <w:trPr>
          <w:cantSplit/>
        </w:trPr>
        <w:tc>
          <w:tcPr>
            <w:tcW w:w="1802" w:type="dxa"/>
          </w:tcPr>
          <w:p w:rsidR="00347110">
            <w:pPr>
              <w:spacing w:after="1"/>
              <w:rPr>
                <w:sz w:val="20"/>
                <w:szCs w:val="20"/>
                <w:lang w:val="de-DE"/>
              </w:rPr>
            </w:pPr>
          </w:p>
        </w:tc>
        <w:tc>
          <w:tcPr>
            <w:tcW w:w="7851" w:type="dxa"/>
          </w:tcPr>
          <w:p w:rsidR="00347110">
            <w:pPr>
              <w:spacing w:after="1"/>
              <w:rPr>
                <w:sz w:val="20"/>
                <w:szCs w:val="20"/>
                <w:lang w:val="de-DE"/>
              </w:rPr>
            </w:pP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EUDS</w:t>
            </w:r>
          </w:p>
        </w:tc>
        <w:tc>
          <w:tcPr>
            <w:tcW w:w="7851" w:type="dxa"/>
          </w:tcPr>
          <w:p w:rsidR="00347110">
            <w:pPr>
              <w:spacing w:after="1"/>
              <w:rPr>
                <w:sz w:val="20"/>
                <w:szCs w:val="20"/>
                <w:lang w:val="de-DE" w:eastAsia="ar-SA"/>
              </w:rPr>
            </w:pPr>
            <w:r>
              <w:rPr>
                <w:sz w:val="20"/>
                <w:szCs w:val="20"/>
                <w:lang w:val="de-DE" w:eastAsia="ar-SA"/>
              </w:rPr>
              <w:t>Sonderausschus</w:t>
            </w:r>
            <w:r>
              <w:rPr>
                <w:sz w:val="20"/>
                <w:szCs w:val="20"/>
                <w:lang w:val="de-DE" w:eastAsia="ar-SA"/>
              </w:rPr>
              <w:t>s für den Europäischen Schutzschild für die Demokratie</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HOUS</w:t>
            </w:r>
          </w:p>
        </w:tc>
        <w:tc>
          <w:tcPr>
            <w:tcW w:w="7851" w:type="dxa"/>
          </w:tcPr>
          <w:p w:rsidR="00347110">
            <w:pPr>
              <w:spacing w:after="1"/>
              <w:rPr>
                <w:sz w:val="20"/>
                <w:szCs w:val="20"/>
                <w:lang w:val="de-DE" w:eastAsia="ar-SA"/>
              </w:rPr>
            </w:pPr>
            <w:r>
              <w:rPr>
                <w:sz w:val="20"/>
                <w:szCs w:val="20"/>
                <w:lang w:val="de-DE" w:eastAsia="ar-SA"/>
              </w:rPr>
              <w:t>Sonderausschuss zur Wohnraumkrise in der Europäischen Union</w:t>
            </w:r>
          </w:p>
        </w:tc>
      </w:tr>
      <w:tr>
        <w:tblPrEx>
          <w:tblW w:w="0" w:type="auto"/>
          <w:tblInd w:w="-15" w:type="dxa"/>
          <w:tblLayout w:type="fixed"/>
          <w:tblLook w:val="0000"/>
        </w:tblPrEx>
        <w:trPr>
          <w:cantSplit/>
        </w:trPr>
        <w:tc>
          <w:tcPr>
            <w:tcW w:w="1802" w:type="dxa"/>
          </w:tcPr>
          <w:p w:rsidR="00347110">
            <w:pPr>
              <w:spacing w:after="1"/>
              <w:rPr>
                <w:sz w:val="20"/>
                <w:szCs w:val="20"/>
                <w:lang w:val="de-DE"/>
              </w:rPr>
            </w:pPr>
          </w:p>
        </w:tc>
        <w:tc>
          <w:tcPr>
            <w:tcW w:w="7851" w:type="dxa"/>
          </w:tcPr>
          <w:p w:rsidR="00347110">
            <w:pPr>
              <w:spacing w:after="1"/>
              <w:rPr>
                <w:sz w:val="20"/>
                <w:szCs w:val="20"/>
                <w:lang w:val="de-DE"/>
              </w:rPr>
            </w:pP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DROI</w:t>
            </w:r>
          </w:p>
        </w:tc>
        <w:tc>
          <w:tcPr>
            <w:tcW w:w="7851" w:type="dxa"/>
          </w:tcPr>
          <w:p w:rsidR="00347110">
            <w:pPr>
              <w:spacing w:after="1"/>
              <w:rPr>
                <w:sz w:val="20"/>
                <w:szCs w:val="20"/>
                <w:lang w:val="de-DE"/>
              </w:rPr>
            </w:pPr>
            <w:r>
              <w:rPr>
                <w:sz w:val="20"/>
                <w:szCs w:val="20"/>
                <w:lang w:val="de-DE"/>
              </w:rPr>
              <w:t>Unterausschuss Menschenrechte</w:t>
            </w:r>
          </w:p>
        </w:tc>
      </w:tr>
      <w:tr>
        <w:tblPrEx>
          <w:tblW w:w="0" w:type="auto"/>
          <w:tblInd w:w="-15" w:type="dxa"/>
          <w:tblLayout w:type="fixed"/>
          <w:tblLook w:val="0000"/>
        </w:tblPrEx>
        <w:trPr>
          <w:cantSplit/>
        </w:trPr>
        <w:tc>
          <w:tcPr>
            <w:tcW w:w="1802" w:type="dxa"/>
          </w:tcPr>
          <w:p w:rsidR="00347110">
            <w:pPr>
              <w:spacing w:after="1"/>
              <w:rPr>
                <w:sz w:val="20"/>
                <w:szCs w:val="20"/>
                <w:lang w:val="de-DE"/>
              </w:rPr>
            </w:pPr>
            <w:r>
              <w:rPr>
                <w:sz w:val="20"/>
                <w:szCs w:val="20"/>
                <w:lang w:val="de-DE"/>
              </w:rPr>
              <w:t>FISC</w:t>
            </w:r>
          </w:p>
        </w:tc>
        <w:tc>
          <w:tcPr>
            <w:tcW w:w="7851" w:type="dxa"/>
          </w:tcPr>
          <w:p w:rsidR="00347110">
            <w:pPr>
              <w:spacing w:after="1"/>
              <w:rPr>
                <w:sz w:val="20"/>
                <w:szCs w:val="20"/>
                <w:lang w:val="de-DE"/>
              </w:rPr>
            </w:pPr>
            <w:r>
              <w:rPr>
                <w:sz w:val="20"/>
                <w:szCs w:val="20"/>
                <w:lang w:val="de-DE"/>
              </w:rPr>
              <w:t>Unterausschuss für Steuerfragen</w:t>
            </w:r>
          </w:p>
        </w:tc>
      </w:tr>
      <w:tr>
        <w:tblPrEx>
          <w:tblW w:w="0" w:type="auto"/>
          <w:tblInd w:w="-15" w:type="dxa"/>
          <w:tblLayout w:type="fixed"/>
          <w:tblLook w:val="0000"/>
        </w:tblPrEx>
        <w:trPr>
          <w:cantSplit/>
        </w:trPr>
        <w:tc>
          <w:tcPr>
            <w:tcW w:w="1802" w:type="dxa"/>
          </w:tcPr>
          <w:p w:rsidR="00347110">
            <w:pPr>
              <w:spacing w:after="1"/>
              <w:rPr>
                <w:sz w:val="20"/>
                <w:lang w:val="de-DE"/>
              </w:rPr>
            </w:pPr>
          </w:p>
        </w:tc>
        <w:tc>
          <w:tcPr>
            <w:tcW w:w="7851" w:type="dxa"/>
          </w:tcPr>
          <w:p w:rsidR="00347110">
            <w:pPr>
              <w:spacing w:after="1"/>
              <w:rPr>
                <w:sz w:val="20"/>
                <w:lang w:val="de-DE"/>
              </w:rPr>
            </w:pPr>
          </w:p>
        </w:tc>
      </w:tr>
      <w:tr>
        <w:tblPrEx>
          <w:tblW w:w="0" w:type="auto"/>
          <w:tblInd w:w="-15" w:type="dxa"/>
          <w:tblLayout w:type="fixed"/>
          <w:tblLook w:val="0000"/>
        </w:tblPrEx>
        <w:trPr>
          <w:cantSplit/>
        </w:trPr>
        <w:tc>
          <w:tcPr>
            <w:tcW w:w="1802" w:type="dxa"/>
          </w:tcPr>
          <w:p w:rsidR="00347110">
            <w:pPr>
              <w:spacing w:after="1"/>
              <w:rPr>
                <w:sz w:val="20"/>
                <w:lang w:val="de-DE"/>
              </w:rPr>
            </w:pPr>
          </w:p>
        </w:tc>
        <w:tc>
          <w:tcPr>
            <w:tcW w:w="7851" w:type="dxa"/>
          </w:tcPr>
          <w:p w:rsidR="00347110">
            <w:pPr>
              <w:spacing w:after="1"/>
              <w:rPr>
                <w:sz w:val="20"/>
                <w:lang w:val="de-DE"/>
              </w:rPr>
            </w:pPr>
          </w:p>
        </w:tc>
      </w:tr>
      <w:tr>
        <w:tblPrEx>
          <w:tblW w:w="0" w:type="auto"/>
          <w:tblInd w:w="-15" w:type="dxa"/>
          <w:tblLayout w:type="fixed"/>
          <w:tblLook w:val="0000"/>
        </w:tblPrEx>
        <w:trPr>
          <w:cantSplit/>
        </w:trPr>
        <w:tc>
          <w:tcPr>
            <w:tcW w:w="9653" w:type="dxa"/>
            <w:gridSpan w:val="2"/>
          </w:tcPr>
          <w:p w:rsidR="00347110">
            <w:pPr>
              <w:spacing w:after="141" w:line="360" w:lineRule="auto"/>
              <w:jc w:val="center"/>
              <w:rPr>
                <w:sz w:val="20"/>
                <w:szCs w:val="20"/>
                <w:lang w:val="de-DE"/>
              </w:rPr>
            </w:pPr>
            <w:r>
              <w:rPr>
                <w:sz w:val="20"/>
                <w:szCs w:val="20"/>
                <w:lang w:val="de-DE"/>
              </w:rPr>
              <w:t>ABKÜRZUNGEN DER FRAKTIONEN</w:t>
            </w:r>
          </w:p>
        </w:tc>
      </w:tr>
      <w:tr>
        <w:tblPrEx>
          <w:tblW w:w="0" w:type="auto"/>
          <w:tblInd w:w="-15" w:type="dxa"/>
          <w:tblLayout w:type="fixed"/>
          <w:tblLook w:val="0000"/>
        </w:tblPrEx>
        <w:trPr>
          <w:cantSplit/>
        </w:trPr>
        <w:tc>
          <w:tcPr>
            <w:tcW w:w="1802" w:type="dxa"/>
          </w:tcPr>
          <w:p w:rsidR="00347110">
            <w:pPr>
              <w:spacing w:after="1"/>
              <w:rPr>
                <w:sz w:val="20"/>
                <w:lang w:val="de-DE"/>
              </w:rPr>
            </w:pPr>
          </w:p>
        </w:tc>
        <w:tc>
          <w:tcPr>
            <w:tcW w:w="7851" w:type="dxa"/>
          </w:tcPr>
          <w:p w:rsidR="00347110">
            <w:pPr>
              <w:spacing w:after="1"/>
              <w:rPr>
                <w:sz w:val="20"/>
                <w:lang w:val="de-DE"/>
              </w:rPr>
            </w:pP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PPE</w:t>
            </w:r>
          </w:p>
        </w:tc>
        <w:tc>
          <w:tcPr>
            <w:tcW w:w="7851" w:type="dxa"/>
          </w:tcPr>
          <w:p w:rsidR="00347110">
            <w:pPr>
              <w:spacing w:after="1"/>
              <w:rPr>
                <w:sz w:val="20"/>
                <w:lang w:val="de-DE"/>
              </w:rPr>
            </w:pPr>
            <w:r>
              <w:rPr>
                <w:sz w:val="20"/>
                <w:lang w:val="de-DE"/>
              </w:rPr>
              <w:t>Fraktion der Europäischen Volkspartei (Christdemokraten)</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S&amp;D</w:t>
            </w:r>
          </w:p>
        </w:tc>
        <w:tc>
          <w:tcPr>
            <w:tcW w:w="7851" w:type="dxa"/>
          </w:tcPr>
          <w:p w:rsidR="00347110">
            <w:pPr>
              <w:spacing w:after="1"/>
              <w:rPr>
                <w:sz w:val="20"/>
                <w:lang w:val="de-DE"/>
              </w:rPr>
            </w:pPr>
            <w:r>
              <w:rPr>
                <w:sz w:val="20"/>
                <w:lang w:val="de-DE"/>
              </w:rPr>
              <w:t>Fraktion der Progressiven Allianz der Sozialdemokraten im Europäischen Parlament</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PfE</w:t>
            </w:r>
          </w:p>
        </w:tc>
        <w:tc>
          <w:tcPr>
            <w:tcW w:w="7851" w:type="dxa"/>
          </w:tcPr>
          <w:p w:rsidR="00347110">
            <w:pPr>
              <w:spacing w:after="1"/>
              <w:rPr>
                <w:sz w:val="20"/>
                <w:lang w:val="de-DE"/>
              </w:rPr>
            </w:pPr>
            <w:r>
              <w:rPr>
                <w:sz w:val="20"/>
                <w:lang w:val="de-DE"/>
              </w:rPr>
              <w:t>Fraktion Patrioten für Europa</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ECR</w:t>
            </w:r>
          </w:p>
        </w:tc>
        <w:tc>
          <w:tcPr>
            <w:tcW w:w="7851" w:type="dxa"/>
          </w:tcPr>
          <w:p w:rsidR="00347110">
            <w:pPr>
              <w:spacing w:after="1"/>
              <w:rPr>
                <w:sz w:val="20"/>
                <w:szCs w:val="20"/>
                <w:lang w:val="de-DE"/>
              </w:rPr>
            </w:pPr>
            <w:r>
              <w:rPr>
                <w:sz w:val="20"/>
                <w:szCs w:val="20"/>
                <w:lang w:val="de-DE"/>
              </w:rPr>
              <w:t>Fraktion der Europäischen Konservativen und Reformer</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Renew</w:t>
            </w:r>
          </w:p>
        </w:tc>
        <w:tc>
          <w:tcPr>
            <w:tcW w:w="7851" w:type="dxa"/>
          </w:tcPr>
          <w:p w:rsidR="00347110">
            <w:pPr>
              <w:spacing w:after="1"/>
              <w:rPr>
                <w:sz w:val="20"/>
                <w:lang w:val="de-DE"/>
              </w:rPr>
            </w:pPr>
            <w:r>
              <w:rPr>
                <w:sz w:val="20"/>
                <w:lang w:val="de-DE"/>
              </w:rPr>
              <w:t>Fraktion Renew Europe</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Verts/</w:t>
            </w:r>
            <w:r>
              <w:rPr>
                <w:sz w:val="20"/>
                <w:lang w:val="de-DE"/>
              </w:rPr>
              <w:t>ALE</w:t>
            </w:r>
          </w:p>
        </w:tc>
        <w:tc>
          <w:tcPr>
            <w:tcW w:w="7851" w:type="dxa"/>
          </w:tcPr>
          <w:p w:rsidR="00347110">
            <w:pPr>
              <w:spacing w:after="1"/>
              <w:rPr>
                <w:sz w:val="20"/>
                <w:szCs w:val="20"/>
                <w:lang w:val="de-DE"/>
              </w:rPr>
            </w:pPr>
            <w:r>
              <w:rPr>
                <w:sz w:val="20"/>
                <w:szCs w:val="20"/>
                <w:lang w:val="de-DE"/>
              </w:rPr>
              <w:t>Fraktion der Grünen/Freie Europäische Allianz</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The Left</w:t>
            </w:r>
          </w:p>
        </w:tc>
        <w:tc>
          <w:tcPr>
            <w:tcW w:w="7851" w:type="dxa"/>
          </w:tcPr>
          <w:p w:rsidR="00347110">
            <w:pPr>
              <w:spacing w:after="1"/>
              <w:rPr>
                <w:sz w:val="20"/>
                <w:szCs w:val="20"/>
                <w:lang w:val="de-DE"/>
              </w:rPr>
            </w:pPr>
            <w:r>
              <w:rPr>
                <w:sz w:val="20"/>
                <w:szCs w:val="20"/>
                <w:lang w:val="de-DE"/>
              </w:rPr>
              <w:t>Fraktion Die Linke im Europäischen Parlament – GUE/NGL</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ESN</w:t>
            </w:r>
          </w:p>
        </w:tc>
        <w:tc>
          <w:tcPr>
            <w:tcW w:w="7851" w:type="dxa"/>
          </w:tcPr>
          <w:p w:rsidR="00347110">
            <w:pPr>
              <w:spacing w:after="1"/>
              <w:rPr>
                <w:sz w:val="20"/>
                <w:szCs w:val="20"/>
                <w:lang w:val="de-DE"/>
              </w:rPr>
            </w:pPr>
            <w:r>
              <w:rPr>
                <w:sz w:val="20"/>
                <w:szCs w:val="20"/>
                <w:lang w:val="de-DE"/>
              </w:rPr>
              <w:t>Fraktion Europa der Souveränen Nationen</w:t>
            </w:r>
          </w:p>
        </w:tc>
      </w:tr>
      <w:tr>
        <w:tblPrEx>
          <w:tblW w:w="0" w:type="auto"/>
          <w:tblInd w:w="-15" w:type="dxa"/>
          <w:tblLayout w:type="fixed"/>
          <w:tblLook w:val="0000"/>
        </w:tblPrEx>
        <w:trPr>
          <w:cantSplit/>
        </w:trPr>
        <w:tc>
          <w:tcPr>
            <w:tcW w:w="1802" w:type="dxa"/>
          </w:tcPr>
          <w:p w:rsidR="00347110">
            <w:pPr>
              <w:spacing w:after="1"/>
              <w:rPr>
                <w:sz w:val="20"/>
                <w:lang w:val="de-DE"/>
              </w:rPr>
            </w:pPr>
            <w:r>
              <w:rPr>
                <w:sz w:val="20"/>
                <w:lang w:val="de-DE"/>
              </w:rPr>
              <w:t>NI</w:t>
            </w:r>
          </w:p>
        </w:tc>
        <w:tc>
          <w:tcPr>
            <w:tcW w:w="7851" w:type="dxa"/>
          </w:tcPr>
          <w:p w:rsidR="00347110">
            <w:pPr>
              <w:spacing w:after="1"/>
              <w:rPr>
                <w:sz w:val="20"/>
                <w:lang w:val="de-DE"/>
              </w:rPr>
            </w:pPr>
            <w:r>
              <w:rPr>
                <w:sz w:val="20"/>
                <w:lang w:val="de-DE"/>
              </w:rPr>
              <w:t>Fraktionslos</w:t>
            </w:r>
          </w:p>
        </w:tc>
      </w:tr>
    </w:tbl>
    <w:p w:rsidR="00347110">
      <w:pPr>
        <w:sectPr>
          <w:footnotePr>
            <w:pos w:val="beneathText"/>
          </w:footnotePr>
          <w:pgSz w:w="11906" w:h="16837"/>
          <w:pgMar w:top="567" w:right="1134" w:bottom="567" w:left="1134" w:header="720" w:footer="720" w:gutter="0"/>
          <w:cols w:space="720"/>
          <w:docGrid w:linePitch="360"/>
        </w:sectPr>
      </w:pPr>
    </w:p>
    <w:p w:rsidR="00347110">
      <w:pPr>
        <w:sectPr>
          <w:footerReference w:type="default" r:id="rId6"/>
          <w:footerReference w:type="first" r:id="rId7"/>
          <w:footnotePr>
            <w:pos w:val="beneathText"/>
          </w:footnotePr>
          <w:pgSz w:w="11906" w:h="16837"/>
          <w:pgMar w:top="567" w:right="1134" w:bottom="1134" w:left="1134" w:header="720" w:footer="720" w:gutter="0"/>
          <w:pgNumType w:start="1"/>
          <w:cols w:space="720"/>
          <w:titlePg/>
          <w:docGrid w:linePitch="360"/>
        </w:sectPr>
      </w:pPr>
    </w:p>
    <w:p w:rsidR="00347110">
      <w:pPr>
        <w:pStyle w:val="ContentsHeading"/>
        <w:sectPr>
          <w:footnotePr>
            <w:pos w:val="beneathText"/>
          </w:footnotePr>
          <w:type w:val="continuous"/>
          <w:pgSz w:w="11906" w:h="16837"/>
          <w:pgMar w:top="567" w:right="1134" w:bottom="1134" w:left="1134" w:header="720" w:footer="720" w:gutter="0"/>
          <w:cols w:space="720"/>
          <w:docGrid w:linePitch="360"/>
        </w:sectPr>
      </w:pPr>
      <w:r>
        <w:t>Inhalt</w:t>
      </w:r>
    </w:p>
    <w:p w:rsidR="00C070DB" w:rsidRPr="00347110">
      <w:pPr>
        <w:pStyle w:val="TOC1"/>
        <w:rPr>
          <w:rFonts w:ascii="Aptos" w:eastAsia="Times New Roman" w:hAnsi="Aptos"/>
          <w:noProof/>
          <w:color w:val="auto"/>
          <w:kern w:val="2"/>
          <w:lang w:val="en-GB" w:eastAsia="en-GB"/>
        </w:rPr>
      </w:pPr>
      <w:r w:rsidR="00347110">
        <w:fldChar w:fldCharType="begin"/>
      </w:r>
      <w:r w:rsidR="00347110">
        <w:instrText xml:space="preserve"> </w:instrText>
      </w:r>
      <w:r w:rsidR="00347110">
        <w:instrText>TOC</w:instrText>
      </w:r>
      <w:r w:rsidR="00347110">
        <w:instrText xml:space="preserve"> \w \x \f \o "1-3" </w:instrText>
      </w:r>
      <w:r w:rsidR="00347110">
        <w:fldChar w:fldCharType="separate"/>
      </w:r>
      <w:r>
        <w:rPr>
          <w:noProof/>
        </w:rPr>
        <w:t>1. Eröffnung der Sitzung</w:t>
        <w:tab/>
      </w:r>
      <w:r>
        <w:rPr>
          <w:noProof/>
        </w:rPr>
        <w:fldChar w:fldCharType="begin"/>
      </w:r>
      <w:r>
        <w:rPr>
          <w:noProof/>
        </w:rPr>
        <w:instrText xml:space="preserve"> </w:instrText>
      </w:r>
      <w:r>
        <w:rPr>
          <w:noProof/>
        </w:rPr>
        <w:instrText xml:space="preserve">PAGEREF </w:instrText>
      </w:r>
      <w:r>
        <w:rPr>
          <w:noProof/>
        </w:rPr>
        <w:instrText>_Toc242441626 \h</w:instrText>
      </w:r>
      <w:r>
        <w:rPr>
          <w:noProof/>
        </w:rPr>
        <w:instrText xml:space="preserve"> </w:instrText>
      </w:r>
      <w:r>
        <w:rPr>
          <w:noProof/>
        </w:rPr>
        <w:fldChar w:fldCharType="separate"/>
      </w:r>
      <w:r>
        <w:rPr>
          <w:noProof/>
        </w:rPr>
        <w:t>3</w:t>
      </w:r>
      <w:r>
        <w:rPr>
          <w:noProof/>
        </w:rPr>
        <w:fldChar w:fldCharType="end"/>
      </w:r>
    </w:p>
    <w:p w:rsidR="00C070DB" w:rsidRPr="00347110">
      <w:pPr>
        <w:pStyle w:val="TOC1"/>
        <w:rPr>
          <w:rFonts w:ascii="Aptos" w:eastAsia="Times New Roman" w:hAnsi="Aptos"/>
          <w:noProof/>
          <w:color w:val="auto"/>
          <w:kern w:val="2"/>
          <w:lang w:val="en-GB" w:eastAsia="en-GB"/>
        </w:rPr>
      </w:pPr>
      <w:r>
        <w:rPr>
          <w:noProof/>
        </w:rPr>
        <w:t xml:space="preserve">2. Standpunkte des Rates in erster Lesung </w:t>
      </w:r>
      <w:r w:rsidRPr="00E31E88">
        <w:rPr>
          <w:noProof/>
          <w:lang w:val="de-DE"/>
        </w:rPr>
        <w:t>(Artikel 64 GO)</w:t>
      </w:r>
      <w:r>
        <w:rPr>
          <w:noProof/>
        </w:rPr>
        <w:tab/>
      </w:r>
      <w:r>
        <w:rPr>
          <w:noProof/>
        </w:rPr>
        <w:fldChar w:fldCharType="begin"/>
      </w:r>
      <w:r>
        <w:rPr>
          <w:noProof/>
        </w:rPr>
        <w:instrText xml:space="preserve"> </w:instrText>
      </w:r>
      <w:r>
        <w:rPr>
          <w:noProof/>
        </w:rPr>
        <w:instrText xml:space="preserve">PAGEREF </w:instrText>
      </w:r>
      <w:r>
        <w:rPr>
          <w:noProof/>
        </w:rPr>
        <w:instrText>_Toc242441627 \h</w:instrText>
      </w:r>
      <w:r>
        <w:rPr>
          <w:noProof/>
        </w:rPr>
        <w:instrText xml:space="preserve"> </w:instrText>
      </w:r>
      <w:r>
        <w:rPr>
          <w:noProof/>
        </w:rPr>
        <w:fldChar w:fldCharType="separate"/>
      </w:r>
      <w:r>
        <w:rPr>
          <w:noProof/>
        </w:rPr>
        <w:t>3</w:t>
      </w:r>
      <w:r>
        <w:rPr>
          <w:noProof/>
        </w:rPr>
        <w:fldChar w:fldCharType="end"/>
      </w:r>
    </w:p>
    <w:p w:rsidR="00C070DB" w:rsidRPr="00347110">
      <w:pPr>
        <w:pStyle w:val="TOC1"/>
        <w:rPr>
          <w:rFonts w:ascii="Aptos" w:eastAsia="Times New Roman" w:hAnsi="Aptos"/>
          <w:noProof/>
          <w:color w:val="auto"/>
          <w:kern w:val="2"/>
          <w:lang w:val="en-GB" w:eastAsia="en-GB"/>
        </w:rPr>
      </w:pPr>
      <w:r>
        <w:rPr>
          <w:noProof/>
        </w:rPr>
        <w:t xml:space="preserve">3. Eskalierende Lage im östlichen Mittelmeer und in der Ägäis infolge der anhaltenden Provokationen seitens der Türkei </w:t>
      </w:r>
      <w:r w:rsidRPr="00E31E88">
        <w:rPr>
          <w:noProof/>
          <w:lang w:val="de-DE"/>
        </w:rPr>
        <w:t>(Aussprache)</w:t>
      </w:r>
      <w:r>
        <w:rPr>
          <w:noProof/>
        </w:rPr>
        <w:tab/>
      </w:r>
      <w:r>
        <w:rPr>
          <w:noProof/>
        </w:rPr>
        <w:fldChar w:fldCharType="begin"/>
      </w:r>
      <w:r>
        <w:rPr>
          <w:noProof/>
        </w:rPr>
        <w:instrText xml:space="preserve"> </w:instrText>
      </w:r>
      <w:r>
        <w:rPr>
          <w:noProof/>
        </w:rPr>
        <w:instrText xml:space="preserve">PAGEREF </w:instrText>
      </w:r>
      <w:r>
        <w:rPr>
          <w:noProof/>
        </w:rPr>
        <w:instrText>_Toc242441628 \h</w:instrText>
      </w:r>
      <w:r>
        <w:rPr>
          <w:noProof/>
        </w:rPr>
        <w:instrText xml:space="preserve"> </w:instrText>
      </w:r>
      <w:r>
        <w:rPr>
          <w:noProof/>
        </w:rPr>
        <w:fldChar w:fldCharType="separate"/>
      </w:r>
      <w:r>
        <w:rPr>
          <w:noProof/>
        </w:rPr>
        <w:t>3</w:t>
      </w:r>
      <w:r>
        <w:rPr>
          <w:noProof/>
        </w:rPr>
        <w:fldChar w:fldCharType="end"/>
      </w:r>
    </w:p>
    <w:p w:rsidR="00C070DB" w:rsidRPr="00347110">
      <w:pPr>
        <w:pStyle w:val="TOC1"/>
        <w:rPr>
          <w:rFonts w:ascii="Aptos" w:eastAsia="Times New Roman" w:hAnsi="Aptos"/>
          <w:noProof/>
          <w:color w:val="auto"/>
          <w:kern w:val="2"/>
          <w:lang w:val="en-GB" w:eastAsia="en-GB"/>
        </w:rPr>
      </w:pPr>
      <w:r>
        <w:rPr>
          <w:noProof/>
        </w:rPr>
        <w:t xml:space="preserve">4. Strategien der EU für Inseln, Küstengemeinden und Regionen in äußerster Randlage </w:t>
      </w:r>
      <w:r w:rsidRPr="00E31E88">
        <w:rPr>
          <w:noProof/>
          <w:lang w:val="de-DE"/>
        </w:rPr>
        <w:t>(Aussprache)</w:t>
      </w:r>
      <w:r>
        <w:rPr>
          <w:noProof/>
        </w:rPr>
        <w:tab/>
      </w:r>
      <w:r>
        <w:rPr>
          <w:noProof/>
        </w:rPr>
        <w:fldChar w:fldCharType="begin"/>
      </w:r>
      <w:r>
        <w:rPr>
          <w:noProof/>
        </w:rPr>
        <w:instrText xml:space="preserve"> </w:instrText>
      </w:r>
      <w:r>
        <w:rPr>
          <w:noProof/>
        </w:rPr>
        <w:instrText xml:space="preserve">PAGEREF </w:instrText>
      </w:r>
      <w:r>
        <w:rPr>
          <w:noProof/>
        </w:rPr>
        <w:instrText>_Toc242441629 \h</w:instrText>
      </w:r>
      <w:r>
        <w:rPr>
          <w:noProof/>
        </w:rPr>
        <w:instrText xml:space="preserve"> </w:instrText>
      </w:r>
      <w:r>
        <w:rPr>
          <w:noProof/>
        </w:rPr>
        <w:fldChar w:fldCharType="separate"/>
      </w:r>
      <w:r>
        <w:rPr>
          <w:noProof/>
        </w:rPr>
        <w:t>4</w:t>
      </w:r>
      <w:r>
        <w:rPr>
          <w:noProof/>
        </w:rPr>
        <w:fldChar w:fldCharType="end"/>
      </w:r>
    </w:p>
    <w:p w:rsidR="00C070DB" w:rsidRPr="00347110">
      <w:pPr>
        <w:pStyle w:val="TOC1"/>
        <w:rPr>
          <w:rFonts w:ascii="Aptos" w:eastAsia="Times New Roman" w:hAnsi="Aptos"/>
          <w:noProof/>
          <w:color w:val="auto"/>
          <w:kern w:val="2"/>
          <w:lang w:val="en-GB" w:eastAsia="en-GB"/>
        </w:rPr>
      </w:pPr>
      <w:r>
        <w:rPr>
          <w:noProof/>
        </w:rPr>
        <w:t>5. Wiederaufnahme der Sitzung</w:t>
        <w:tab/>
      </w:r>
      <w:r>
        <w:rPr>
          <w:noProof/>
        </w:rPr>
        <w:fldChar w:fldCharType="begin"/>
      </w:r>
      <w:r>
        <w:rPr>
          <w:noProof/>
        </w:rPr>
        <w:instrText xml:space="preserve"> </w:instrText>
      </w:r>
      <w:r>
        <w:rPr>
          <w:noProof/>
        </w:rPr>
        <w:instrText xml:space="preserve">PAGEREF </w:instrText>
      </w:r>
      <w:r>
        <w:rPr>
          <w:noProof/>
        </w:rPr>
        <w:instrText>_Toc242441630 \h</w:instrText>
      </w:r>
      <w:r>
        <w:rPr>
          <w:noProof/>
        </w:rPr>
        <w:instrText xml:space="preserve"> </w:instrText>
      </w:r>
      <w:r>
        <w:rPr>
          <w:noProof/>
        </w:rPr>
        <w:fldChar w:fldCharType="separate"/>
      </w:r>
      <w:r>
        <w:rPr>
          <w:noProof/>
        </w:rPr>
        <w:t>5</w:t>
      </w:r>
      <w:r>
        <w:rPr>
          <w:noProof/>
        </w:rPr>
        <w:fldChar w:fldCharType="end"/>
      </w:r>
    </w:p>
    <w:p w:rsidR="00C070DB" w:rsidRPr="00347110">
      <w:pPr>
        <w:pStyle w:val="TOC1"/>
        <w:rPr>
          <w:rFonts w:ascii="Aptos" w:eastAsia="Times New Roman" w:hAnsi="Aptos"/>
          <w:noProof/>
          <w:color w:val="auto"/>
          <w:kern w:val="2"/>
          <w:lang w:val="en-GB" w:eastAsia="en-GB"/>
        </w:rPr>
      </w:pPr>
      <w:r>
        <w:rPr>
          <w:noProof/>
        </w:rPr>
        <w:t>6. Abstimmungsstunde</w:t>
        <w:tab/>
      </w:r>
      <w:r>
        <w:rPr>
          <w:noProof/>
        </w:rPr>
        <w:fldChar w:fldCharType="begin"/>
      </w:r>
      <w:r>
        <w:rPr>
          <w:noProof/>
        </w:rPr>
        <w:instrText xml:space="preserve"> </w:instrText>
      </w:r>
      <w:r>
        <w:rPr>
          <w:noProof/>
        </w:rPr>
        <w:instrText xml:space="preserve">PAGEREF </w:instrText>
      </w:r>
      <w:r>
        <w:rPr>
          <w:noProof/>
        </w:rPr>
        <w:instrText>_Toc242441631 \h</w:instrText>
      </w:r>
      <w:r>
        <w:rPr>
          <w:noProof/>
        </w:rPr>
        <w:instrText xml:space="preserve"> </w:instrText>
      </w:r>
      <w:r>
        <w:rPr>
          <w:noProof/>
        </w:rPr>
        <w:fldChar w:fldCharType="separate"/>
      </w:r>
      <w:r>
        <w:rPr>
          <w:noProof/>
        </w:rPr>
        <w:t>5</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6.1. Einwand gemäß Artikel 115 Absätze 2, 3 und 4 Buchstabe c der Geschäftsordnung: Blei in Schrotmunition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_Toc242441632 \h</w:instrText>
      </w:r>
      <w:r>
        <w:rPr>
          <w:noProof/>
        </w:rPr>
        <w:instrText xml:space="preserve"> </w:instrText>
      </w:r>
      <w:r>
        <w:rPr>
          <w:noProof/>
        </w:rPr>
        <w:fldChar w:fldCharType="separate"/>
      </w:r>
      <w:r>
        <w:rPr>
          <w:noProof/>
        </w:rPr>
        <w:t>5</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6.2. Einwand gemäß Artikel 115 Absätze 2, 3 und 4 Buchstabe c der Geschäftsordnung: bestimmte botanische Arten, die Hydroxyanthracen-Derivate enthalten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_Toc242441633 \h</w:instrText>
      </w:r>
      <w:r>
        <w:rPr>
          <w:noProof/>
        </w:rPr>
        <w:instrText xml:space="preserve"> </w:instrText>
      </w:r>
      <w:r>
        <w:rPr>
          <w:noProof/>
        </w:rPr>
        <w:fldChar w:fldCharType="separate"/>
      </w:r>
      <w:r>
        <w:rPr>
          <w:noProof/>
        </w:rPr>
        <w:t>5</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6.3. Einwand gemäß Artikel 115 Absätze 2, 3 und 4 Buchstabe c der Geschäftsordnung: Monacoline aus Rotschimmelreis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_Toc242441634 \h</w:instrText>
      </w:r>
      <w:r>
        <w:rPr>
          <w:noProof/>
        </w:rPr>
        <w:instrText xml:space="preserve"> </w:instrText>
      </w:r>
      <w:r>
        <w:rPr>
          <w:noProof/>
        </w:rPr>
        <w:fldChar w:fldCharType="separate"/>
      </w:r>
      <w:r>
        <w:rPr>
          <w:noProof/>
        </w:rPr>
        <w:t>6</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6.4. Menschenrechtslage in Iran, insbesondere die Fälle von Taraneh Rahimi und Leila Abolhasani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_Toc242441635 \h</w:instrText>
      </w:r>
      <w:r>
        <w:rPr>
          <w:noProof/>
        </w:rPr>
        <w:instrText xml:space="preserve"> </w:instrText>
      </w:r>
      <w:r>
        <w:rPr>
          <w:noProof/>
        </w:rPr>
        <w:fldChar w:fldCharType="separate"/>
      </w:r>
      <w:r>
        <w:rPr>
          <w:noProof/>
        </w:rPr>
        <w:t>6</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6.5. Versuche der Regierungspartei „Georgischer Traum“, Oppositionsparteien in Georgien zu verbieten </w:t>
      </w:r>
      <w:r w:rsidRPr="00E31E88">
        <w:rPr>
          <w:noProof/>
          <w:lang w:val="de-DE"/>
        </w:rPr>
        <w:t>(Abstimmung)</w:t>
      </w:r>
      <w:r>
        <w:rPr>
          <w:noProof/>
        </w:rPr>
        <w:tab/>
      </w:r>
      <w:r>
        <w:rPr>
          <w:noProof/>
        </w:rPr>
        <w:fldChar w:fldCharType="begin"/>
      </w:r>
      <w:r>
        <w:rPr>
          <w:noProof/>
        </w:rPr>
        <w:instrText xml:space="preserve"> </w:instrText>
      </w:r>
      <w:r>
        <w:rPr>
          <w:noProof/>
        </w:rPr>
        <w:instrText>PAG</w:instrText>
      </w:r>
      <w:r>
        <w:rPr>
          <w:noProof/>
        </w:rPr>
        <w:instrText xml:space="preserve">EREF </w:instrText>
      </w:r>
      <w:r>
        <w:rPr>
          <w:noProof/>
        </w:rPr>
        <w:instrText>_Toc242441636 \h</w:instrText>
      </w:r>
      <w:r>
        <w:rPr>
          <w:noProof/>
        </w:rPr>
        <w:instrText xml:space="preserve"> </w:instrText>
      </w:r>
      <w:r>
        <w:rPr>
          <w:noProof/>
        </w:rPr>
        <w:fldChar w:fldCharType="separate"/>
      </w:r>
      <w:r>
        <w:rPr>
          <w:noProof/>
        </w:rPr>
        <w:t>6</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6.6. Die Fälle von Əli Kərimli, Anar Məmmədli und weiteren politischen Gefangenen in Aserbaidschan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_Toc242441637 \h</w:instrText>
      </w:r>
      <w:r>
        <w:rPr>
          <w:noProof/>
        </w:rPr>
        <w:instrText xml:space="preserve"> </w:instrText>
      </w:r>
      <w:r>
        <w:rPr>
          <w:noProof/>
        </w:rPr>
        <w:fldChar w:fldCharType="separate"/>
      </w:r>
      <w:r>
        <w:rPr>
          <w:noProof/>
        </w:rPr>
        <w:t>7</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6.7. </w:t>
      </w:r>
      <w:r w:rsidRPr="00E31E88">
        <w:rPr>
          <w:noProof/>
          <w:lang w:val="de-DE"/>
        </w:rPr>
        <w:t>Pilotprojekt zu Europäischen Schulallianzen und sein Beitrag zur politischen Bil</w:t>
      </w:r>
      <w:r w:rsidRPr="00E31E88">
        <w:rPr>
          <w:noProof/>
          <w:lang w:val="de-DE"/>
        </w:rPr>
        <w:t>dung, zu demokratischen Kompetenzen und zu europäischen Werten</w:t>
      </w:r>
      <w:r>
        <w:rPr>
          <w:noProof/>
        </w:rPr>
        <w:t xml:space="preserve">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_Toc242441638 \h</w:instrText>
      </w:r>
      <w:r>
        <w:rPr>
          <w:noProof/>
        </w:rPr>
        <w:instrText xml:space="preserve"> </w:instrText>
      </w:r>
      <w:r>
        <w:rPr>
          <w:noProof/>
        </w:rPr>
        <w:fldChar w:fldCharType="separate"/>
      </w:r>
      <w:r>
        <w:rPr>
          <w:noProof/>
        </w:rPr>
        <w:t>7</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6.8. </w:t>
      </w:r>
      <w:r w:rsidRPr="00E31E88">
        <w:rPr>
          <w:noProof/>
          <w:lang w:val="de-DE"/>
        </w:rPr>
        <w:t>Die undemokratische Wahl zur russischen Staatsduma im Jahr 2026 und ihre Auswirkungen auf die Zivilgesellschaft</w:t>
      </w:r>
      <w:r>
        <w:rPr>
          <w:noProof/>
        </w:rPr>
        <w:t xml:space="preserve">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_Toc242441639 \h</w:instrText>
      </w:r>
      <w:r>
        <w:rPr>
          <w:noProof/>
        </w:rPr>
        <w:instrText xml:space="preserve"> </w:instrText>
      </w:r>
      <w:r>
        <w:rPr>
          <w:noProof/>
        </w:rPr>
        <w:fldChar w:fldCharType="separate"/>
      </w:r>
      <w:r>
        <w:rPr>
          <w:noProof/>
        </w:rPr>
        <w:t>7</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6.9. </w:t>
      </w:r>
      <w:r w:rsidRPr="00E31E88">
        <w:rPr>
          <w:noProof/>
          <w:lang w:val="de-DE"/>
        </w:rPr>
        <w:t>Stand der Fortschritte in den Handels- und Investitionsbeziehungen zwischen der EU und Afrika</w:t>
      </w:r>
      <w:r>
        <w:rPr>
          <w:noProof/>
        </w:rPr>
        <w:t xml:space="preserve">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_Toc242441640 \h</w:instrText>
      </w:r>
      <w:r>
        <w:rPr>
          <w:noProof/>
        </w:rPr>
        <w:instrText xml:space="preserve"> </w:instrText>
      </w:r>
      <w:r>
        <w:rPr>
          <w:noProof/>
        </w:rPr>
        <w:fldChar w:fldCharType="separate"/>
      </w:r>
      <w:r>
        <w:rPr>
          <w:noProof/>
        </w:rPr>
        <w:t>8</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6.10. </w:t>
      </w:r>
      <w:r w:rsidRPr="00E31E88">
        <w:rPr>
          <w:noProof/>
          <w:lang w:val="de-DE"/>
        </w:rPr>
        <w:t>Die künftige EU-Strategie zur Korruptionsbekämpfung</w:t>
      </w:r>
      <w:r>
        <w:rPr>
          <w:noProof/>
        </w:rPr>
        <w:t xml:space="preserve">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_Toc242441641 \h</w:instrText>
      </w:r>
      <w:r>
        <w:rPr>
          <w:noProof/>
        </w:rPr>
        <w:instrText xml:space="preserve"> </w:instrText>
      </w:r>
      <w:r>
        <w:rPr>
          <w:noProof/>
        </w:rPr>
        <w:fldChar w:fldCharType="separate"/>
      </w:r>
      <w:r>
        <w:rPr>
          <w:noProof/>
        </w:rPr>
        <w:t>8</w:t>
      </w:r>
      <w:r>
        <w:rPr>
          <w:noProof/>
        </w:rPr>
        <w:fldChar w:fldCharType="end"/>
      </w:r>
    </w:p>
    <w:p w:rsidR="00C070DB" w:rsidRPr="00347110">
      <w:pPr>
        <w:pStyle w:val="TOC2"/>
        <w:rPr>
          <w:rFonts w:ascii="Aptos" w:eastAsia="Times New Roman" w:hAnsi="Aptos"/>
          <w:noProof/>
          <w:color w:val="auto"/>
          <w:kern w:val="2"/>
          <w:lang w:val="en-GB" w:eastAsia="en-GB"/>
        </w:rPr>
      </w:pPr>
      <w:r>
        <w:rPr>
          <w:noProof/>
        </w:rPr>
        <w:t xml:space="preserve">6.11. Notwendigkeit einer EU-Strategie zur Bekämpfung islamistischer Unterwanderung und zur Eindämmung des Einflusses des Netzwerks der Muslimbruderschaft </w:t>
      </w:r>
      <w:r w:rsidRPr="00E31E88">
        <w:rPr>
          <w:noProof/>
          <w:lang w:val="de-DE"/>
        </w:rPr>
        <w:t>(Abstimmung)</w:t>
      </w:r>
      <w:r>
        <w:rPr>
          <w:noProof/>
        </w:rPr>
        <w:tab/>
      </w:r>
      <w:r>
        <w:rPr>
          <w:noProof/>
        </w:rPr>
        <w:fldChar w:fldCharType="begin"/>
      </w:r>
      <w:r>
        <w:rPr>
          <w:noProof/>
        </w:rPr>
        <w:instrText xml:space="preserve"> </w:instrText>
      </w:r>
      <w:r>
        <w:rPr>
          <w:noProof/>
        </w:rPr>
        <w:instrText xml:space="preserve">PAGEREF </w:instrText>
      </w:r>
      <w:r>
        <w:rPr>
          <w:noProof/>
        </w:rPr>
        <w:instrText>_Toc242441642 \h</w:instrText>
      </w:r>
      <w:r>
        <w:rPr>
          <w:noProof/>
        </w:rPr>
        <w:instrText xml:space="preserve"> </w:instrText>
      </w:r>
      <w:r>
        <w:rPr>
          <w:noProof/>
        </w:rPr>
        <w:fldChar w:fldCharType="separate"/>
      </w:r>
      <w:r>
        <w:rPr>
          <w:noProof/>
        </w:rPr>
        <w:t>8</w:t>
      </w:r>
      <w:r>
        <w:rPr>
          <w:noProof/>
        </w:rPr>
        <w:fldChar w:fldCharType="end"/>
      </w:r>
    </w:p>
    <w:p w:rsidR="00C070DB" w:rsidRPr="00347110">
      <w:pPr>
        <w:pStyle w:val="TOC1"/>
        <w:rPr>
          <w:rFonts w:ascii="Aptos" w:eastAsia="Times New Roman" w:hAnsi="Aptos"/>
          <w:noProof/>
          <w:color w:val="auto"/>
          <w:kern w:val="2"/>
          <w:lang w:val="en-GB" w:eastAsia="en-GB"/>
        </w:rPr>
      </w:pPr>
      <w:r>
        <w:rPr>
          <w:noProof/>
        </w:rPr>
        <w:t>7. Wiederaufnahme der Sitzung</w:t>
        <w:tab/>
      </w:r>
      <w:r>
        <w:rPr>
          <w:noProof/>
        </w:rPr>
        <w:fldChar w:fldCharType="begin"/>
      </w:r>
      <w:r>
        <w:rPr>
          <w:noProof/>
        </w:rPr>
        <w:instrText xml:space="preserve"> </w:instrText>
      </w:r>
      <w:r>
        <w:rPr>
          <w:noProof/>
        </w:rPr>
        <w:instrText xml:space="preserve">PAGEREF </w:instrText>
      </w:r>
      <w:r>
        <w:rPr>
          <w:noProof/>
        </w:rPr>
        <w:instrText>_Toc242441643 \h</w:instrText>
      </w:r>
      <w:r>
        <w:rPr>
          <w:noProof/>
        </w:rPr>
        <w:instrText xml:space="preserve"> </w:instrText>
      </w:r>
      <w:r>
        <w:rPr>
          <w:noProof/>
        </w:rPr>
        <w:fldChar w:fldCharType="separate"/>
      </w:r>
      <w:r>
        <w:rPr>
          <w:noProof/>
        </w:rPr>
        <w:t>9</w:t>
      </w:r>
      <w:r>
        <w:rPr>
          <w:noProof/>
        </w:rPr>
        <w:fldChar w:fldCharType="end"/>
      </w:r>
    </w:p>
    <w:p w:rsidR="00C070DB" w:rsidRPr="00347110">
      <w:pPr>
        <w:pStyle w:val="TOC1"/>
        <w:rPr>
          <w:rFonts w:ascii="Aptos" w:eastAsia="Times New Roman" w:hAnsi="Aptos"/>
          <w:noProof/>
          <w:color w:val="auto"/>
          <w:kern w:val="2"/>
          <w:lang w:val="en-GB" w:eastAsia="en-GB"/>
        </w:rPr>
      </w:pPr>
      <w:r>
        <w:rPr>
          <w:noProof/>
        </w:rPr>
        <w:t>8. Genehmigung des Protokolls der vorangegangenen Sitzung</w:t>
        <w:tab/>
      </w:r>
      <w:r>
        <w:rPr>
          <w:noProof/>
        </w:rPr>
        <w:fldChar w:fldCharType="begin"/>
      </w:r>
      <w:r>
        <w:rPr>
          <w:noProof/>
        </w:rPr>
        <w:instrText xml:space="preserve"> </w:instrText>
      </w:r>
      <w:r>
        <w:rPr>
          <w:noProof/>
        </w:rPr>
        <w:instrText xml:space="preserve">PAGEREF </w:instrText>
      </w:r>
      <w:r>
        <w:rPr>
          <w:noProof/>
        </w:rPr>
        <w:instrText>_Toc242441644 \h</w:instrText>
      </w:r>
      <w:r>
        <w:rPr>
          <w:noProof/>
        </w:rPr>
        <w:instrText xml:space="preserve"> </w:instrText>
      </w:r>
      <w:r>
        <w:rPr>
          <w:noProof/>
        </w:rPr>
        <w:fldChar w:fldCharType="separate"/>
      </w:r>
      <w:r>
        <w:rPr>
          <w:noProof/>
        </w:rPr>
        <w:t>9</w:t>
      </w:r>
      <w:r>
        <w:rPr>
          <w:noProof/>
        </w:rPr>
        <w:fldChar w:fldCharType="end"/>
      </w:r>
    </w:p>
    <w:p w:rsidR="00C070DB" w:rsidRPr="00347110">
      <w:pPr>
        <w:pStyle w:val="TOC1"/>
        <w:rPr>
          <w:rFonts w:ascii="Aptos" w:eastAsia="Times New Roman" w:hAnsi="Aptos"/>
          <w:noProof/>
          <w:color w:val="auto"/>
          <w:kern w:val="2"/>
          <w:lang w:val="en-GB" w:eastAsia="en-GB"/>
        </w:rPr>
      </w:pPr>
      <w:r>
        <w:rPr>
          <w:noProof/>
        </w:rPr>
        <w:t xml:space="preserve">9. Übereinkommen der Vereinten Nationen über die Rechte älterer Menschen </w:t>
      </w:r>
      <w:r w:rsidRPr="00E31E88">
        <w:rPr>
          <w:noProof/>
          <w:lang w:val="de-DE"/>
        </w:rPr>
        <w:t>(Aussprache)</w:t>
      </w:r>
      <w:r>
        <w:rPr>
          <w:noProof/>
        </w:rPr>
        <w:tab/>
      </w:r>
      <w:r>
        <w:rPr>
          <w:noProof/>
        </w:rPr>
        <w:fldChar w:fldCharType="begin"/>
      </w:r>
      <w:r>
        <w:rPr>
          <w:noProof/>
        </w:rPr>
        <w:instrText xml:space="preserve"> </w:instrText>
      </w:r>
      <w:r>
        <w:rPr>
          <w:noProof/>
        </w:rPr>
        <w:instrText xml:space="preserve">PAGEREF </w:instrText>
      </w:r>
      <w:r>
        <w:rPr>
          <w:noProof/>
        </w:rPr>
        <w:instrText>_Toc242441645 \h</w:instrText>
      </w:r>
      <w:r>
        <w:rPr>
          <w:noProof/>
        </w:rPr>
        <w:instrText xml:space="preserve"> </w:instrText>
      </w:r>
      <w:r>
        <w:rPr>
          <w:noProof/>
        </w:rPr>
        <w:fldChar w:fldCharType="separate"/>
      </w:r>
      <w:r>
        <w:rPr>
          <w:noProof/>
        </w:rPr>
        <w:t>9</w:t>
      </w:r>
      <w:r>
        <w:rPr>
          <w:noProof/>
        </w:rPr>
        <w:fldChar w:fldCharType="end"/>
      </w:r>
    </w:p>
    <w:p w:rsidR="00C070DB" w:rsidRPr="00347110">
      <w:pPr>
        <w:pStyle w:val="TOC1"/>
        <w:rPr>
          <w:rFonts w:ascii="Aptos" w:eastAsia="Times New Roman" w:hAnsi="Aptos"/>
          <w:noProof/>
          <w:color w:val="auto"/>
          <w:kern w:val="2"/>
          <w:lang w:val="en-GB" w:eastAsia="en-GB"/>
        </w:rPr>
      </w:pPr>
      <w:r>
        <w:rPr>
          <w:noProof/>
        </w:rPr>
        <w:t xml:space="preserve">10. Mündliche Erklärungen zur Abstimmung </w:t>
      </w:r>
      <w:r w:rsidRPr="00E31E88">
        <w:rPr>
          <w:noProof/>
          <w:lang w:val="de-DE"/>
        </w:rPr>
        <w:t>(Artikel 201 GO)</w:t>
      </w:r>
      <w:r>
        <w:rPr>
          <w:noProof/>
        </w:rPr>
        <w:tab/>
      </w:r>
      <w:r>
        <w:rPr>
          <w:noProof/>
        </w:rPr>
        <w:fldChar w:fldCharType="begin"/>
      </w:r>
      <w:r>
        <w:rPr>
          <w:noProof/>
        </w:rPr>
        <w:instrText xml:space="preserve"> </w:instrText>
      </w:r>
      <w:r>
        <w:rPr>
          <w:noProof/>
        </w:rPr>
        <w:instrText xml:space="preserve">PAGEREF </w:instrText>
      </w:r>
      <w:r>
        <w:rPr>
          <w:noProof/>
        </w:rPr>
        <w:instrText>_Toc242441646 \h</w:instrText>
      </w:r>
      <w:r>
        <w:rPr>
          <w:noProof/>
        </w:rPr>
        <w:instrText xml:space="preserve"> </w:instrText>
      </w:r>
      <w:r>
        <w:rPr>
          <w:noProof/>
        </w:rPr>
        <w:fldChar w:fldCharType="separate"/>
      </w:r>
      <w:r>
        <w:rPr>
          <w:noProof/>
        </w:rPr>
        <w:t>10</w:t>
      </w:r>
      <w:r>
        <w:rPr>
          <w:noProof/>
        </w:rPr>
        <w:fldChar w:fldCharType="end"/>
      </w:r>
    </w:p>
    <w:p w:rsidR="00C070DB" w:rsidRPr="00347110">
      <w:pPr>
        <w:pStyle w:val="TOC2"/>
        <w:rPr>
          <w:rFonts w:ascii="Aptos" w:eastAsia="Times New Roman" w:hAnsi="Aptos"/>
          <w:noProof/>
          <w:color w:val="auto"/>
          <w:kern w:val="2"/>
          <w:lang w:val="en-GB" w:eastAsia="en-GB"/>
        </w:rPr>
      </w:pPr>
      <w:r>
        <w:rPr>
          <w:noProof/>
        </w:rPr>
        <w:t>10.1. Die undemokratische Wahl zur russischen Staatsduma im Jahr 2026 und ihre Auswirkungen auf die Zivilgesellschaft (RC-B10-0441/2026)</w:t>
        <w:tab/>
      </w:r>
      <w:r>
        <w:rPr>
          <w:noProof/>
        </w:rPr>
        <w:fldChar w:fldCharType="begin"/>
      </w:r>
      <w:r>
        <w:rPr>
          <w:noProof/>
        </w:rPr>
        <w:instrText xml:space="preserve"> </w:instrText>
      </w:r>
      <w:r>
        <w:rPr>
          <w:noProof/>
        </w:rPr>
        <w:instrText xml:space="preserve">PAGEREF </w:instrText>
      </w:r>
      <w:r>
        <w:rPr>
          <w:noProof/>
        </w:rPr>
        <w:instrText>_Toc242441647 \h</w:instrText>
      </w:r>
      <w:r>
        <w:rPr>
          <w:noProof/>
        </w:rPr>
        <w:instrText xml:space="preserve"> </w:instrText>
      </w:r>
      <w:r>
        <w:rPr>
          <w:noProof/>
        </w:rPr>
        <w:fldChar w:fldCharType="separate"/>
      </w:r>
      <w:r>
        <w:rPr>
          <w:noProof/>
        </w:rPr>
        <w:t>10</w:t>
      </w:r>
      <w:r>
        <w:rPr>
          <w:noProof/>
        </w:rPr>
        <w:fldChar w:fldCharType="end"/>
      </w:r>
    </w:p>
    <w:p w:rsidR="00C070DB" w:rsidRPr="00347110">
      <w:pPr>
        <w:pStyle w:val="TOC2"/>
        <w:rPr>
          <w:rFonts w:ascii="Aptos" w:eastAsia="Times New Roman" w:hAnsi="Aptos"/>
          <w:noProof/>
          <w:color w:val="auto"/>
          <w:kern w:val="2"/>
          <w:lang w:val="en-GB" w:eastAsia="en-GB"/>
        </w:rPr>
      </w:pPr>
      <w:r>
        <w:rPr>
          <w:noProof/>
        </w:rPr>
        <w:t>10.2. Stand der Fortschritte in den Handels- und Investitionsbeziehungen zwischen der EU und Afrika (B10-0435/2026)</w:t>
        <w:tab/>
      </w:r>
      <w:r>
        <w:rPr>
          <w:noProof/>
        </w:rPr>
        <w:fldChar w:fldCharType="begin"/>
      </w:r>
      <w:r>
        <w:rPr>
          <w:noProof/>
        </w:rPr>
        <w:instrText xml:space="preserve"> </w:instrText>
      </w:r>
      <w:r>
        <w:rPr>
          <w:noProof/>
        </w:rPr>
        <w:instrText xml:space="preserve">PAGEREF </w:instrText>
      </w:r>
      <w:r>
        <w:rPr>
          <w:noProof/>
        </w:rPr>
        <w:instrText>_Toc242441648 \h</w:instrText>
      </w:r>
      <w:r>
        <w:rPr>
          <w:noProof/>
        </w:rPr>
        <w:instrText xml:space="preserve"> </w:instrText>
      </w:r>
      <w:r>
        <w:rPr>
          <w:noProof/>
        </w:rPr>
        <w:fldChar w:fldCharType="separate"/>
      </w:r>
      <w:r>
        <w:rPr>
          <w:noProof/>
        </w:rPr>
        <w:t>10</w:t>
      </w:r>
      <w:r>
        <w:rPr>
          <w:noProof/>
        </w:rPr>
        <w:fldChar w:fldCharType="end"/>
      </w:r>
    </w:p>
    <w:p w:rsidR="00C070DB" w:rsidRPr="00347110">
      <w:pPr>
        <w:pStyle w:val="TOC2"/>
        <w:rPr>
          <w:rFonts w:ascii="Aptos" w:eastAsia="Times New Roman" w:hAnsi="Aptos"/>
          <w:noProof/>
          <w:color w:val="auto"/>
          <w:kern w:val="2"/>
          <w:lang w:val="en-GB" w:eastAsia="en-GB"/>
        </w:rPr>
      </w:pPr>
      <w:r>
        <w:rPr>
          <w:noProof/>
        </w:rPr>
        <w:t>10.3. Die künftige EU-Strategie zur Korruptionsbekämpfung (B10-0423/2026)</w:t>
        <w:tab/>
      </w:r>
      <w:r>
        <w:rPr>
          <w:noProof/>
        </w:rPr>
        <w:fldChar w:fldCharType="begin"/>
      </w:r>
      <w:r>
        <w:rPr>
          <w:noProof/>
        </w:rPr>
        <w:instrText xml:space="preserve"> </w:instrText>
      </w:r>
      <w:r>
        <w:rPr>
          <w:noProof/>
        </w:rPr>
        <w:instrText xml:space="preserve">PAGEREF </w:instrText>
      </w:r>
      <w:r>
        <w:rPr>
          <w:noProof/>
        </w:rPr>
        <w:instrText>_Toc242441649 \h</w:instrText>
      </w:r>
      <w:r>
        <w:rPr>
          <w:noProof/>
        </w:rPr>
        <w:instrText xml:space="preserve"> </w:instrText>
      </w:r>
      <w:r>
        <w:rPr>
          <w:noProof/>
        </w:rPr>
        <w:fldChar w:fldCharType="separate"/>
      </w:r>
      <w:r>
        <w:rPr>
          <w:noProof/>
        </w:rPr>
        <w:t>10</w:t>
      </w:r>
      <w:r>
        <w:rPr>
          <w:noProof/>
        </w:rPr>
        <w:fldChar w:fldCharType="end"/>
      </w:r>
    </w:p>
    <w:p w:rsidR="00C070DB" w:rsidRPr="00347110">
      <w:pPr>
        <w:pStyle w:val="TOC2"/>
        <w:rPr>
          <w:rFonts w:ascii="Aptos" w:eastAsia="Times New Roman" w:hAnsi="Aptos"/>
          <w:noProof/>
          <w:color w:val="auto"/>
          <w:kern w:val="2"/>
          <w:lang w:val="en-GB" w:eastAsia="en-GB"/>
        </w:rPr>
      </w:pPr>
      <w:r>
        <w:rPr>
          <w:noProof/>
        </w:rPr>
        <w:t>10.4. Notwendigkeit einer EU-Strategie zur Bekämpfung islamistischer Unterwanderung und zur Eindämmung des Einflusses des Netzwerks der Muslimbruderschaft (B10-0424/2026)</w:t>
        <w:tab/>
      </w:r>
      <w:r>
        <w:rPr>
          <w:noProof/>
        </w:rPr>
        <w:fldChar w:fldCharType="begin"/>
      </w:r>
      <w:r>
        <w:rPr>
          <w:noProof/>
        </w:rPr>
        <w:instrText xml:space="preserve"> </w:instrText>
      </w:r>
      <w:r>
        <w:rPr>
          <w:noProof/>
        </w:rPr>
        <w:instrText xml:space="preserve">PAGEREF </w:instrText>
      </w:r>
      <w:r>
        <w:rPr>
          <w:noProof/>
        </w:rPr>
        <w:instrText>_Toc242441650 \h</w:instrText>
      </w:r>
      <w:r>
        <w:rPr>
          <w:noProof/>
        </w:rPr>
        <w:instrText xml:space="preserve"> </w:instrText>
      </w:r>
      <w:r>
        <w:rPr>
          <w:noProof/>
        </w:rPr>
        <w:fldChar w:fldCharType="separate"/>
      </w:r>
      <w:r>
        <w:rPr>
          <w:noProof/>
        </w:rPr>
        <w:t>10</w:t>
      </w:r>
      <w:r>
        <w:rPr>
          <w:noProof/>
        </w:rPr>
        <w:fldChar w:fldCharType="end"/>
      </w:r>
    </w:p>
    <w:p w:rsidR="00C070DB" w:rsidRPr="00347110">
      <w:pPr>
        <w:pStyle w:val="TOC1"/>
        <w:rPr>
          <w:rFonts w:ascii="Aptos" w:eastAsia="Times New Roman" w:hAnsi="Aptos"/>
          <w:noProof/>
          <w:color w:val="auto"/>
          <w:kern w:val="2"/>
          <w:lang w:val="en-GB" w:eastAsia="en-GB"/>
        </w:rPr>
      </w:pPr>
      <w:r>
        <w:rPr>
          <w:noProof/>
        </w:rPr>
        <w:t xml:space="preserve">11. Schriftliche Erklärungen zur Abstimmung </w:t>
      </w:r>
      <w:r w:rsidRPr="00E31E88">
        <w:rPr>
          <w:noProof/>
          <w:lang w:val="de-DE"/>
        </w:rPr>
        <w:t>(Artikel 201 GO)</w:t>
      </w:r>
      <w:r>
        <w:rPr>
          <w:noProof/>
        </w:rPr>
        <w:tab/>
      </w:r>
      <w:r>
        <w:rPr>
          <w:noProof/>
        </w:rPr>
        <w:fldChar w:fldCharType="begin"/>
      </w:r>
      <w:r>
        <w:rPr>
          <w:noProof/>
        </w:rPr>
        <w:instrText xml:space="preserve"> </w:instrText>
      </w:r>
      <w:r>
        <w:rPr>
          <w:noProof/>
        </w:rPr>
        <w:instrText xml:space="preserve">PAGEREF </w:instrText>
      </w:r>
      <w:r>
        <w:rPr>
          <w:noProof/>
        </w:rPr>
        <w:instrText>_Toc242441651 \h</w:instrText>
      </w:r>
      <w:r>
        <w:rPr>
          <w:noProof/>
        </w:rPr>
        <w:instrText xml:space="preserve"> </w:instrText>
      </w:r>
      <w:r>
        <w:rPr>
          <w:noProof/>
        </w:rPr>
        <w:fldChar w:fldCharType="separate"/>
      </w:r>
      <w:r>
        <w:rPr>
          <w:noProof/>
        </w:rPr>
        <w:t>10</w:t>
      </w:r>
      <w:r>
        <w:rPr>
          <w:noProof/>
        </w:rPr>
        <w:fldChar w:fldCharType="end"/>
      </w:r>
    </w:p>
    <w:p w:rsidR="00C070DB" w:rsidRPr="00347110">
      <w:pPr>
        <w:pStyle w:val="TOC1"/>
        <w:rPr>
          <w:rFonts w:ascii="Aptos" w:eastAsia="Times New Roman" w:hAnsi="Aptos"/>
          <w:noProof/>
          <w:color w:val="auto"/>
          <w:kern w:val="2"/>
          <w:lang w:val="en-GB" w:eastAsia="en-GB"/>
        </w:rPr>
      </w:pPr>
      <w:r>
        <w:rPr>
          <w:noProof/>
        </w:rPr>
        <w:t>12. Genehmigung des Protokolls der laufenden Sitzung und Übermittlung der angenommenen Texte</w:t>
        <w:tab/>
      </w:r>
      <w:r>
        <w:rPr>
          <w:noProof/>
        </w:rPr>
        <w:fldChar w:fldCharType="begin"/>
      </w:r>
      <w:r>
        <w:rPr>
          <w:noProof/>
        </w:rPr>
        <w:instrText xml:space="preserve"> </w:instrText>
      </w:r>
      <w:r>
        <w:rPr>
          <w:noProof/>
        </w:rPr>
        <w:instrText xml:space="preserve">PAGEREF </w:instrText>
      </w:r>
      <w:r>
        <w:rPr>
          <w:noProof/>
        </w:rPr>
        <w:instrText>_Toc242441652 \h</w:instrText>
      </w:r>
      <w:r>
        <w:rPr>
          <w:noProof/>
        </w:rPr>
        <w:instrText xml:space="preserve"> </w:instrText>
      </w:r>
      <w:r>
        <w:rPr>
          <w:noProof/>
        </w:rPr>
        <w:fldChar w:fldCharType="separate"/>
      </w:r>
      <w:r>
        <w:rPr>
          <w:noProof/>
        </w:rPr>
        <w:t>10</w:t>
      </w:r>
      <w:r>
        <w:rPr>
          <w:noProof/>
        </w:rPr>
        <w:fldChar w:fldCharType="end"/>
      </w:r>
    </w:p>
    <w:p w:rsidR="00C070DB" w:rsidRPr="00347110">
      <w:pPr>
        <w:pStyle w:val="TOC1"/>
        <w:rPr>
          <w:rFonts w:ascii="Aptos" w:eastAsia="Times New Roman" w:hAnsi="Aptos"/>
          <w:noProof/>
          <w:color w:val="auto"/>
          <w:kern w:val="2"/>
          <w:lang w:val="en-GB" w:eastAsia="en-GB"/>
        </w:rPr>
      </w:pPr>
      <w:r>
        <w:rPr>
          <w:noProof/>
        </w:rPr>
        <w:t>13. Zeitplan für die nächste Tagung</w:t>
        <w:tab/>
      </w:r>
      <w:r>
        <w:rPr>
          <w:noProof/>
        </w:rPr>
        <w:fldChar w:fldCharType="begin"/>
      </w:r>
      <w:r>
        <w:rPr>
          <w:noProof/>
        </w:rPr>
        <w:instrText xml:space="preserve"> </w:instrText>
      </w:r>
      <w:r>
        <w:rPr>
          <w:noProof/>
        </w:rPr>
        <w:instrText xml:space="preserve">PAGEREF </w:instrText>
      </w:r>
      <w:r>
        <w:rPr>
          <w:noProof/>
        </w:rPr>
        <w:instrText>_Toc242441653 \h</w:instrText>
      </w:r>
      <w:r>
        <w:rPr>
          <w:noProof/>
        </w:rPr>
        <w:instrText xml:space="preserve"> </w:instrText>
      </w:r>
      <w:r>
        <w:rPr>
          <w:noProof/>
        </w:rPr>
        <w:fldChar w:fldCharType="separate"/>
      </w:r>
      <w:r>
        <w:rPr>
          <w:noProof/>
        </w:rPr>
        <w:t>10</w:t>
      </w:r>
      <w:r>
        <w:rPr>
          <w:noProof/>
        </w:rPr>
        <w:fldChar w:fldCharType="end"/>
      </w:r>
    </w:p>
    <w:p w:rsidR="00C070DB" w:rsidRPr="00347110">
      <w:pPr>
        <w:pStyle w:val="TOC1"/>
        <w:rPr>
          <w:rFonts w:ascii="Aptos" w:eastAsia="Times New Roman" w:hAnsi="Aptos"/>
          <w:noProof/>
          <w:color w:val="auto"/>
          <w:kern w:val="2"/>
          <w:lang w:val="en-GB" w:eastAsia="en-GB"/>
        </w:rPr>
      </w:pPr>
      <w:r>
        <w:rPr>
          <w:noProof/>
        </w:rPr>
        <w:t>14. Schluss der Sitzung</w:t>
        <w:tab/>
      </w:r>
      <w:r>
        <w:rPr>
          <w:noProof/>
        </w:rPr>
        <w:fldChar w:fldCharType="begin"/>
      </w:r>
      <w:r>
        <w:rPr>
          <w:noProof/>
        </w:rPr>
        <w:instrText xml:space="preserve"> </w:instrText>
      </w:r>
      <w:r>
        <w:rPr>
          <w:noProof/>
        </w:rPr>
        <w:instrText xml:space="preserve">PAGEREF </w:instrText>
      </w:r>
      <w:r>
        <w:rPr>
          <w:noProof/>
        </w:rPr>
        <w:instrText>_Toc242441654 \h</w:instrText>
      </w:r>
      <w:r>
        <w:rPr>
          <w:noProof/>
        </w:rPr>
        <w:instrText xml:space="preserve"> </w:instrText>
      </w:r>
      <w:r>
        <w:rPr>
          <w:noProof/>
        </w:rPr>
        <w:fldChar w:fldCharType="separate"/>
      </w:r>
      <w:r>
        <w:rPr>
          <w:noProof/>
        </w:rPr>
        <w:t>10</w:t>
      </w:r>
      <w:r>
        <w:rPr>
          <w:noProof/>
        </w:rPr>
        <w:fldChar w:fldCharType="end"/>
      </w:r>
    </w:p>
    <w:p w:rsidR="00C070DB" w:rsidRPr="00347110">
      <w:pPr>
        <w:pStyle w:val="TOC1"/>
        <w:rPr>
          <w:rFonts w:ascii="Aptos" w:eastAsia="Times New Roman" w:hAnsi="Aptos"/>
          <w:noProof/>
          <w:color w:val="auto"/>
          <w:kern w:val="2"/>
          <w:lang w:val="en-GB" w:eastAsia="en-GB"/>
        </w:rPr>
      </w:pPr>
      <w:r>
        <w:rPr>
          <w:noProof/>
        </w:rPr>
        <w:t>15. Unterbrechung der Sitzungsperiode</w:t>
        <w:tab/>
      </w:r>
      <w:r>
        <w:rPr>
          <w:noProof/>
        </w:rPr>
        <w:fldChar w:fldCharType="begin"/>
      </w:r>
      <w:r>
        <w:rPr>
          <w:noProof/>
        </w:rPr>
        <w:instrText xml:space="preserve"> </w:instrText>
      </w:r>
      <w:r>
        <w:rPr>
          <w:noProof/>
        </w:rPr>
        <w:instrText xml:space="preserve">PAGEREF </w:instrText>
      </w:r>
      <w:r>
        <w:rPr>
          <w:noProof/>
        </w:rPr>
        <w:instrText>_Toc242441655 \h</w:instrText>
      </w:r>
      <w:r>
        <w:rPr>
          <w:noProof/>
        </w:rPr>
        <w:instrText xml:space="preserve"> </w:instrText>
      </w:r>
      <w:r>
        <w:rPr>
          <w:noProof/>
        </w:rPr>
        <w:fldChar w:fldCharType="separate"/>
      </w:r>
      <w:r>
        <w:rPr>
          <w:noProof/>
        </w:rPr>
        <w:t>10</w:t>
      </w:r>
      <w:r>
        <w:rPr>
          <w:noProof/>
        </w:rPr>
        <w:fldChar w:fldCharType="end"/>
      </w:r>
    </w:p>
    <w:p w:rsidR="00C070DB" w:rsidRPr="00347110">
      <w:pPr>
        <w:pStyle w:val="TOC1"/>
        <w:rPr>
          <w:rFonts w:ascii="Aptos" w:eastAsia="Times New Roman" w:hAnsi="Aptos"/>
          <w:noProof/>
          <w:color w:val="auto"/>
          <w:kern w:val="2"/>
          <w:lang w:val="en-GB" w:eastAsia="en-GB"/>
        </w:rPr>
      </w:pPr>
      <w:r w:rsidRPr="00E31E88">
        <w:rPr>
          <w:noProof/>
          <w:lang w:val="de-DE"/>
        </w:rPr>
        <w:t>VERZEICHNIS DER DOKUMENTE, DIE DEN BERATUNGEN UND BESCHLÜSSEN DES PARLAMENTS ZUGRUNDE LIEGEN</w:t>
      </w:r>
      <w:r>
        <w:rPr>
          <w:noProof/>
        </w:rPr>
        <w:tab/>
      </w:r>
      <w:r>
        <w:rPr>
          <w:noProof/>
        </w:rPr>
        <w:fldChar w:fldCharType="begin"/>
      </w:r>
      <w:r>
        <w:rPr>
          <w:noProof/>
        </w:rPr>
        <w:instrText xml:space="preserve"> </w:instrText>
      </w:r>
      <w:r>
        <w:rPr>
          <w:noProof/>
        </w:rPr>
        <w:instrText xml:space="preserve">PAGEREF </w:instrText>
      </w:r>
      <w:r>
        <w:rPr>
          <w:noProof/>
        </w:rPr>
        <w:instrText>_Toc242441656 \h</w:instrText>
      </w:r>
      <w:r>
        <w:rPr>
          <w:noProof/>
        </w:rPr>
        <w:instrText xml:space="preserve"> </w:instrText>
      </w:r>
      <w:r>
        <w:rPr>
          <w:noProof/>
        </w:rPr>
        <w:fldChar w:fldCharType="separate"/>
      </w:r>
      <w:r>
        <w:rPr>
          <w:noProof/>
        </w:rPr>
        <w:t>12</w:t>
      </w:r>
      <w:r>
        <w:rPr>
          <w:noProof/>
        </w:rPr>
        <w:fldChar w:fldCharType="end"/>
      </w:r>
    </w:p>
    <w:p w:rsidR="00C070DB" w:rsidRPr="00347110">
      <w:pPr>
        <w:pStyle w:val="TOC1"/>
        <w:rPr>
          <w:rFonts w:ascii="Aptos" w:eastAsia="Times New Roman" w:hAnsi="Aptos"/>
          <w:noProof/>
          <w:color w:val="auto"/>
          <w:kern w:val="2"/>
          <w:lang w:val="en-GB" w:eastAsia="en-GB"/>
        </w:rPr>
      </w:pPr>
      <w:r>
        <w:rPr>
          <w:noProof/>
        </w:rPr>
        <w:t>I. Eingereichte Entschließungsanträge</w:t>
        <w:tab/>
      </w:r>
      <w:r>
        <w:rPr>
          <w:noProof/>
        </w:rPr>
        <w:fldChar w:fldCharType="begin"/>
      </w:r>
      <w:r>
        <w:rPr>
          <w:noProof/>
        </w:rPr>
        <w:instrText xml:space="preserve"> </w:instrText>
      </w:r>
      <w:r>
        <w:rPr>
          <w:noProof/>
        </w:rPr>
        <w:instrText xml:space="preserve">PAGEREF </w:instrText>
      </w:r>
      <w:r>
        <w:rPr>
          <w:noProof/>
        </w:rPr>
        <w:instrText>_Toc242441657 \h</w:instrText>
      </w:r>
      <w:r>
        <w:rPr>
          <w:noProof/>
        </w:rPr>
        <w:instrText xml:space="preserve"> </w:instrText>
      </w:r>
      <w:r>
        <w:rPr>
          <w:noProof/>
        </w:rPr>
        <w:fldChar w:fldCharType="separate"/>
      </w:r>
      <w:r>
        <w:rPr>
          <w:noProof/>
        </w:rPr>
        <w:t>12</w:t>
      </w:r>
      <w:r>
        <w:rPr>
          <w:noProof/>
        </w:rPr>
        <w:fldChar w:fldCharType="end"/>
      </w:r>
    </w:p>
    <w:p w:rsidR="00C070DB" w:rsidRPr="00347110">
      <w:pPr>
        <w:pStyle w:val="TOC1"/>
        <w:rPr>
          <w:rFonts w:ascii="Aptos" w:eastAsia="Times New Roman" w:hAnsi="Aptos"/>
          <w:noProof/>
          <w:color w:val="auto"/>
          <w:kern w:val="2"/>
          <w:lang w:val="en-GB" w:eastAsia="en-GB"/>
        </w:rPr>
      </w:pPr>
      <w:r>
        <w:rPr>
          <w:noProof/>
        </w:rPr>
        <w:t>II. Petitionen</w:t>
        <w:tab/>
      </w:r>
      <w:r>
        <w:rPr>
          <w:noProof/>
        </w:rPr>
        <w:fldChar w:fldCharType="begin"/>
      </w:r>
      <w:r>
        <w:rPr>
          <w:noProof/>
        </w:rPr>
        <w:instrText xml:space="preserve"> </w:instrText>
      </w:r>
      <w:r>
        <w:rPr>
          <w:noProof/>
        </w:rPr>
        <w:instrText xml:space="preserve">PAGEREF </w:instrText>
      </w:r>
      <w:r>
        <w:rPr>
          <w:noProof/>
        </w:rPr>
        <w:instrText>_Toc242441658 \h</w:instrText>
      </w:r>
      <w:r>
        <w:rPr>
          <w:noProof/>
        </w:rPr>
        <w:instrText xml:space="preserve"> </w:instrText>
      </w:r>
      <w:r>
        <w:rPr>
          <w:noProof/>
        </w:rPr>
        <w:fldChar w:fldCharType="separate"/>
      </w:r>
      <w:r>
        <w:rPr>
          <w:noProof/>
        </w:rPr>
        <w:t>17</w:t>
      </w:r>
      <w:r>
        <w:rPr>
          <w:noProof/>
        </w:rPr>
        <w:fldChar w:fldCharType="end"/>
      </w:r>
    </w:p>
    <w:p w:rsidR="00C070DB" w:rsidRPr="00347110">
      <w:pPr>
        <w:pStyle w:val="TOC1"/>
        <w:rPr>
          <w:rFonts w:ascii="Aptos" w:eastAsia="Times New Roman" w:hAnsi="Aptos"/>
          <w:noProof/>
          <w:color w:val="auto"/>
          <w:kern w:val="2"/>
          <w:lang w:val="en-GB" w:eastAsia="en-GB"/>
        </w:rPr>
      </w:pPr>
      <w:r>
        <w:rPr>
          <w:noProof/>
        </w:rPr>
        <w:t>III. Beschlüsse zur Ausarbeitung von Initiativberichten</w:t>
        <w:tab/>
      </w:r>
      <w:r>
        <w:rPr>
          <w:noProof/>
        </w:rPr>
        <w:fldChar w:fldCharType="begin"/>
      </w:r>
      <w:r>
        <w:rPr>
          <w:noProof/>
        </w:rPr>
        <w:instrText xml:space="preserve"> </w:instrText>
      </w:r>
      <w:r>
        <w:rPr>
          <w:noProof/>
        </w:rPr>
        <w:instrText xml:space="preserve">PAGEREF </w:instrText>
      </w:r>
      <w:r>
        <w:rPr>
          <w:noProof/>
        </w:rPr>
        <w:instrText>_Toc242441659 \h</w:instrText>
      </w:r>
      <w:r>
        <w:rPr>
          <w:noProof/>
        </w:rPr>
        <w:instrText xml:space="preserve"> </w:instrText>
      </w:r>
      <w:r>
        <w:rPr>
          <w:noProof/>
        </w:rPr>
        <w:fldChar w:fldCharType="separate"/>
      </w:r>
      <w:r>
        <w:rPr>
          <w:noProof/>
        </w:rPr>
        <w:t>17</w:t>
      </w:r>
      <w:r>
        <w:rPr>
          <w:noProof/>
        </w:rPr>
        <w:fldChar w:fldCharType="end"/>
      </w:r>
    </w:p>
    <w:p w:rsidR="00C070DB" w:rsidRPr="00347110">
      <w:pPr>
        <w:pStyle w:val="TOC1"/>
        <w:rPr>
          <w:rFonts w:ascii="Aptos" w:eastAsia="Times New Roman" w:hAnsi="Aptos"/>
          <w:noProof/>
          <w:color w:val="auto"/>
          <w:kern w:val="2"/>
          <w:lang w:val="en-GB" w:eastAsia="en-GB"/>
        </w:rPr>
      </w:pPr>
      <w:r>
        <w:rPr>
          <w:noProof/>
        </w:rPr>
        <w:t>IV. Änderungen von Ausschussbefassungen</w:t>
        <w:tab/>
      </w:r>
      <w:r>
        <w:rPr>
          <w:noProof/>
        </w:rPr>
        <w:fldChar w:fldCharType="begin"/>
      </w:r>
      <w:r>
        <w:rPr>
          <w:noProof/>
        </w:rPr>
        <w:instrText xml:space="preserve"> </w:instrText>
      </w:r>
      <w:r>
        <w:rPr>
          <w:noProof/>
        </w:rPr>
        <w:instrText xml:space="preserve">PAGEREF </w:instrText>
      </w:r>
      <w:r>
        <w:rPr>
          <w:noProof/>
        </w:rPr>
        <w:instrText>_Toc242441660 \h</w:instrText>
      </w:r>
      <w:r>
        <w:rPr>
          <w:noProof/>
        </w:rPr>
        <w:instrText xml:space="preserve"> </w:instrText>
      </w:r>
      <w:r>
        <w:rPr>
          <w:noProof/>
        </w:rPr>
        <w:fldChar w:fldCharType="separate"/>
      </w:r>
      <w:r>
        <w:rPr>
          <w:noProof/>
        </w:rPr>
        <w:t>18</w:t>
      </w:r>
      <w:r>
        <w:rPr>
          <w:noProof/>
        </w:rPr>
        <w:fldChar w:fldCharType="end"/>
      </w:r>
    </w:p>
    <w:p w:rsidR="00C070DB" w:rsidRPr="00347110">
      <w:pPr>
        <w:pStyle w:val="TOC1"/>
        <w:rPr>
          <w:rFonts w:ascii="Aptos" w:eastAsia="Times New Roman" w:hAnsi="Aptos"/>
          <w:noProof/>
          <w:color w:val="auto"/>
          <w:kern w:val="2"/>
          <w:lang w:val="en-GB" w:eastAsia="en-GB"/>
        </w:rPr>
      </w:pPr>
      <w:r>
        <w:rPr>
          <w:noProof/>
        </w:rPr>
        <w:t>V. Zustimmungsverfahren</w:t>
        <w:tab/>
      </w:r>
      <w:r>
        <w:rPr>
          <w:noProof/>
        </w:rPr>
        <w:fldChar w:fldCharType="begin"/>
      </w:r>
      <w:r>
        <w:rPr>
          <w:noProof/>
        </w:rPr>
        <w:instrText xml:space="preserve"> </w:instrText>
      </w:r>
      <w:r>
        <w:rPr>
          <w:noProof/>
        </w:rPr>
        <w:instrText xml:space="preserve">PAGEREF </w:instrText>
      </w:r>
      <w:r>
        <w:rPr>
          <w:noProof/>
        </w:rPr>
        <w:instrText>_Toc242441661 \h</w:instrText>
      </w:r>
      <w:r>
        <w:rPr>
          <w:noProof/>
        </w:rPr>
        <w:instrText xml:space="preserve"> </w:instrText>
      </w:r>
      <w:r>
        <w:rPr>
          <w:noProof/>
        </w:rPr>
        <w:fldChar w:fldCharType="separate"/>
      </w:r>
      <w:r>
        <w:rPr>
          <w:noProof/>
        </w:rPr>
        <w:t>19</w:t>
      </w:r>
      <w:r>
        <w:rPr>
          <w:noProof/>
        </w:rPr>
        <w:fldChar w:fldCharType="end"/>
      </w:r>
    </w:p>
    <w:p w:rsidR="00C070DB" w:rsidRPr="00347110">
      <w:pPr>
        <w:pStyle w:val="TOC1"/>
        <w:rPr>
          <w:rFonts w:ascii="Aptos" w:eastAsia="Times New Roman" w:hAnsi="Aptos"/>
          <w:noProof/>
          <w:color w:val="auto"/>
          <w:kern w:val="2"/>
          <w:lang w:val="en-GB" w:eastAsia="en-GB"/>
        </w:rPr>
      </w:pPr>
      <w:r>
        <w:rPr>
          <w:noProof/>
        </w:rPr>
        <w:t>VI. Vorlage von Dokumenten</w:t>
        <w:tab/>
      </w:r>
      <w:r>
        <w:rPr>
          <w:noProof/>
        </w:rPr>
        <w:fldChar w:fldCharType="begin"/>
      </w:r>
      <w:r>
        <w:rPr>
          <w:noProof/>
        </w:rPr>
        <w:instrText xml:space="preserve"> </w:instrText>
      </w:r>
      <w:r>
        <w:rPr>
          <w:noProof/>
        </w:rPr>
        <w:instrText xml:space="preserve">PAGEREF </w:instrText>
      </w:r>
      <w:r>
        <w:rPr>
          <w:noProof/>
        </w:rPr>
        <w:instrText>_Toc242441662 \h</w:instrText>
      </w:r>
      <w:r>
        <w:rPr>
          <w:noProof/>
        </w:rPr>
        <w:instrText xml:space="preserve"> </w:instrText>
      </w:r>
      <w:r>
        <w:rPr>
          <w:noProof/>
        </w:rPr>
        <w:fldChar w:fldCharType="separate"/>
      </w:r>
      <w:r>
        <w:rPr>
          <w:noProof/>
        </w:rPr>
        <w:t>19</w:t>
      </w:r>
      <w:r>
        <w:rPr>
          <w:noProof/>
        </w:rPr>
        <w:fldChar w:fldCharType="end"/>
      </w:r>
    </w:p>
    <w:p w:rsidR="00C070DB" w:rsidRPr="00347110">
      <w:pPr>
        <w:pStyle w:val="TOC1"/>
        <w:rPr>
          <w:rFonts w:ascii="Aptos" w:eastAsia="Times New Roman" w:hAnsi="Aptos"/>
          <w:noProof/>
          <w:color w:val="auto"/>
          <w:kern w:val="2"/>
          <w:lang w:val="en-GB" w:eastAsia="en-GB"/>
        </w:rPr>
      </w:pPr>
      <w:r w:rsidRPr="00E31E88">
        <w:rPr>
          <w:noProof/>
          <w:lang w:val="de-DE"/>
        </w:rPr>
        <w:t>ANWESENHEITSLISTE</w:t>
      </w:r>
      <w:r>
        <w:rPr>
          <w:noProof/>
        </w:rPr>
        <w:tab/>
      </w:r>
      <w:r>
        <w:rPr>
          <w:noProof/>
        </w:rPr>
        <w:fldChar w:fldCharType="begin"/>
      </w:r>
      <w:r>
        <w:rPr>
          <w:noProof/>
        </w:rPr>
        <w:instrText xml:space="preserve"> </w:instrText>
      </w:r>
      <w:r>
        <w:rPr>
          <w:noProof/>
        </w:rPr>
        <w:instrText xml:space="preserve">PAGEREF </w:instrText>
      </w:r>
      <w:r>
        <w:rPr>
          <w:noProof/>
        </w:rPr>
        <w:instrText>_Toc242441663 \h</w:instrText>
      </w:r>
      <w:r>
        <w:rPr>
          <w:noProof/>
        </w:rPr>
        <w:instrText xml:space="preserve"> </w:instrText>
      </w:r>
      <w:r>
        <w:rPr>
          <w:noProof/>
        </w:rPr>
        <w:fldChar w:fldCharType="separate"/>
      </w:r>
      <w:r>
        <w:rPr>
          <w:noProof/>
        </w:rPr>
        <w:t>20</w:t>
      </w:r>
      <w:r>
        <w:rPr>
          <w:noProof/>
        </w:rPr>
        <w:fldChar w:fldCharType="end"/>
      </w:r>
    </w:p>
    <w:p w:rsidR="00347110">
      <w:pPr>
        <w:pStyle w:val="TOC1"/>
        <w:tabs>
          <w:tab w:val="clear" w:pos="9637"/>
          <w:tab w:val="right" w:leader="dot" w:pos="9638"/>
        </w:tabs>
        <w:sectPr>
          <w:footnotePr>
            <w:pos w:val="beneathText"/>
          </w:footnotePr>
          <w:type w:val="continuous"/>
          <w:pgSz w:w="11906" w:h="16837"/>
          <w:pgMar w:top="567" w:right="1134" w:bottom="1134" w:left="1134" w:header="720" w:footer="720" w:gutter="0"/>
          <w:cols w:space="720"/>
          <w:docGrid w:linePitch="360"/>
        </w:sectPr>
      </w:pPr>
      <w:r>
        <w:fldChar w:fldCharType="end"/>
      </w:r>
    </w:p>
    <w:p w:rsidR="00347110">
      <w:pPr>
        <w:sectPr>
          <w:footnotePr>
            <w:pos w:val="beneathText"/>
          </w:footnotePr>
          <w:type w:val="continuous"/>
          <w:pgSz w:w="11906" w:h="16837"/>
          <w:pgMar w:top="567" w:right="1134" w:bottom="1134" w:left="1134" w:header="720" w:footer="720" w:gutter="0"/>
          <w:cols w:space="720"/>
          <w:titlePg/>
          <w:docGrid w:linePitch="360"/>
        </w:sectPr>
      </w:pPr>
    </w:p>
    <w:p w:rsidR="00347110"/>
    <w:p w:rsidR="00347110">
      <w:pPr>
        <w:jc w:val="center"/>
        <w:rPr>
          <w:b/>
          <w:lang w:val="de-DE"/>
        </w:rPr>
      </w:pPr>
      <w:r>
        <w:rPr>
          <w:b/>
          <w:lang w:val="de-DE"/>
        </w:rPr>
        <w:t>EUROPÄISCHES PARLAMENT</w:t>
      </w:r>
    </w:p>
    <w:p w:rsidR="00347110">
      <w:pPr>
        <w:jc w:val="center"/>
        <w:rPr>
          <w:b/>
          <w:lang w:val="de-DE"/>
        </w:rPr>
      </w:pPr>
      <w:r>
        <w:rPr>
          <w:b/>
          <w:lang w:val="de-DE"/>
        </w:rPr>
        <w:t>SITZUNGSPERIODE 2026-2027</w:t>
      </w:r>
    </w:p>
    <w:p w:rsidR="00347110">
      <w:pPr>
        <w:jc w:val="center"/>
        <w:rPr>
          <w:b/>
          <w:lang w:val="de-DE"/>
        </w:rPr>
      </w:pPr>
      <w:r>
        <w:rPr>
          <w:b/>
          <w:lang w:val="de-DE"/>
        </w:rPr>
        <w:t>Sitzungen vom 5. bis 8. Oktober 2026</w:t>
      </w:r>
    </w:p>
    <w:p w:rsidR="00347110">
      <w:pPr>
        <w:jc w:val="center"/>
        <w:rPr>
          <w:b/>
          <w:lang w:val="de-DE"/>
        </w:rPr>
      </w:pPr>
      <w:r>
        <w:rPr>
          <w:b/>
          <w:lang w:val="de-DE"/>
        </w:rPr>
        <w:t xml:space="preserve">STRASSBURG </w:t>
      </w:r>
    </w:p>
    <w:p w:rsidR="00347110">
      <w:pPr>
        <w:jc w:val="center"/>
        <w:rPr>
          <w:b/>
          <w:lang w:val="de-DE"/>
        </w:rPr>
      </w:pPr>
      <w:r>
        <w:rPr>
          <w:b/>
          <w:lang w:val="de-DE"/>
        </w:rPr>
        <w:t>PROTOKOLL</w:t>
      </w:r>
    </w:p>
    <w:p w:rsidR="00347110">
      <w:pPr>
        <w:jc w:val="center"/>
        <w:rPr>
          <w:b/>
          <w:bCs/>
          <w:lang w:val="de-DE"/>
        </w:rPr>
      </w:pPr>
      <w:r>
        <w:rPr>
          <w:b/>
          <w:bCs/>
          <w:lang w:val="de-DE"/>
        </w:rPr>
        <w:t>DONNERSTAG, 8. OKTOBER 2026</w:t>
      </w:r>
    </w:p>
    <w:p w:rsidR="00347110">
      <w:pPr>
        <w:spacing w:before="170" w:after="0"/>
        <w:jc w:val="center"/>
        <w:rPr>
          <w:i/>
          <w:lang w:val="de-DE"/>
        </w:rPr>
      </w:pPr>
      <w:r>
        <w:rPr>
          <w:lang w:val="de-DE"/>
        </w:rPr>
        <w:t>VORSITZ: Victor NEGRESCU</w:t>
      </w:r>
      <w:r>
        <w:rPr>
          <w:lang w:val="de-DE"/>
        </w:rPr>
        <w:br/>
      </w:r>
      <w:r>
        <w:rPr>
          <w:i/>
          <w:lang w:val="de-DE"/>
        </w:rPr>
        <w:t>Vizepräsident</w:t>
      </w:r>
    </w:p>
    <w:p w:rsidR="00347110">
      <w:pPr>
        <w:pStyle w:val="Heading1"/>
      </w:pPr>
      <w:bookmarkStart w:id="0" w:name="_Toc242441626"/>
      <w:r>
        <w:t>1. Eröffnung der Sitzung</w:t>
      </w:r>
      <w:bookmarkEnd w:id="0"/>
    </w:p>
    <w:p w:rsidR="00347110">
      <w:r>
        <w:t>Die Sitzung</w:t>
      </w:r>
      <w:r>
        <w:t xml:space="preserve"> wird um 9.02 Uhr eröffnet.</w:t>
      </w:r>
    </w:p>
    <w:p w:rsidR="00347110">
      <w:pPr>
        <w:pStyle w:val="Heading1"/>
        <w:rPr>
          <w:b w:val="0"/>
          <w:bCs w:val="0"/>
          <w:lang w:val="de-DE"/>
        </w:rPr>
      </w:pPr>
      <w:bookmarkStart w:id="1" w:name="_Toc242441627"/>
      <w:r>
        <w:t xml:space="preserve">2. Standpunkte des Rates in erster Lesung </w:t>
      </w:r>
      <w:r>
        <w:rPr>
          <w:b w:val="0"/>
          <w:bCs w:val="0"/>
          <w:lang w:val="de-DE"/>
        </w:rPr>
        <w:t>(Artikel 64 GO)</w:t>
      </w:r>
      <w:bookmarkEnd w:id="1"/>
    </w:p>
    <w:p w:rsidR="00347110">
      <w:pPr>
        <w:rPr>
          <w:lang w:val="de-DE"/>
        </w:rPr>
      </w:pPr>
      <w:r>
        <w:rPr>
          <w:lang w:val="de-DE"/>
        </w:rPr>
        <w:t>Die folgenden Standpunkte des Rates in erster Lesung werden gemäß Artikel 64 Absatz 1 GO bekannt gegeben:</w:t>
      </w:r>
    </w:p>
    <w:p w:rsidR="00347110">
      <w:pPr>
        <w:rPr>
          <w:lang w:val="de-DE"/>
        </w:rPr>
      </w:pPr>
      <w:r>
        <w:rPr>
          <w:lang w:val="de-DE"/>
        </w:rPr>
        <w:t>- Standpunkt des Rates in erster Lesung für den Erlass der Verordnung des Europäischen Parlaments und des Rates zur Festlegung der Verfahren der Union für die Zulassung und Überwachung von Humanarzneimitteln und zur Festlegung von Vorschriften für die Europäische Arzneimittel-Agentur, zur Änderung der Verordnungen (EG)</w:t>
      </w:r>
      <w:r>
        <w:rPr>
          <w:lang w:val="de-DE"/>
        </w:rPr>
        <w:t xml:space="preserve"> Nr. 1394/2007 und (EU) Nr. 536/2014 sowie zur Aufhebung der Verordnungen (EG) Nr. 141/2000, (EG) Nr. 726/2004 und (EG) Nr. 1901/2006 — Vom Rat am 28. September 2026 angenommen (07105/2/2026 - COM(2026)0527 - C10-0243/2026 - 2023/0131(COD))</w:t>
        <w:br/>
        <w:t>Ausschussbefassung: federführend: SANT</w:t>
      </w:r>
    </w:p>
    <w:p w:rsidR="00347110">
      <w:pPr>
        <w:rPr>
          <w:lang w:val="de-DE"/>
        </w:rPr>
      </w:pPr>
      <w:r>
        <w:rPr>
          <w:lang w:val="de-DE"/>
        </w:rPr>
        <w:t>- Standpunkt des Rates in erster Lesung im Hinblick auf den Erlass einer Richtlinie des Europäischen Parlaments und des Rates zur Schaffung eines Unionskodex für Humanarzneimittel und zur Aufhebung der Richtlinien 2001/83/EG und 200</w:t>
      </w:r>
      <w:r>
        <w:rPr>
          <w:lang w:val="de-DE"/>
        </w:rPr>
        <w:t>9/35/EG — Vom Rat am 28. September 2026 angenommen (07106/2/2026 - COM(2026)0526 - C10-0244/2026 - 2023/0132(COD))</w:t>
        <w:br/>
        <w:t>Ausschussbefassung: federführend: SANT</w:t>
      </w:r>
    </w:p>
    <w:p w:rsidR="00347110">
      <w:pPr>
        <w:rPr>
          <w:lang w:val="de-DE"/>
        </w:rPr>
      </w:pPr>
      <w:r>
        <w:rPr>
          <w:lang w:val="de-DE"/>
        </w:rPr>
        <w:t>Die Frist von drei Monaten, über die das Parlament nach Artikel 294 des Vertrags über die Arbeitsweise der Europäischen Union verfügt, um seine Standpunkte festzulegen, beginnt mit dem morgigen Datum, dem 9. Oktober 2026.</w:t>
      </w:r>
    </w:p>
    <w:p w:rsidR="00347110">
      <w:pPr>
        <w:pStyle w:val="Heading1"/>
      </w:pPr>
      <w:bookmarkStart w:id="2" w:name="_Toc242441628"/>
      <w:r>
        <w:t xml:space="preserve">3. Eskalierende Lage im östlichen Mittelmeer und in der Ägäis infolge der anhaltenden Provokationen seitens der Türkei </w:t>
      </w:r>
      <w:r>
        <w:rPr>
          <w:b w:val="0"/>
          <w:bCs w:val="0"/>
          <w:lang w:val="de-DE"/>
        </w:rPr>
        <w:t>(Aussprache)</w:t>
      </w:r>
      <w:bookmarkEnd w:id="2"/>
      <w:r>
        <w:t xml:space="preserve"> </w:t>
      </w:r>
    </w:p>
    <w:p w:rsidR="00347110">
      <w:pPr>
        <w:rPr>
          <w:lang w:val="de-DE"/>
        </w:rPr>
      </w:pPr>
      <w:r>
        <w:rPr>
          <w:lang w:val="de-DE"/>
        </w:rPr>
        <w:t>Erk</w:t>
      </w:r>
      <w:r>
        <w:rPr>
          <w:lang w:val="de-DE"/>
        </w:rPr>
        <w:t>lärung der Kommission: Eskalierende Lage im östlichen Mittelmeer und in der Ägäis infolge der anhaltenden Provokationen seitens der Türkei (2026/2908(RSP))</w:t>
      </w:r>
    </w:p>
    <w:p w:rsidR="00347110">
      <w:pPr>
        <w:rPr>
          <w:lang w:val="de-DE"/>
        </w:rPr>
      </w:pPr>
      <w:r>
        <w:rPr>
          <w:lang w:val="de-DE"/>
        </w:rPr>
        <w:t>Raffaele Fitto (Exekutiv-Vizepräsident der Kommission) gibt die Erklärung ab.</w:t>
      </w:r>
    </w:p>
    <w:p w:rsidR="00347110">
      <w:pPr>
        <w:rPr>
          <w:lang w:val="de-DE"/>
        </w:rPr>
      </w:pPr>
      <w:r>
        <w:rPr>
          <w:lang w:val="de-DE"/>
        </w:rPr>
        <w:t>Es sprechen Elissavet Vozemberg-Vrionidi im Namen der PPE-Fraktion, Yannis Maniatis im Namen der S&amp;D-Fraktion, Pierre-Romain Thionnet im Namen der PfE-Fraktion, Geadis Geadi im Namen der ECR-Fraktion, Marie-Agnes Strack-Zimmermann im Namen der Renew-Fraktion, Leoluca Orlando im</w:t>
      </w:r>
      <w:r>
        <w:rPr>
          <w:lang w:val="de-DE"/>
        </w:rPr>
        <w:t xml:space="preserve"> Namen der Verts/ALE-Fraktion, Giorgos Georgiou im Namen der Fraktion The Left, Emmanouil Kefalogiannis, Costas Mavrides, Christophe Bay, Emmanouil Fragkos, </w:t>
      </w:r>
      <w:r>
        <w:rPr>
          <w:lang w:val="de-DE"/>
        </w:rPr>
        <w:t xml:space="preserve">Helmut Brandstätter, Konstantinos Arvanitis, Kostas Papadakis, Antonio López-Istúriz White, Evin Incir, Angéline Furet, Joachim Stanisław Brudziński, Özlem Demirel, Nikolaos Anadiotis, Loucas Fourlas, der außerdem auf eine Frage nach dem Verfahren der „blauen Karte“ von Lukas Sieper antwortet, Guillaume Peltier (der Präsident erinnert den Redner daran, </w:t>
      </w:r>
      <w:r>
        <w:rPr>
          <w:lang w:val="de-DE"/>
        </w:rPr>
        <w:t>dass er sich an das Thema der Aussprache halten muss), Lukas Sieper zu den Äußerungen des Vorredners (der Präsident nimmt dies zur Kenntnis), Davor Ivo Stier, Fredis Beleris, Željana Zovko, Georgios Aftias und Michalis Hadjipantela.</w:t>
      </w:r>
    </w:p>
    <w:p w:rsidR="00347110">
      <w:pPr>
        <w:rPr>
          <w:lang w:val="de-DE"/>
        </w:rPr>
      </w:pPr>
      <w:r>
        <w:rPr>
          <w:lang w:val="de-DE"/>
        </w:rPr>
        <w:t>Es sprechen nach dem Verfahren für spontane Wortmeldungen Dimitris Tsiodras, Juan Fernando López Aguilar, Lukas Sieper, Malika Sorel, Matej Tonin und Maria Zacharia.</w:t>
      </w:r>
    </w:p>
    <w:p w:rsidR="00347110">
      <w:pPr>
        <w:rPr>
          <w:lang w:val="de-DE"/>
        </w:rPr>
      </w:pPr>
      <w:r>
        <w:rPr>
          <w:lang w:val="de-DE"/>
        </w:rPr>
        <w:t>Es spricht Raf</w:t>
      </w:r>
      <w:r>
        <w:rPr>
          <w:lang w:val="de-DE"/>
        </w:rPr>
        <w:t>faele Fitto.</w:t>
      </w:r>
    </w:p>
    <w:p w:rsidR="00347110">
      <w:pPr>
        <w:rPr>
          <w:lang w:val="de-DE"/>
        </w:rPr>
      </w:pPr>
      <w:r>
        <w:rPr>
          <w:lang w:val="de-DE"/>
        </w:rPr>
        <w:t>Die Aussprache ist geschlossen.</w:t>
      </w:r>
    </w:p>
    <w:p w:rsidR="00347110">
      <w:pPr>
        <w:pStyle w:val="Heading1"/>
      </w:pPr>
      <w:bookmarkStart w:id="3" w:name="_Toc242441629"/>
      <w:r>
        <w:t>4. Strategien der EU für Inseln, Küstengemeinden und R</w:t>
      </w:r>
      <w:r>
        <w:t xml:space="preserve">egionen in äußerster Randlage </w:t>
      </w:r>
      <w:r>
        <w:rPr>
          <w:b w:val="0"/>
          <w:bCs w:val="0"/>
          <w:lang w:val="de-DE"/>
        </w:rPr>
        <w:t>(Aussprache)</w:t>
      </w:r>
      <w:bookmarkEnd w:id="3"/>
      <w:r>
        <w:t xml:space="preserve"> </w:t>
      </w:r>
    </w:p>
    <w:p w:rsidR="00347110">
      <w:pPr>
        <w:rPr>
          <w:lang w:val="de-DE"/>
        </w:rPr>
      </w:pPr>
      <w:r>
        <w:rPr>
          <w:lang w:val="de-DE"/>
        </w:rPr>
        <w:t>Erklärung der Kommission: Strategien der EU für Inseln, Küstengemeinden und Regionen in äußerster Randlage (2026/2916(RSP))</w:t>
      </w:r>
    </w:p>
    <w:p w:rsidR="00347110">
      <w:pPr>
        <w:rPr>
          <w:lang w:val="de-DE"/>
        </w:rPr>
      </w:pPr>
      <w:r>
        <w:rPr>
          <w:lang w:val="de-DE"/>
        </w:rPr>
        <w:t>Raffaele Fitto (Exekutiv-Vizepräsident der Kommission) gibt die Erklärung ab.</w:t>
      </w:r>
    </w:p>
    <w:p w:rsidR="00347110">
      <w:pPr>
        <w:rPr>
          <w:lang w:val="de-DE"/>
        </w:rPr>
      </w:pPr>
      <w:r>
        <w:rPr>
          <w:lang w:val="de-DE"/>
        </w:rPr>
        <w:t>Es sprechen Fredis Beleris im Namen der PPE-Fraktion, Sérgio Gonçalves im Namen der S&amp;D-Fraktion, André Rougé im Namen der PfE-Fraktion, Antonella Sberna im Namen der ECR-Fraktion, Ciaran Mullooly im Namen der Renew-Fraktion, David Cormand im Namen der Verts/ALE-Fra</w:t>
      </w:r>
      <w:r>
        <w:rPr>
          <w:lang w:val="de-DE"/>
        </w:rPr>
        <w:t>ktion, Elena Kountoura im Namen der Fraktion The Left, Sarah Knafo im Namen der ESN-Fraktion, Paulo Do Nascimento Cabral, Nora Mebarek, Mireia Borrás Pabón, Stephen Nikola Bartulica, Sandro Gozi, Leoluca Orlando und Younous Omarjee.</w:t>
      </w:r>
    </w:p>
    <w:p w:rsidR="00347110">
      <w:pPr>
        <w:jc w:val="center"/>
        <w:rPr>
          <w:i/>
          <w:lang w:val="de-DE"/>
        </w:rPr>
      </w:pPr>
      <w:r>
        <w:rPr>
          <w:lang w:val="de-DE"/>
        </w:rPr>
        <w:t>VORSITZ: Sophie WILMÈS</w:t>
      </w:r>
      <w:r>
        <w:rPr>
          <w:lang w:val="de-DE"/>
        </w:rPr>
        <w:br/>
      </w:r>
      <w:r>
        <w:rPr>
          <w:i/>
          <w:lang w:val="de-DE"/>
        </w:rPr>
        <w:t>Vizepräsidentin</w:t>
      </w:r>
    </w:p>
    <w:p w:rsidR="00347110">
      <w:pPr>
        <w:rPr>
          <w:lang w:val="de-DE"/>
        </w:rPr>
      </w:pPr>
      <w:r>
        <w:rPr>
          <w:lang w:val="de-DE"/>
        </w:rPr>
        <w:t>Es sprechen Paulo Do Nascimento Cabral, um nach dem Verfahren der „blauen Karte“ eine Frage an Younous Omarjee zu stellen, der die Frage beantwortet, Volker Schnurrbusch, der außerdem auf eine Frage nach dem Verfahren der „blauen Karte“ von</w:t>
      </w:r>
      <w:r>
        <w:rPr>
          <w:lang w:val="de-DE"/>
        </w:rPr>
        <w:t xml:space="preserve"> Raquel García Hermida-Van Der Walle antwortet, Isabelle Le Callennec, Marcos Ros Sempere, France Jamet, Geadis Geadi, Raquel García Hermida-Van Der Walle, Catarina Vieira, Catarina Martins, Ana Miguel Pedro, André Franqueira Rodrigues, Julien Sanchez, Elsi Katainen, Vicent Marzà Ibáñez, Gabriel Mato, Alex Agius Saliba, Valérie Deloge, Anna-Maja Henriksson, die außerdem auf Fragen nach dem Verfahren der „blaue</w:t>
      </w:r>
      <w:r>
        <w:rPr>
          <w:lang w:val="de-DE"/>
        </w:rPr>
        <w:t>n Karte“ von Michał Szczerba und João Oliveira antwortet, Marco Falcone, Sabrina Repp, Gilles Penne</w:t>
      </w:r>
      <w:r>
        <w:rPr>
          <w:lang w:val="de-DE"/>
        </w:rPr>
        <w:t>lle, Oihane Agirregoitia Martínez, Rosa Estaràs Ferragut, die außerdem auf eine Frage nach dem Verfahren der „blauen Karte“ von João Oliveira antwortet, Eric Sargiacomo, Christophe Grudler, Peter Agius, Giuseppe Lupo, der außerdem auf Fragen nach dem Verfahren der „blauen Karte“ von Sunčana Glavak und Sophia Kircher antwortet, Michael McNamara, Sakis Arnaoutoglou, der außerdem auf eine Frage nach dem Verfahren der „blauen Karte“ von Lukas Sieper antwortet, Sofie Eriksson, Juan Fernando López Aguilar, Alicia</w:t>
      </w:r>
      <w:r>
        <w:rPr>
          <w:lang w:val="de-DE"/>
        </w:rPr>
        <w:t xml:space="preserve"> Homs Ginel, die außerdem eine Frage nach dem Verfahren der „blauen Karte“ von Bogdan Rzońca zurückweist, und Thomas Bajada, der außerdem eine Frage nach dem Verfahren der „blauen Karte“ von Bogdan Rzońca zurückweist.</w:t>
      </w:r>
    </w:p>
    <w:p w:rsidR="00347110">
      <w:pPr>
        <w:rPr>
          <w:lang w:val="de-DE"/>
        </w:rPr>
      </w:pPr>
      <w:r>
        <w:rPr>
          <w:lang w:val="de-DE"/>
        </w:rPr>
        <w:t>Es sprechen nach dem Verfahren für spontane Wortmeldungen Željana Zovko, Sunčana Glavak, Tonino Picula, Sebastian Tynkkynen, Billy Kelleher, Luke Ming Flanagan, Lefteris Nikolaou-Alavanos, Joachim Stanisław Brudziński, João Oliveira und Maria Zacharia.</w:t>
      </w:r>
    </w:p>
    <w:p w:rsidR="00347110">
      <w:pPr>
        <w:rPr>
          <w:lang w:val="de-DE"/>
        </w:rPr>
      </w:pPr>
      <w:r>
        <w:rPr>
          <w:lang w:val="de-DE"/>
        </w:rPr>
        <w:t>Es spricht Raffaele Fitto.</w:t>
      </w:r>
    </w:p>
    <w:p w:rsidR="00347110">
      <w:pPr>
        <w:rPr>
          <w:lang w:val="de-DE"/>
        </w:rPr>
      </w:pPr>
      <w:r>
        <w:rPr>
          <w:lang w:val="de-DE"/>
        </w:rPr>
        <w:t>Die Aussprache</w:t>
      </w:r>
      <w:r>
        <w:rPr>
          <w:lang w:val="de-DE"/>
        </w:rPr>
        <w:t xml:space="preserve"> ist geschlossen.</w:t>
      </w:r>
    </w:p>
    <w:p w:rsidR="00347110">
      <w:pPr>
        <w:jc w:val="center"/>
        <w:rPr>
          <w:i/>
          <w:iCs/>
          <w:lang w:val="de-DE"/>
        </w:rPr>
      </w:pPr>
      <w:r>
        <w:rPr>
          <w:i/>
          <w:iCs/>
          <w:lang w:val="de-DE"/>
        </w:rPr>
        <w:t>(Die Sitzung wird um 11.47 Uhr unterbrochen.)</w:t>
      </w:r>
    </w:p>
    <w:p w:rsidR="00347110">
      <w:pPr>
        <w:jc w:val="center"/>
        <w:rPr>
          <w:i/>
          <w:lang w:val="de-DE"/>
        </w:rPr>
      </w:pPr>
      <w:r>
        <w:rPr>
          <w:lang w:val="de-DE"/>
        </w:rPr>
        <w:t>VORSITZ: Christel SCHALDEMOSE</w:t>
      </w:r>
      <w:r>
        <w:rPr>
          <w:lang w:val="de-DE"/>
        </w:rPr>
        <w:br/>
      </w:r>
      <w:r>
        <w:rPr>
          <w:i/>
          <w:lang w:val="de-DE"/>
        </w:rPr>
        <w:t>Vizepräsidentin</w:t>
      </w:r>
    </w:p>
    <w:p w:rsidR="00347110">
      <w:pPr>
        <w:pStyle w:val="Heading1"/>
      </w:pPr>
      <w:bookmarkStart w:id="4" w:name="_Toc242441630"/>
      <w:r>
        <w:t>5. Wiederaufnahme der Sitzung</w:t>
      </w:r>
      <w:bookmarkEnd w:id="4"/>
    </w:p>
    <w:p w:rsidR="00347110">
      <w:r>
        <w:t xml:space="preserve">Die Sitzung wird </w:t>
      </w:r>
      <w:r>
        <w:t>um 12.01 Uhr wieder aufgenommen.</w:t>
      </w:r>
    </w:p>
    <w:p w:rsidR="00347110">
      <w:pPr>
        <w:jc w:val="center"/>
        <w:rPr>
          <w:b/>
          <w:lang w:val="de-DE"/>
        </w:rPr>
      </w:pPr>
      <w:r>
        <w:rPr>
          <w:b/>
          <w:lang w:val="de-DE"/>
        </w:rPr>
        <w:t>⁂</w:t>
      </w:r>
    </w:p>
    <w:p w:rsidR="00347110">
      <w:pPr>
        <w:rPr>
          <w:lang w:val="de-DE"/>
        </w:rPr>
      </w:pPr>
      <w:r>
        <w:rPr>
          <w:lang w:val="de-DE"/>
        </w:rPr>
        <w:t>Es spricht Iratxe García Pérez.</w:t>
      </w:r>
    </w:p>
    <w:p w:rsidR="00347110">
      <w:pPr>
        <w:pStyle w:val="Heading1"/>
      </w:pPr>
      <w:bookmarkStart w:id="5" w:name="_Toc242441631"/>
      <w:r>
        <w:t>6. Abstimmungsstunde</w:t>
      </w:r>
      <w:bookmarkEnd w:id="5"/>
    </w:p>
    <w:p w:rsidR="00347110">
      <w:pPr>
        <w:rPr>
          <w:lang w:val="de-DE"/>
        </w:rPr>
      </w:pPr>
      <w:r>
        <w:rPr>
          <w:lang w:val="de-DE"/>
        </w:rPr>
        <w:t>Die detaillierten Ergebnisse der Abstimmungen können auch unter „Ergebnisse der Abstimmungen“ und „Ergebnis der namentlichen Abstimmungen“ eingesehen werden.</w:t>
      </w:r>
    </w:p>
    <w:p w:rsidR="00347110">
      <w:pPr>
        <w:pStyle w:val="Heading2"/>
        <w:rPr>
          <w:b w:val="0"/>
          <w:bCs w:val="0"/>
          <w:lang w:val="de-DE"/>
        </w:rPr>
      </w:pPr>
      <w:bookmarkStart w:id="6" w:name="_Toc242441632"/>
      <w:r>
        <w:t>6.1. Einwa</w:t>
      </w:r>
      <w:r>
        <w:t xml:space="preserve">nd gemäß Artikel 115 Absätze 2, 3 und 4 Buchstabe c der Geschäftsordnung: Blei in Schrotmunition </w:t>
      </w:r>
      <w:r>
        <w:rPr>
          <w:b w:val="0"/>
          <w:bCs w:val="0"/>
          <w:lang w:val="de-DE"/>
        </w:rPr>
        <w:t>(A</w:t>
      </w:r>
      <w:r>
        <w:rPr>
          <w:b w:val="0"/>
          <w:bCs w:val="0"/>
          <w:lang w:val="de-DE"/>
        </w:rPr>
        <w:t>bstimmung)</w:t>
      </w:r>
      <w:bookmarkEnd w:id="6"/>
      <w:r>
        <w:rPr>
          <w:b w:val="0"/>
          <w:bCs w:val="0"/>
          <w:lang w:val="de-DE"/>
        </w:rPr>
        <w:t xml:space="preserve"> </w:t>
      </w:r>
    </w:p>
    <w:p w:rsidR="00347110">
      <w:pPr>
        <w:spacing w:after="170"/>
        <w:rPr>
          <w:i/>
          <w:iCs/>
          <w:lang w:val="de-DE"/>
        </w:rPr>
      </w:pPr>
      <w:r>
        <w:rPr>
          <w:lang w:val="de-DE"/>
        </w:rPr>
        <w:t xml:space="preserve">Entschließungsanträge </w:t>
      </w:r>
      <w:r>
        <w:rPr>
          <w:lang w:val="de-DE"/>
        </w:rPr>
        <w:t>B10-0431/2025 und B10-0432/2025 (</w:t>
      </w:r>
      <w:r>
        <w:rPr>
          <w:i/>
          <w:iCs/>
          <w:lang w:val="de-DE"/>
        </w:rPr>
        <w:t>Punkt I des Protokolls vom 8.10.2026</w:t>
      </w:r>
      <w:r>
        <w:rPr>
          <w:lang w:val="de-DE"/>
        </w:rPr>
        <w:t>)</w:t>
      </w:r>
      <w:r>
        <w:rPr>
          <w:lang w:val="de-DE"/>
        </w:rPr>
        <w:t xml:space="preserve"> (2026/2824(RPS))</w:t>
        <w:br/>
      </w:r>
      <w:r>
        <w:rPr>
          <w:i/>
          <w:iCs/>
          <w:lang w:val="de-DE"/>
        </w:rPr>
        <w:br/>
        <w:t>(Mehrheit der Mitglieder des Parlaments erforderlich)</w:t>
      </w:r>
    </w:p>
    <w:p w:rsidR="00347110">
      <w:pPr>
        <w:spacing w:after="170"/>
        <w:rPr>
          <w:lang w:val="de-DE"/>
        </w:rPr>
      </w:pPr>
      <w:r>
        <w:rPr>
          <w:lang w:val="de-DE"/>
        </w:rPr>
        <w:t>ENTSCHLIESSUNGSANTRAG B10-0431/2026</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lang w:val="de-DE"/>
        </w:rPr>
      </w:pPr>
      <w:r>
        <w:rPr>
          <w:lang w:val="de-DE"/>
        </w:rPr>
        <w:t>Abgelehnt</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iCs/>
          <w:lang w:val="de-DE"/>
        </w:rPr>
      </w:pPr>
      <w:r>
        <w:rPr>
          <w:iCs/>
          <w:lang w:val="de-DE"/>
        </w:rPr>
        <w:t>ENTSCHLIESSUNGSANTRAG B10-0432/2026</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iCs/>
          <w:lang w:val="de-DE"/>
        </w:rPr>
      </w:pPr>
      <w:r>
        <w:rPr>
          <w:iCs/>
          <w:lang w:val="de-DE"/>
        </w:rPr>
        <w:t>Abgelehnt</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i/>
          <w:iCs/>
          <w:lang w:val="de-DE"/>
        </w:rPr>
      </w:pPr>
      <w:r>
        <w:rPr>
          <w:i/>
          <w:iCs/>
          <w:lang w:val="de-DE"/>
        </w:rPr>
        <w:t>(„Ergebnisse der Abstimmungen“, Punkt 1)</w:t>
      </w:r>
    </w:p>
    <w:p w:rsidR="00347110">
      <w:pPr>
        <w:pStyle w:val="Heading2"/>
        <w:rPr>
          <w:b w:val="0"/>
          <w:bCs w:val="0"/>
          <w:lang w:val="de-DE"/>
        </w:rPr>
      </w:pPr>
      <w:bookmarkStart w:id="7" w:name="_Toc242441633"/>
      <w:r>
        <w:t xml:space="preserve">6.2. Einwand gemäß Artikel 115 Absätze 2, 3 und 4 Buchstabe c der Geschäftsordnung: bestimmte botanische Arten, die Hydroxyanthracen-Derivate enthalten </w:t>
      </w:r>
      <w:r>
        <w:rPr>
          <w:b w:val="0"/>
          <w:bCs w:val="0"/>
          <w:lang w:val="de-DE"/>
        </w:rPr>
        <w:t>(Abstimmung)</w:t>
      </w:r>
      <w:bookmarkEnd w:id="7"/>
      <w:r>
        <w:rPr>
          <w:b w:val="0"/>
          <w:bCs w:val="0"/>
          <w:lang w:val="de-DE"/>
        </w:rPr>
        <w:t xml:space="preserve"> </w:t>
      </w:r>
    </w:p>
    <w:p w:rsidR="00347110">
      <w:pPr>
        <w:spacing w:after="170"/>
        <w:rPr>
          <w:i/>
          <w:iCs/>
          <w:lang w:val="de-DE"/>
        </w:rPr>
      </w:pPr>
      <w:r>
        <w:rPr>
          <w:lang w:val="de-DE"/>
        </w:rPr>
        <w:t xml:space="preserve">Entschließungsantrag B10-0465/2025 </w:t>
      </w:r>
      <w:r>
        <w:rPr>
          <w:lang w:val="de-DE"/>
        </w:rPr>
        <w:t>(</w:t>
      </w:r>
      <w:r>
        <w:rPr>
          <w:i/>
          <w:iCs/>
          <w:lang w:val="de-DE"/>
        </w:rPr>
        <w:t>Punkt I des Protokolls vom 8.10.2026</w:t>
      </w:r>
      <w:r>
        <w:rPr>
          <w:lang w:val="de-DE"/>
        </w:rPr>
        <w:t>)</w:t>
      </w:r>
      <w:r>
        <w:rPr>
          <w:lang w:val="de-DE"/>
        </w:rPr>
        <w:t xml:space="preserve"> </w:t>
      </w:r>
      <w:r>
        <w:rPr>
          <w:lang w:val="de-DE"/>
        </w:rPr>
        <w:t>(2026/2839(RPS))</w:t>
        <w:br/>
      </w:r>
      <w:r>
        <w:rPr>
          <w:i/>
          <w:iCs/>
          <w:lang w:val="de-DE"/>
        </w:rPr>
        <w:br/>
        <w:t>(Mehrheit der Mitglieder des Parlaments erforderlich)</w:t>
      </w:r>
    </w:p>
    <w:p w:rsidR="00347110">
      <w:pPr>
        <w:spacing w:after="170"/>
        <w:rPr>
          <w:lang w:val="de-DE"/>
        </w:rPr>
      </w:pPr>
      <w:r>
        <w:rPr>
          <w:lang w:val="de-DE"/>
        </w:rPr>
        <w:t>ENTSCHLIESSUNGSANTRAG</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lang w:val="de-DE"/>
        </w:rPr>
      </w:pPr>
      <w:r>
        <w:rPr>
          <w:lang w:val="de-DE"/>
        </w:rPr>
        <w:t>Abgelehnt</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i/>
          <w:iCs/>
          <w:lang w:val="de-DE"/>
        </w:rPr>
      </w:pPr>
      <w:r>
        <w:rPr>
          <w:i/>
          <w:iCs/>
          <w:lang w:val="de-DE"/>
        </w:rPr>
        <w:t>(„Ergebnisse der Abstimmungen“, Punkt 2)</w:t>
      </w:r>
    </w:p>
    <w:p w:rsidR="00347110">
      <w:pPr>
        <w:pStyle w:val="Heading2"/>
        <w:rPr>
          <w:b w:val="0"/>
          <w:bCs w:val="0"/>
          <w:lang w:val="de-DE"/>
        </w:rPr>
      </w:pPr>
      <w:bookmarkStart w:id="8" w:name="_Toc242441634"/>
      <w:r>
        <w:t xml:space="preserve">6.3. Einwand gemäß Artikel 115 Absätze 2, 3 und 4 Buchstabe c der Geschäftsordnung: Monacoline aus Rotschimmelreis </w:t>
      </w:r>
      <w:r>
        <w:rPr>
          <w:b w:val="0"/>
          <w:bCs w:val="0"/>
          <w:lang w:val="de-DE"/>
        </w:rPr>
        <w:t>(Abstimmung)</w:t>
      </w:r>
      <w:bookmarkEnd w:id="8"/>
      <w:r>
        <w:rPr>
          <w:b w:val="0"/>
          <w:bCs w:val="0"/>
          <w:lang w:val="de-DE"/>
        </w:rPr>
        <w:t xml:space="preserve"> </w:t>
      </w:r>
    </w:p>
    <w:p w:rsidR="00347110">
      <w:pPr>
        <w:spacing w:after="170"/>
        <w:rPr>
          <w:i/>
          <w:iCs/>
          <w:lang w:val="de-DE"/>
        </w:rPr>
      </w:pPr>
      <w:r>
        <w:rPr>
          <w:lang w:val="de-DE"/>
        </w:rPr>
        <w:t xml:space="preserve">Entschließungsantrag B10-0466/2025 </w:t>
      </w:r>
      <w:r>
        <w:rPr>
          <w:lang w:val="de-DE"/>
        </w:rPr>
        <w:t>(</w:t>
      </w:r>
      <w:r>
        <w:rPr>
          <w:i/>
          <w:iCs/>
          <w:lang w:val="de-DE"/>
        </w:rPr>
        <w:t>Punkt I des Protokolls vom 8.10.2026</w:t>
      </w:r>
      <w:r>
        <w:rPr>
          <w:lang w:val="de-DE"/>
        </w:rPr>
        <w:t>)</w:t>
      </w:r>
      <w:r>
        <w:rPr>
          <w:lang w:val="de-DE"/>
        </w:rPr>
        <w:t xml:space="preserve"> </w:t>
      </w:r>
      <w:r>
        <w:rPr>
          <w:lang w:val="de-DE"/>
        </w:rPr>
        <w:t>(2026/2821(RPS))</w:t>
      </w:r>
      <w:r>
        <w:rPr>
          <w:lang w:val="de-DE"/>
        </w:rPr>
        <w:t xml:space="preserve"> </w:t>
        <w:br/>
      </w:r>
      <w:r>
        <w:rPr>
          <w:i/>
          <w:iCs/>
          <w:lang w:val="de-DE"/>
        </w:rPr>
        <w:br/>
        <w:t>(Mehrheit der Mitglieder des Parlaments erforderlich)</w:t>
      </w:r>
    </w:p>
    <w:p w:rsidR="00347110">
      <w:pPr>
        <w:spacing w:after="170"/>
        <w:rPr>
          <w:lang w:val="de-DE"/>
        </w:rPr>
      </w:pPr>
      <w:r>
        <w:rPr>
          <w:lang w:val="de-DE"/>
        </w:rPr>
        <w:t>ENTSCHLIESSUNGSANTRAG</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lang w:val="de-DE"/>
        </w:rPr>
      </w:pPr>
      <w:r>
        <w:rPr>
          <w:lang w:val="de-DE"/>
        </w:rPr>
        <w:t>Abgelehnt</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i/>
          <w:iCs/>
          <w:lang w:val="de-DE"/>
        </w:rPr>
      </w:pPr>
      <w:r>
        <w:rPr>
          <w:i/>
          <w:iCs/>
          <w:lang w:val="de-DE"/>
        </w:rPr>
        <w:t>(„Ergebnisse der Abst</w:t>
      </w:r>
      <w:r>
        <w:rPr>
          <w:i/>
          <w:iCs/>
          <w:lang w:val="de-DE"/>
        </w:rPr>
        <w:t>immungen“, Punkt 3)</w:t>
      </w:r>
    </w:p>
    <w:p w:rsidR="00347110">
      <w:pPr>
        <w:pStyle w:val="Heading2"/>
        <w:rPr>
          <w:b w:val="0"/>
          <w:bCs w:val="0"/>
          <w:lang w:val="de-DE"/>
        </w:rPr>
      </w:pPr>
      <w:bookmarkStart w:id="9" w:name="_Toc242441635"/>
      <w:r>
        <w:t xml:space="preserve">6.4. Menschenrechtslage in Iran, insbesondere die Fälle von Taraneh Rahimi und Leila Abolhasani </w:t>
      </w:r>
      <w:r>
        <w:rPr>
          <w:b w:val="0"/>
          <w:bCs w:val="0"/>
          <w:lang w:val="de-DE"/>
        </w:rPr>
        <w:t>(Abstimmung)</w:t>
      </w:r>
      <w:bookmarkEnd w:id="9"/>
    </w:p>
    <w:p w:rsidR="00347110">
      <w:pPr>
        <w:rPr>
          <w:lang w:val="de-DE"/>
        </w:rPr>
      </w:pPr>
      <w:r>
        <w:rPr>
          <w:lang w:val="de-DE"/>
        </w:rPr>
        <w:t>Entschließungsanträge RC-B10-0452/2026 (</w:t>
      </w:r>
      <w:r>
        <w:rPr>
          <w:i/>
          <w:iCs/>
          <w:lang w:val="de-DE"/>
        </w:rPr>
        <w:t>Punkt I des Protokolls vom 8.10.2026</w:t>
      </w:r>
      <w:r>
        <w:rPr>
          <w:lang w:val="de-DE"/>
        </w:rPr>
        <w:t>), B10-0440/2026, B10-0452/2026, B10-0455/2026, B10-0461/2026, B10-0462/2026, B10-0463/2026 und B10-0464/2026 (</w:t>
      </w:r>
      <w:r>
        <w:rPr>
          <w:i/>
          <w:iCs/>
          <w:lang w:val="de-DE"/>
        </w:rPr>
        <w:t>Punkt I des Protokolls vom 7.10.2026</w:t>
      </w:r>
      <w:r>
        <w:rPr>
          <w:lang w:val="de-DE"/>
        </w:rPr>
        <w:t>) (2026/2912(RSP))</w:t>
      </w:r>
    </w:p>
    <w:p w:rsidR="00347110">
      <w:pPr>
        <w:rPr>
          <w:i/>
          <w:iCs/>
          <w:lang w:val="de-DE"/>
        </w:rPr>
      </w:pPr>
      <w:r>
        <w:rPr>
          <w:i/>
          <w:iCs/>
          <w:lang w:val="de-DE"/>
        </w:rPr>
        <w:t>(Mehrheit der abgegebenen Stimmen erforderlich)</w:t>
      </w:r>
    </w:p>
    <w:p w:rsidR="00347110">
      <w:pPr>
        <w:spacing w:after="120"/>
        <w:rPr>
          <w:lang w:val="de-DE"/>
        </w:rPr>
      </w:pPr>
      <w:r>
        <w:rPr>
          <w:lang w:val="de-DE"/>
        </w:rPr>
        <w:t xml:space="preserve">GEMEINSAMER ENTSCHLIESSUNGSANTRAG </w:t>
      </w:r>
    </w:p>
    <w:p w:rsidR="00347110">
      <w:pPr>
        <w:rPr>
          <w:lang w:val="de-DE"/>
        </w:rPr>
      </w:pPr>
      <w:r>
        <w:rPr>
          <w:lang w:val="de-DE"/>
        </w:rPr>
        <w:t>Angenommen (</w:t>
      </w:r>
      <w:r>
        <w:rPr>
          <w:i/>
          <w:iCs/>
          <w:lang w:val="de-DE"/>
        </w:rPr>
        <w:t>P10_TA(2026)0335</w:t>
      </w:r>
      <w:r>
        <w:rPr>
          <w:lang w:val="de-DE"/>
        </w:rPr>
        <w:t>)</w:t>
      </w:r>
    </w:p>
    <w:p w:rsidR="00347110">
      <w:pPr>
        <w:rPr>
          <w:lang w:val="de-DE"/>
        </w:rPr>
      </w:pPr>
      <w:r>
        <w:rPr>
          <w:lang w:val="de-DE"/>
        </w:rPr>
        <w:t>(Die Entschließungsanträge B</w:t>
      </w:r>
      <w:r>
        <w:rPr>
          <w:lang w:val="de-DE"/>
        </w:rPr>
        <w:t>10-0440/2026 und B10-0461/2026 sind hinfällig.)</w:t>
      </w:r>
    </w:p>
    <w:p w:rsidR="00347110">
      <w:pPr>
        <w:rPr>
          <w:i/>
          <w:iCs/>
          <w:lang w:val="de-DE"/>
        </w:rPr>
      </w:pPr>
      <w:r>
        <w:rPr>
          <w:i/>
          <w:iCs/>
          <w:lang w:val="de-DE"/>
        </w:rPr>
        <w:t>(„Ergebnisse der Abstimmungen“, Punkt 4)</w:t>
      </w:r>
    </w:p>
    <w:p w:rsidR="00347110">
      <w:pPr>
        <w:pStyle w:val="Heading2"/>
        <w:rPr>
          <w:b w:val="0"/>
          <w:bCs w:val="0"/>
          <w:lang w:val="de-DE"/>
        </w:rPr>
      </w:pPr>
      <w:bookmarkStart w:id="10" w:name="_Toc242441636"/>
      <w:r>
        <w:t xml:space="preserve">6.5. Versuche der Regierungspartei „Georgischer Traum“, Oppositionsparteien in Georgien zu verbieten </w:t>
      </w:r>
      <w:r>
        <w:rPr>
          <w:b w:val="0"/>
          <w:bCs w:val="0"/>
          <w:lang w:val="de-DE"/>
        </w:rPr>
        <w:t>(Abstimmung)</w:t>
      </w:r>
      <w:bookmarkEnd w:id="10"/>
    </w:p>
    <w:p w:rsidR="00347110">
      <w:pPr>
        <w:rPr>
          <w:lang w:val="de-DE"/>
        </w:rPr>
      </w:pPr>
      <w:r>
        <w:rPr>
          <w:lang w:val="de-DE"/>
        </w:rPr>
        <w:t>Entschließungsanträge RC-B10-0443/2026 (</w:t>
      </w:r>
      <w:r>
        <w:rPr>
          <w:i/>
          <w:iCs/>
          <w:lang w:val="de-DE"/>
        </w:rPr>
        <w:t>Punkt I des Protokolls vom 8.10.2026</w:t>
      </w:r>
      <w:r>
        <w:rPr>
          <w:lang w:val="de-DE"/>
        </w:rPr>
        <w:t>), B10-0443/2026, B10-0447/2026, B10-0448/2026, B10-0456/2026, B10-0457/2026 und B10-0459/2026 (</w:t>
      </w:r>
      <w:r>
        <w:rPr>
          <w:i/>
          <w:iCs/>
          <w:lang w:val="de-DE"/>
        </w:rPr>
        <w:t>Punkt I des Protokolls vom 7.10.2026</w:t>
      </w:r>
      <w:r>
        <w:rPr>
          <w:lang w:val="de-DE"/>
        </w:rPr>
        <w:t xml:space="preserve">) </w:t>
      </w:r>
      <w:r>
        <w:rPr>
          <w:lang w:val="de-DE"/>
        </w:rPr>
        <w:t>(2026/2913(RSP))</w:t>
      </w:r>
    </w:p>
    <w:p w:rsidR="00347110">
      <w:pPr>
        <w:rPr>
          <w:i/>
          <w:iCs/>
          <w:lang w:val="de-DE"/>
        </w:rPr>
      </w:pPr>
      <w:r>
        <w:rPr>
          <w:i/>
          <w:iCs/>
          <w:lang w:val="de-DE"/>
        </w:rPr>
        <w:t>(Mehrheit der abgegebenen Stimmen erforderlich)</w:t>
      </w:r>
    </w:p>
    <w:p w:rsidR="00347110">
      <w:pPr>
        <w:spacing w:after="120"/>
        <w:rPr>
          <w:lang w:val="de-DE"/>
        </w:rPr>
      </w:pPr>
      <w:r>
        <w:rPr>
          <w:lang w:val="de-DE"/>
        </w:rPr>
        <w:t xml:space="preserve">GEMEINSAMER ENTSCHLIESSUNGSANTRAG </w:t>
      </w:r>
    </w:p>
    <w:p w:rsidR="00347110">
      <w:pPr>
        <w:rPr>
          <w:lang w:val="de-DE"/>
        </w:rPr>
      </w:pPr>
      <w:r>
        <w:rPr>
          <w:lang w:val="de-DE"/>
        </w:rPr>
        <w:t>Angenommen (</w:t>
      </w:r>
      <w:r>
        <w:rPr>
          <w:i/>
          <w:iCs/>
          <w:lang w:val="de-DE"/>
        </w:rPr>
        <w:t>P10_TA(2026)0336</w:t>
      </w:r>
      <w:r>
        <w:rPr>
          <w:lang w:val="de-DE"/>
        </w:rPr>
        <w:t>)</w:t>
      </w:r>
    </w:p>
    <w:p w:rsidR="00347110">
      <w:pPr>
        <w:widowControl/>
        <w:spacing w:after="113"/>
      </w:pPr>
      <w:r>
        <w:t>(Der Entschließungsantrag B10-0447/2026 ist hinfällig.)</w:t>
      </w:r>
    </w:p>
    <w:p w:rsidR="00347110">
      <w:pPr>
        <w:rPr>
          <w:i/>
          <w:iCs/>
          <w:lang w:val="de-DE"/>
        </w:rPr>
      </w:pPr>
      <w:r>
        <w:rPr>
          <w:i/>
          <w:iCs/>
          <w:lang w:val="de-DE"/>
        </w:rPr>
        <w:t>(„Ergebnisse der Abstimmungen“, Punkt 5)</w:t>
      </w:r>
    </w:p>
    <w:p w:rsidR="00347110">
      <w:pPr>
        <w:pStyle w:val="Heading2"/>
        <w:rPr>
          <w:b w:val="0"/>
          <w:bCs w:val="0"/>
          <w:lang w:val="de-DE"/>
        </w:rPr>
      </w:pPr>
      <w:bookmarkStart w:id="11" w:name="_Toc242441637"/>
      <w:r>
        <w:t xml:space="preserve">6.6. Die Fälle von Əli Kərimli, Anar Məmmədli und weiteren politischen Gefangenen in Aserbaidschan </w:t>
      </w:r>
      <w:r>
        <w:rPr>
          <w:b w:val="0"/>
          <w:bCs w:val="0"/>
          <w:lang w:val="de-DE"/>
        </w:rPr>
        <w:t>(Abstimmung)</w:t>
      </w:r>
      <w:bookmarkEnd w:id="11"/>
    </w:p>
    <w:p w:rsidR="00347110">
      <w:pPr>
        <w:rPr>
          <w:lang w:val="de-DE"/>
        </w:rPr>
      </w:pPr>
      <w:r>
        <w:rPr>
          <w:lang w:val="de-DE"/>
        </w:rPr>
        <w:t>Entschließungsanträge RC-B10-0438/2026 (</w:t>
      </w:r>
      <w:r>
        <w:rPr>
          <w:i/>
          <w:iCs/>
          <w:lang w:val="de-DE"/>
        </w:rPr>
        <w:t>Punkt I des Protokolls vom 8.10.2026</w:t>
      </w:r>
      <w:r>
        <w:rPr>
          <w:lang w:val="de-DE"/>
        </w:rPr>
        <w:t>), B10-0438/2026, B10-0442/2026, B10-0451/2026, B10-0454/2026, B10-0458/2026 und B10-0460/2026 (</w:t>
      </w:r>
      <w:r>
        <w:rPr>
          <w:i/>
          <w:iCs/>
          <w:lang w:val="de-DE"/>
        </w:rPr>
        <w:t>P</w:t>
      </w:r>
      <w:r>
        <w:rPr>
          <w:i/>
          <w:iCs/>
          <w:lang w:val="de-DE"/>
        </w:rPr>
        <w:t>unkt I des Protokolls vom 7.10.2026</w:t>
      </w:r>
      <w:r>
        <w:rPr>
          <w:lang w:val="de-DE"/>
        </w:rPr>
        <w:t>) (2026/2914(RSP))</w:t>
      </w:r>
    </w:p>
    <w:p w:rsidR="00347110">
      <w:pPr>
        <w:rPr>
          <w:i/>
          <w:iCs/>
          <w:lang w:val="de-DE"/>
        </w:rPr>
      </w:pPr>
      <w:r>
        <w:rPr>
          <w:i/>
          <w:iCs/>
          <w:lang w:val="de-DE"/>
        </w:rPr>
        <w:t>(Mehrheit der abgegebenen Stimmen erforderlic</w:t>
      </w:r>
      <w:r>
        <w:rPr>
          <w:i/>
          <w:iCs/>
          <w:lang w:val="de-DE"/>
        </w:rPr>
        <w:t>h)</w:t>
      </w:r>
    </w:p>
    <w:p w:rsidR="00347110">
      <w:pPr>
        <w:spacing w:after="120"/>
        <w:rPr>
          <w:lang w:val="de-DE"/>
        </w:rPr>
      </w:pPr>
      <w:r>
        <w:rPr>
          <w:lang w:val="de-DE"/>
        </w:rPr>
        <w:t xml:space="preserve">GEMEINSAMER ENTSCHLIESSUNGSANTRAG </w:t>
      </w:r>
    </w:p>
    <w:p w:rsidR="00347110">
      <w:pPr>
        <w:rPr>
          <w:lang w:val="de-DE"/>
        </w:rPr>
      </w:pPr>
      <w:r>
        <w:rPr>
          <w:lang w:val="de-DE"/>
        </w:rPr>
        <w:t>Angenommen (</w:t>
      </w:r>
      <w:r>
        <w:rPr>
          <w:i/>
          <w:iCs/>
          <w:lang w:val="de-DE"/>
        </w:rPr>
        <w:t>P10_TA(2026)0337</w:t>
      </w:r>
      <w:r>
        <w:rPr>
          <w:lang w:val="de-DE"/>
        </w:rPr>
        <w:t>)</w:t>
      </w:r>
    </w:p>
    <w:p w:rsidR="00347110">
      <w:pPr>
        <w:rPr>
          <w:i/>
          <w:iCs/>
          <w:lang w:val="de-DE"/>
        </w:rPr>
      </w:pPr>
      <w:r>
        <w:rPr>
          <w:i/>
          <w:iCs/>
          <w:lang w:val="de-DE"/>
        </w:rPr>
        <w:t>(„Ergebnisse der Abstimmungen“, Punkt 6)</w:t>
      </w:r>
    </w:p>
    <w:p w:rsidR="00347110">
      <w:pPr>
        <w:pStyle w:val="Heading2"/>
        <w:rPr>
          <w:b w:val="0"/>
          <w:bCs w:val="0"/>
          <w:lang w:val="de-DE"/>
        </w:rPr>
      </w:pPr>
      <w:bookmarkStart w:id="12" w:name="_Toc242441638"/>
      <w:r>
        <w:t xml:space="preserve">6.7. </w:t>
      </w:r>
      <w:r>
        <w:rPr>
          <w:lang w:val="de-DE"/>
        </w:rPr>
        <w:t>Pilotprojekt zu Europäischen Schulallianzen und sein Beitrag zur politischen Bildung, zu demokratischen Kompetenzen und zu europäischen Werten</w:t>
      </w:r>
      <w:r>
        <w:t xml:space="preserve"> </w:t>
      </w:r>
      <w:r>
        <w:rPr>
          <w:b w:val="0"/>
          <w:bCs w:val="0"/>
          <w:lang w:val="de-DE"/>
        </w:rPr>
        <w:t>(Abstimmung)</w:t>
      </w:r>
      <w:bookmarkEnd w:id="12"/>
    </w:p>
    <w:p w:rsidR="00347110">
      <w:pPr>
        <w:tabs>
          <w:tab w:val="left" w:pos="555"/>
          <w:tab w:val="left" w:pos="2268"/>
          <w:tab w:val="left" w:pos="3402"/>
          <w:tab w:val="left" w:pos="4535"/>
          <w:tab w:val="left" w:pos="5669"/>
          <w:tab w:val="left" w:pos="6803"/>
          <w:tab w:val="left" w:pos="7937"/>
          <w:tab w:val="left" w:pos="9071"/>
          <w:tab w:val="left" w:pos="10205"/>
          <w:tab w:val="left" w:pos="11339"/>
        </w:tabs>
        <w:rPr>
          <w:lang w:val="de-DE"/>
        </w:rPr>
      </w:pPr>
      <w:r>
        <w:rPr>
          <w:lang w:val="de-DE"/>
        </w:rPr>
        <w:t>Entschließungsanträge B10-0436/2026 und B10-0437/2026</w:t>
      </w:r>
      <w:r>
        <w:rPr>
          <w:lang w:val="de-DE"/>
        </w:rPr>
        <w:t xml:space="preserve"> (</w:t>
      </w:r>
      <w:r>
        <w:rPr>
          <w:i/>
          <w:iCs/>
          <w:lang w:val="de-DE"/>
        </w:rPr>
        <w:t>Punkt I des Protokolls vom 8.10.2026</w:t>
      </w:r>
      <w:r>
        <w:rPr>
          <w:lang w:val="de-DE"/>
        </w:rPr>
        <w:t>) (2026/2713(RSP))</w:t>
      </w:r>
    </w:p>
    <w:p w:rsidR="00347110">
      <w:pPr>
        <w:tabs>
          <w:tab w:val="left" w:pos="555"/>
          <w:tab w:val="left" w:pos="2268"/>
          <w:tab w:val="left" w:pos="3402"/>
          <w:tab w:val="left" w:pos="4535"/>
          <w:tab w:val="left" w:pos="5669"/>
          <w:tab w:val="left" w:pos="6803"/>
          <w:tab w:val="left" w:pos="7937"/>
          <w:tab w:val="left" w:pos="9071"/>
          <w:tab w:val="left" w:pos="10205"/>
          <w:tab w:val="left" w:pos="11339"/>
        </w:tabs>
        <w:rPr>
          <w:i/>
          <w:iCs/>
          <w:lang w:val="de-DE"/>
        </w:rPr>
      </w:pPr>
      <w:r>
        <w:rPr>
          <w:i/>
          <w:iCs/>
          <w:lang w:val="de-DE"/>
        </w:rPr>
        <w:t>(Mehrheit der abgegebenen Stimmen erforderlich)</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255"/>
        <w:rPr>
          <w:lang w:val="de-DE"/>
        </w:rPr>
      </w:pPr>
      <w:r>
        <w:rPr>
          <w:lang w:val="de-DE"/>
        </w:rPr>
        <w:t>ENTSCHLIESSUNGSANTRAG B10-0436/2026</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227"/>
        <w:rPr>
          <w:i/>
          <w:lang w:val="de-DE"/>
        </w:rPr>
      </w:pPr>
      <w:r>
        <w:rPr>
          <w:lang w:val="de-DE"/>
        </w:rPr>
        <w:t>Angenommen</w:t>
      </w:r>
      <w:r>
        <w:rPr>
          <w:i/>
          <w:lang w:val="de-DE"/>
        </w:rPr>
        <w:t xml:space="preserve"> </w:t>
      </w:r>
      <w:r>
        <w:rPr>
          <w:lang w:val="de-DE"/>
        </w:rPr>
        <w:t>(</w:t>
      </w:r>
      <w:r>
        <w:rPr>
          <w:i/>
          <w:iCs/>
          <w:lang w:val="de-DE"/>
        </w:rPr>
        <w:t>P10_TA(2026)0338</w:t>
      </w:r>
      <w:r>
        <w:rPr>
          <w:lang w:val="de-DE"/>
        </w:rPr>
        <w:t>)</w:t>
      </w:r>
      <w:r>
        <w:rPr>
          <w:i/>
          <w:lang w:val="de-DE"/>
        </w:rPr>
        <w:t xml:space="preserve"> </w:t>
      </w:r>
    </w:p>
    <w:p w:rsidR="00347110">
      <w:pPr>
        <w:widowControl/>
        <w:spacing w:after="113"/>
      </w:pPr>
      <w:r>
        <w:t>(Der Entschließun</w:t>
      </w:r>
      <w:r>
        <w:t>gsantrag B10-0437/2026 ist hinfällig.)</w:t>
      </w:r>
    </w:p>
    <w:p w:rsidR="00347110">
      <w:pPr>
        <w:rPr>
          <w:i/>
          <w:iCs/>
          <w:lang w:val="de-DE"/>
        </w:rPr>
      </w:pPr>
      <w:r>
        <w:rPr>
          <w:i/>
          <w:iCs/>
          <w:lang w:val="de-DE"/>
        </w:rPr>
        <w:t>(„Ergebnisse der Abstimmungen“, Punkt 7)</w:t>
      </w:r>
    </w:p>
    <w:p w:rsidR="00347110">
      <w:pPr>
        <w:pStyle w:val="Heading2"/>
        <w:rPr>
          <w:b w:val="0"/>
          <w:bCs w:val="0"/>
          <w:lang w:val="de-DE"/>
        </w:rPr>
      </w:pPr>
      <w:bookmarkStart w:id="13" w:name="_Toc242441639"/>
      <w:r>
        <w:t xml:space="preserve">6.8. </w:t>
      </w:r>
      <w:r>
        <w:rPr>
          <w:lang w:val="de-DE"/>
        </w:rPr>
        <w:t>Die undemokratische Wahl zur russischen Staatsduma im Jahr 2026 und ihre Auswirkungen auf die Zivilgesellschaft</w:t>
      </w:r>
      <w:r>
        <w:t xml:space="preserve"> </w:t>
      </w:r>
      <w:r>
        <w:rPr>
          <w:b w:val="0"/>
          <w:bCs w:val="0"/>
          <w:lang w:val="de-DE"/>
        </w:rPr>
        <w:t>(Abstimmung)</w:t>
      </w:r>
      <w:bookmarkEnd w:id="13"/>
    </w:p>
    <w:p w:rsidR="00347110">
      <w:pPr>
        <w:tabs>
          <w:tab w:val="left" w:pos="555"/>
          <w:tab w:val="left" w:pos="2268"/>
          <w:tab w:val="left" w:pos="3402"/>
          <w:tab w:val="left" w:pos="4535"/>
          <w:tab w:val="left" w:pos="5669"/>
          <w:tab w:val="left" w:pos="6803"/>
          <w:tab w:val="left" w:pos="7937"/>
          <w:tab w:val="left" w:pos="9071"/>
          <w:tab w:val="left" w:pos="10205"/>
          <w:tab w:val="left" w:pos="11339"/>
        </w:tabs>
        <w:rPr>
          <w:lang w:val="de-DE"/>
        </w:rPr>
      </w:pPr>
      <w:r>
        <w:rPr>
          <w:lang w:val="de-DE"/>
        </w:rPr>
        <w:t>Entschließungsanträge RC-B10-0441/2026 (</w:t>
      </w:r>
      <w:r>
        <w:rPr>
          <w:i/>
          <w:iCs/>
          <w:lang w:val="de-DE"/>
        </w:rPr>
        <w:t>Punkt I des Protokolls vom 8.10.2026</w:t>
      </w:r>
      <w:r>
        <w:rPr>
          <w:lang w:val="de-DE"/>
        </w:rPr>
        <w:t xml:space="preserve">), B10-0439/2026, B10-0441/2026, B10-0444/2026, B10-0445/2026, B10-0446/2026 und B10-0449/2026 </w:t>
      </w:r>
      <w:r>
        <w:rPr>
          <w:lang w:val="de-DE"/>
        </w:rPr>
        <w:t>(</w:t>
      </w:r>
      <w:r>
        <w:rPr>
          <w:i/>
          <w:iCs/>
          <w:lang w:val="de-DE"/>
        </w:rPr>
        <w:t>Punkt I des Protokolls vom 8.10.2026</w:t>
      </w:r>
      <w:r>
        <w:rPr>
          <w:lang w:val="de-DE"/>
        </w:rPr>
        <w:t>) (2026/2907(RSP))</w:t>
      </w:r>
    </w:p>
    <w:p w:rsidR="00347110">
      <w:pPr>
        <w:tabs>
          <w:tab w:val="left" w:pos="555"/>
          <w:tab w:val="left" w:pos="2268"/>
          <w:tab w:val="left" w:pos="3402"/>
          <w:tab w:val="left" w:pos="4535"/>
          <w:tab w:val="left" w:pos="5669"/>
          <w:tab w:val="left" w:pos="6803"/>
          <w:tab w:val="left" w:pos="7937"/>
          <w:tab w:val="left" w:pos="9071"/>
          <w:tab w:val="left" w:pos="10205"/>
          <w:tab w:val="left" w:pos="11339"/>
        </w:tabs>
        <w:rPr>
          <w:i/>
          <w:iCs/>
          <w:lang w:val="de-DE"/>
        </w:rPr>
      </w:pPr>
      <w:r>
        <w:rPr>
          <w:i/>
          <w:iCs/>
          <w:lang w:val="de-DE"/>
        </w:rPr>
        <w:t>(Mehrheit der abgegebenen Stimmen erforderlich)</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255"/>
        <w:rPr>
          <w:lang w:val="de-DE"/>
        </w:rPr>
      </w:pPr>
      <w:r>
        <w:rPr>
          <w:lang w:val="de-DE"/>
        </w:rPr>
        <w:t>GEMEINSAMER ENTSCHLIESSUNGS</w:t>
      </w:r>
      <w:r>
        <w:rPr>
          <w:lang w:val="de-DE"/>
        </w:rPr>
        <w:t>ANTRAG</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227"/>
        <w:rPr>
          <w:i/>
          <w:lang w:val="de-DE"/>
        </w:rPr>
      </w:pPr>
      <w:r>
        <w:rPr>
          <w:lang w:val="de-DE"/>
        </w:rPr>
        <w:t>Angenommen (</w:t>
      </w:r>
      <w:r>
        <w:rPr>
          <w:i/>
          <w:iCs/>
          <w:lang w:val="de-DE"/>
        </w:rPr>
        <w:t>P10_TA(2026)0339</w:t>
      </w:r>
      <w:r>
        <w:rPr>
          <w:lang w:val="de-DE"/>
        </w:rPr>
        <w:t>)</w:t>
      </w:r>
      <w:r>
        <w:rPr>
          <w:i/>
          <w:lang w:val="de-DE"/>
        </w:rPr>
        <w:t xml:space="preserve"> </w:t>
      </w:r>
    </w:p>
    <w:p w:rsidR="00347110">
      <w:pPr>
        <w:widowControl/>
        <w:spacing w:after="113"/>
      </w:pPr>
      <w:r>
        <w:t>(Der Entschließungsantrag B10-0439/2026 ist hinfällig.)</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i/>
          <w:iCs/>
          <w:lang w:val="de-DE"/>
        </w:rPr>
      </w:pPr>
      <w:r>
        <w:rPr>
          <w:i/>
          <w:iCs/>
          <w:lang w:val="de-DE"/>
        </w:rPr>
        <w:t>(„Ergebnisse der Abstimmungen“, Punkt 8)</w:t>
      </w:r>
    </w:p>
    <w:p w:rsidR="00347110">
      <w:pPr>
        <w:pStyle w:val="Heading2"/>
        <w:rPr>
          <w:b w:val="0"/>
          <w:bCs w:val="0"/>
          <w:lang w:val="de-DE"/>
        </w:rPr>
      </w:pPr>
      <w:bookmarkStart w:id="14" w:name="_Toc242441640"/>
      <w:r>
        <w:t xml:space="preserve">6.9. </w:t>
      </w:r>
      <w:r>
        <w:rPr>
          <w:lang w:val="de-DE"/>
        </w:rPr>
        <w:t>Stand der Fortschritte in den Handels- und Investitionsbeziehungen zwischen der EU und Afrika</w:t>
      </w:r>
      <w:r>
        <w:t xml:space="preserve"> </w:t>
      </w:r>
      <w:r>
        <w:rPr>
          <w:b w:val="0"/>
          <w:bCs w:val="0"/>
          <w:lang w:val="de-DE"/>
        </w:rPr>
        <w:t>(Abstimmung)</w:t>
      </w:r>
      <w:bookmarkEnd w:id="14"/>
    </w:p>
    <w:p w:rsidR="00347110">
      <w:pPr>
        <w:rPr>
          <w:lang w:val="de-DE"/>
        </w:rPr>
      </w:pPr>
      <w:r>
        <w:rPr>
          <w:lang w:val="de-DE"/>
        </w:rPr>
        <w:t xml:space="preserve">Entschließungsantrag B10-0435/2026 </w:t>
      </w:r>
      <w:r>
        <w:rPr>
          <w:lang w:val="de-DE"/>
        </w:rPr>
        <w:t>(</w:t>
      </w:r>
      <w:r>
        <w:rPr>
          <w:i/>
          <w:iCs/>
          <w:lang w:val="de-DE"/>
        </w:rPr>
        <w:t>Punkt I des Protokolls vom 8.10.2026</w:t>
      </w:r>
      <w:r>
        <w:rPr>
          <w:lang w:val="de-DE"/>
        </w:rPr>
        <w:t>)</w:t>
      </w:r>
      <w:r>
        <w:rPr>
          <w:lang w:val="de-DE"/>
        </w:rPr>
        <w:t xml:space="preserve"> (2026/2624(RSP))</w:t>
      </w:r>
    </w:p>
    <w:p w:rsidR="00347110">
      <w:pPr>
        <w:rPr>
          <w:i/>
          <w:iCs/>
          <w:lang w:val="de-DE"/>
        </w:rPr>
      </w:pPr>
      <w:r>
        <w:rPr>
          <w:i/>
          <w:iCs/>
          <w:lang w:val="de-DE"/>
        </w:rPr>
        <w:t>(Mehrheit der abgegebenen Stimmen erforderlich)</w:t>
      </w:r>
    </w:p>
    <w:p w:rsidR="00347110">
      <w:pPr>
        <w:rPr>
          <w:lang w:val="de-DE"/>
        </w:rPr>
      </w:pPr>
      <w:r>
        <w:rPr>
          <w:lang w:val="de-DE"/>
        </w:rPr>
        <w:t xml:space="preserve">ENTSCHLIESSUNGSANTRAG </w:t>
      </w:r>
    </w:p>
    <w:p w:rsidR="00347110">
      <w:pPr>
        <w:rPr>
          <w:lang w:val="de-DE"/>
        </w:rPr>
      </w:pPr>
      <w:r>
        <w:rPr>
          <w:lang w:val="de-DE"/>
        </w:rPr>
        <w:t>Angenommen (</w:t>
      </w:r>
      <w:r>
        <w:rPr>
          <w:i/>
          <w:lang w:val="de-DE"/>
        </w:rPr>
        <w:t>P10_TA(2026)0340</w:t>
      </w:r>
      <w:r>
        <w:rPr>
          <w:lang w:val="de-DE"/>
        </w:rPr>
        <w:t>)</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i/>
          <w:iCs/>
          <w:lang w:val="de-DE"/>
        </w:rPr>
      </w:pPr>
      <w:r>
        <w:rPr>
          <w:i/>
          <w:iCs/>
          <w:lang w:val="de-DE"/>
        </w:rPr>
        <w:t>(„Ergebnisse der Abstimmungen“, Punkt 9)</w:t>
      </w:r>
    </w:p>
    <w:p w:rsidR="00347110">
      <w:pPr>
        <w:pStyle w:val="Heading2"/>
        <w:rPr>
          <w:b w:val="0"/>
          <w:bCs w:val="0"/>
          <w:lang w:val="de-DE"/>
        </w:rPr>
      </w:pPr>
      <w:bookmarkStart w:id="15" w:name="_Toc242441641"/>
      <w:r>
        <w:t xml:space="preserve">6.10. </w:t>
      </w:r>
      <w:r>
        <w:rPr>
          <w:lang w:val="de-DE"/>
        </w:rPr>
        <w:t xml:space="preserve">Die künftige EU-Strategie </w:t>
      </w:r>
      <w:r>
        <w:rPr>
          <w:lang w:val="de-DE"/>
        </w:rPr>
        <w:t>zur Korruptionsbekämpfung</w:t>
      </w:r>
      <w:r>
        <w:t xml:space="preserve"> </w:t>
      </w:r>
      <w:r>
        <w:rPr>
          <w:b w:val="0"/>
          <w:bCs w:val="0"/>
          <w:lang w:val="de-DE"/>
        </w:rPr>
        <w:t>(Abstimmung)</w:t>
      </w:r>
      <w:bookmarkEnd w:id="15"/>
    </w:p>
    <w:p w:rsidR="00347110">
      <w:pPr>
        <w:rPr>
          <w:lang w:val="de-DE"/>
        </w:rPr>
      </w:pPr>
      <w:r>
        <w:rPr>
          <w:lang w:val="de-DE"/>
        </w:rPr>
        <w:t xml:space="preserve">Entschließungsantrag B10-0423/2026 </w:t>
      </w:r>
      <w:r>
        <w:rPr>
          <w:lang w:val="de-DE"/>
        </w:rPr>
        <w:t>(</w:t>
      </w:r>
      <w:r>
        <w:rPr>
          <w:i/>
          <w:iCs/>
          <w:lang w:val="de-DE"/>
        </w:rPr>
        <w:t>Punkt I des Protokolls vom 8.10.2026</w:t>
      </w:r>
      <w:r>
        <w:rPr>
          <w:lang w:val="de-DE"/>
        </w:rPr>
        <w:t>)</w:t>
      </w:r>
      <w:r>
        <w:rPr>
          <w:lang w:val="de-DE"/>
        </w:rPr>
        <w:t xml:space="preserve"> (2026/2790(RSP))</w:t>
      </w:r>
    </w:p>
    <w:p w:rsidR="00347110">
      <w:pPr>
        <w:spacing w:before="113"/>
        <w:rPr>
          <w:i/>
          <w:iCs/>
          <w:lang w:val="de-DE"/>
        </w:rPr>
      </w:pPr>
      <w:r>
        <w:rPr>
          <w:i/>
          <w:iCs/>
          <w:lang w:val="de-DE"/>
        </w:rPr>
        <w:t>(Mehrheit der abgegebenen Stimmen erforderlich)</w:t>
      </w:r>
    </w:p>
    <w:p w:rsidR="00347110">
      <w:pPr>
        <w:rPr>
          <w:lang w:val="de-DE"/>
        </w:rPr>
      </w:pPr>
      <w:r>
        <w:rPr>
          <w:lang w:val="de-DE"/>
        </w:rPr>
        <w:t xml:space="preserve">ENTSCHLIESSUNGSANTRAG </w:t>
      </w:r>
    </w:p>
    <w:p w:rsidR="00347110">
      <w:pPr>
        <w:rPr>
          <w:lang w:val="de-DE"/>
        </w:rPr>
      </w:pPr>
      <w:r>
        <w:rPr>
          <w:lang w:val="de-DE"/>
        </w:rPr>
        <w:t>Angenommen (</w:t>
      </w:r>
      <w:r>
        <w:rPr>
          <w:i/>
          <w:lang w:val="de-DE"/>
        </w:rPr>
        <w:t>P10_TA(2026)0341</w:t>
      </w:r>
      <w:r>
        <w:rPr>
          <w:lang w:val="de-DE"/>
        </w:rPr>
        <w:t>)</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i/>
          <w:iCs/>
          <w:lang w:val="de-DE"/>
        </w:rPr>
      </w:pPr>
      <w:r>
        <w:rPr>
          <w:i/>
          <w:iCs/>
          <w:lang w:val="de-DE"/>
        </w:rPr>
        <w:t>(„Ergebnisse der Abstimmungen“, Punkt 10)</w:t>
      </w:r>
    </w:p>
    <w:p w:rsidR="00347110">
      <w:pPr>
        <w:pStyle w:val="Heading2"/>
        <w:rPr>
          <w:b w:val="0"/>
          <w:bCs w:val="0"/>
          <w:lang w:val="de-DE"/>
        </w:rPr>
      </w:pPr>
      <w:bookmarkStart w:id="16" w:name="_Toc242441642"/>
      <w:r>
        <w:t xml:space="preserve">6.11. Notwendigkeit einer EU-Strategie zur Bekämpfung islamistischer Unterwanderung und zur Eindämmung des Einflusses des Netzwerks der Muslimbruderschaft </w:t>
      </w:r>
      <w:r>
        <w:rPr>
          <w:b w:val="0"/>
          <w:bCs w:val="0"/>
          <w:lang w:val="de-DE"/>
        </w:rPr>
        <w:t>(Abstimmung)</w:t>
      </w:r>
      <w:bookmarkEnd w:id="16"/>
    </w:p>
    <w:p w:rsidR="00347110">
      <w:pPr>
        <w:tabs>
          <w:tab w:val="left" w:pos="555"/>
          <w:tab w:val="left" w:pos="2268"/>
          <w:tab w:val="left" w:pos="3402"/>
          <w:tab w:val="left" w:pos="4535"/>
          <w:tab w:val="left" w:pos="5669"/>
          <w:tab w:val="left" w:pos="6803"/>
          <w:tab w:val="left" w:pos="7937"/>
          <w:tab w:val="left" w:pos="9071"/>
          <w:tab w:val="left" w:pos="10205"/>
          <w:tab w:val="left" w:pos="11339"/>
        </w:tabs>
        <w:rPr>
          <w:lang w:val="de-DE"/>
        </w:rPr>
      </w:pPr>
      <w:r>
        <w:rPr>
          <w:lang w:val="de-DE"/>
        </w:rPr>
        <w:t>Entschließungsanträge B10-0424/2026, B10-0427/2026, B10-0428/2026, B10-</w:t>
      </w:r>
      <w:r>
        <w:rPr>
          <w:lang w:val="de-DE"/>
        </w:rPr>
        <w:t xml:space="preserve">0429/2026 und B10-0430/2026 </w:t>
      </w:r>
      <w:r>
        <w:rPr>
          <w:lang w:val="de-DE"/>
        </w:rPr>
        <w:t>(</w:t>
      </w:r>
      <w:r>
        <w:rPr>
          <w:i/>
          <w:iCs/>
          <w:lang w:val="de-DE"/>
        </w:rPr>
        <w:t>Punkt I des Protokolls vom 8.10.2026</w:t>
      </w:r>
      <w:r>
        <w:rPr>
          <w:lang w:val="de-DE"/>
        </w:rPr>
        <w:t>) (2026/2868(RSP))</w:t>
      </w:r>
    </w:p>
    <w:p w:rsidR="00347110">
      <w:pPr>
        <w:tabs>
          <w:tab w:val="left" w:pos="555"/>
          <w:tab w:val="left" w:pos="2268"/>
          <w:tab w:val="left" w:pos="3402"/>
          <w:tab w:val="left" w:pos="4535"/>
          <w:tab w:val="left" w:pos="5669"/>
          <w:tab w:val="left" w:pos="6803"/>
          <w:tab w:val="left" w:pos="7937"/>
          <w:tab w:val="left" w:pos="9071"/>
          <w:tab w:val="left" w:pos="10205"/>
          <w:tab w:val="left" w:pos="11339"/>
        </w:tabs>
        <w:rPr>
          <w:i/>
          <w:iCs/>
          <w:lang w:val="de-DE"/>
        </w:rPr>
      </w:pPr>
      <w:r>
        <w:rPr>
          <w:i/>
          <w:iCs/>
          <w:lang w:val="de-DE"/>
        </w:rPr>
        <w:t>(Mehrheit der abgegebenen Stimmen erforderlich)</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255"/>
        <w:rPr>
          <w:lang w:val="de-DE"/>
        </w:rPr>
      </w:pPr>
      <w:r>
        <w:rPr>
          <w:lang w:val="de-DE"/>
        </w:rPr>
        <w:t>ENTSCHLIESSUNGSANTRAG B10-0424/2026</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227"/>
        <w:rPr>
          <w:lang w:val="de-DE"/>
        </w:rPr>
      </w:pPr>
      <w:r>
        <w:rPr>
          <w:lang w:val="de-DE"/>
        </w:rPr>
        <w:t>Angenommen (</w:t>
      </w:r>
      <w:r>
        <w:rPr>
          <w:i/>
          <w:iCs/>
          <w:lang w:val="de-DE"/>
        </w:rPr>
        <w:t>P10_TA(2026)0342</w:t>
      </w:r>
      <w:r>
        <w:rPr>
          <w:lang w:val="de-DE"/>
        </w:rPr>
        <w:t xml:space="preserve">) </w:t>
      </w:r>
    </w:p>
    <w:p w:rsidR="00347110">
      <w:pPr>
        <w:rPr>
          <w:lang w:val="de-DE"/>
        </w:rPr>
      </w:pPr>
      <w:r>
        <w:rPr>
          <w:lang w:val="de-DE"/>
        </w:rPr>
        <w:t>(Die Entschließungsanträge B10-0427/2026, B10-0428/2026, B10-0429/2026 und B10-0430/2026 sind hinfällig.)</w:t>
      </w:r>
    </w:p>
    <w:p w:rsidR="00347110">
      <w:pPr>
        <w:spacing w:after="0"/>
        <w:rPr>
          <w:i/>
          <w:iCs/>
          <w:lang w:val="de-DE"/>
        </w:rPr>
      </w:pPr>
      <w:r>
        <w:rPr>
          <w:i/>
          <w:iCs/>
          <w:lang w:val="de-DE"/>
        </w:rPr>
        <w:t>Wortmeldungen</w:t>
      </w:r>
    </w:p>
    <w:p w:rsidR="00347110">
      <w:pPr>
        <w:spacing w:after="120"/>
        <w:rPr>
          <w:lang w:val="de-DE"/>
        </w:rPr>
      </w:pPr>
      <w:r>
        <w:rPr>
          <w:lang w:val="de-DE"/>
        </w:rPr>
        <w:t>- Nathalie Loiseau, um einen mündlichen Änderungsantrag zu stellen, mit dem nach Ziffer 3 eine neue Ziffer eingefügt werden soll. Das Parlament lehnt eine Abstimmung über den mündlichen Änderun</w:t>
      </w:r>
      <w:r>
        <w:rPr>
          <w:lang w:val="de-DE"/>
        </w:rPr>
        <w:t>gsantrag ab, da mehr als 39 Mitglieder Einspruch dagegen erheben.</w:t>
      </w:r>
    </w:p>
    <w:p w:rsidR="00347110">
      <w:pPr>
        <w:spacing w:after="120"/>
        <w:rPr>
          <w:lang w:val="de-DE"/>
        </w:rPr>
      </w:pPr>
      <w:r>
        <w:rPr>
          <w:lang w:val="de-DE"/>
        </w:rPr>
        <w:t>- Fabrice Leggeri, um einen mündlichen Änderungsantrag zu stellen, mit dem nach Ziffer 4 eine neue Ziffer eingefügt werden soll. Das Parlament lehnt eine Abstimmung über den mündlichen Änderungsantrag ab, da mehr als 39 Mitglieder Einspruch dagegen erheben.</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i/>
          <w:iCs/>
          <w:lang w:val="de-DE"/>
        </w:rPr>
      </w:pPr>
      <w:r>
        <w:rPr>
          <w:i/>
          <w:iCs/>
          <w:lang w:val="de-DE"/>
        </w:rPr>
        <w:t>(„Ergebnisse der Abstimmungen“, Punkt 11)</w:t>
      </w:r>
    </w:p>
    <w:p w:rsidR="00347110">
      <w:pPr>
        <w:jc w:val="center"/>
        <w:rPr>
          <w:b/>
          <w:lang w:val="de-DE"/>
        </w:rPr>
      </w:pPr>
      <w:r>
        <w:rPr>
          <w:b/>
          <w:lang w:val="de-DE"/>
        </w:rPr>
        <w:t>⁂</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lang w:val="de-DE"/>
        </w:rPr>
      </w:pPr>
      <w:r>
        <w:rPr>
          <w:lang w:val="de-DE"/>
        </w:rPr>
        <w:t>Es sprechen Marc Botenga, Pasquale Tridico, Jaume Asens Llodrà, Branko Grims, Estrella Galán (die Präsidentin weist die Rednerin auf die Verhalt</w:t>
      </w:r>
      <w:r>
        <w:rPr>
          <w:lang w:val="de-DE"/>
        </w:rPr>
        <w:t>ensregeln hin) und Vicent Marzà Ibáñez.</w:t>
      </w:r>
    </w:p>
    <w:p w:rsidR="00347110">
      <w:pPr>
        <w:jc w:val="center"/>
        <w:rPr>
          <w:i/>
          <w:iCs/>
          <w:lang w:val="de-DE"/>
        </w:rPr>
      </w:pPr>
      <w:r>
        <w:rPr>
          <w:i/>
          <w:iCs/>
          <w:lang w:val="de-DE"/>
        </w:rPr>
        <w:t>(Die Sitzung wird um 12.53 Uhr unterbrochen.)</w:t>
      </w:r>
    </w:p>
    <w:p w:rsidR="00347110">
      <w:pPr>
        <w:jc w:val="center"/>
        <w:rPr>
          <w:i/>
          <w:lang w:val="de-DE"/>
        </w:rPr>
      </w:pPr>
      <w:r>
        <w:rPr>
          <w:lang w:val="de-DE"/>
        </w:rPr>
        <w:t>VORSITZ: Roberts ZĪLE</w:t>
      </w:r>
      <w:r>
        <w:rPr>
          <w:lang w:val="de-DE"/>
        </w:rPr>
        <w:br/>
      </w:r>
      <w:r>
        <w:rPr>
          <w:i/>
          <w:lang w:val="de-DE"/>
        </w:rPr>
        <w:t>Vi</w:t>
      </w:r>
      <w:r>
        <w:rPr>
          <w:i/>
          <w:lang w:val="de-DE"/>
        </w:rPr>
        <w:t>zepräsident</w:t>
      </w:r>
    </w:p>
    <w:p w:rsidR="00347110">
      <w:pPr>
        <w:pStyle w:val="Heading1"/>
      </w:pPr>
      <w:bookmarkStart w:id="17" w:name="_Toc242441643"/>
      <w:r>
        <w:t>7. Wiederaufnahme der Sitzung</w:t>
      </w:r>
      <w:bookmarkEnd w:id="17"/>
    </w:p>
    <w:p w:rsidR="00347110">
      <w:r>
        <w:t>Die Sitzung wird um 15.00 Uhr wieder aufgenommen.</w:t>
      </w:r>
    </w:p>
    <w:p w:rsidR="00347110">
      <w:pPr>
        <w:pStyle w:val="Heading1"/>
      </w:pPr>
      <w:bookmarkStart w:id="18" w:name="_Toc242441644"/>
      <w:r>
        <w:t>8. Genehmigung des Protokolls der vorangegangenen Sitzung</w:t>
      </w:r>
      <w:bookmarkEnd w:id="18"/>
    </w:p>
    <w:p w:rsidR="00347110">
      <w:pPr>
        <w:rPr>
          <w:lang w:val="de-DE"/>
        </w:rPr>
      </w:pPr>
      <w:r>
        <w:rPr>
          <w:lang w:val="de-DE"/>
        </w:rPr>
        <w:t>Das Protokoll der vorangegangenen Sitzung wird genehmigt.</w:t>
      </w:r>
    </w:p>
    <w:p w:rsidR="00347110">
      <w:pPr>
        <w:pStyle w:val="Heading1"/>
      </w:pPr>
      <w:bookmarkStart w:id="19" w:name="_Toc242441645"/>
      <w:r>
        <w:t xml:space="preserve">9. Übereinkommen der Vereinten Nationen über die Rechte älterer Menschen </w:t>
      </w:r>
      <w:r>
        <w:rPr>
          <w:b w:val="0"/>
          <w:bCs w:val="0"/>
          <w:lang w:val="de-DE"/>
        </w:rPr>
        <w:t>(Aussprache)</w:t>
      </w:r>
      <w:bookmarkEnd w:id="19"/>
      <w:r>
        <w:t xml:space="preserve"> </w:t>
      </w:r>
    </w:p>
    <w:p w:rsidR="00347110">
      <w:pPr>
        <w:rPr>
          <w:lang w:val="de-DE"/>
        </w:rPr>
      </w:pPr>
      <w:r>
        <w:rPr>
          <w:lang w:val="de-DE"/>
        </w:rPr>
        <w:t>Erklärung der Kommission: Übereinkommen der Vereinten Nationen über die Rechte älterer Menschen (2026/2919(</w:t>
      </w:r>
      <w:r>
        <w:rPr>
          <w:lang w:val="de-DE"/>
        </w:rPr>
        <w:t>RSP))</w:t>
      </w:r>
    </w:p>
    <w:p w:rsidR="00347110">
      <w:pPr>
        <w:rPr>
          <w:lang w:val="de-DE"/>
        </w:rPr>
      </w:pPr>
      <w:r>
        <w:rPr>
          <w:lang w:val="de-DE"/>
        </w:rPr>
        <w:t>Raffaele Fitto (Exekutiv-Vizepräsident der Kommission) gibt die Erklärung ab.</w:t>
      </w:r>
    </w:p>
    <w:p w:rsidR="00347110">
      <w:pPr>
        <w:rPr>
          <w:lang w:val="de-DE"/>
        </w:rPr>
      </w:pPr>
      <w:r>
        <w:rPr>
          <w:lang w:val="de-DE"/>
        </w:rPr>
        <w:t>Es sprechen Jagna Marczuła</w:t>
      </w:r>
      <w:r>
        <w:rPr>
          <w:lang w:val="de-DE"/>
        </w:rPr>
        <w:t xml:space="preserve">jtis-Walczak im Namen der PPE-Fraktion, Idoia Mendia im Namen der S&amp;D-Fraktion, France Jamet im Namen der PfE-Fraktion, Marlena Maląg im Namen der ECR-Fraktion, Lukas Sieper im Namen der Renew-Fraktion (der Präsident unterbricht diesen während seines Redebeitrags, um ihn auf die Verhaltensregeln hinzuweisen), Tilly Metz im Namen der Verts/ALE-Fraktion, Valentina Palmisano, im Namen der Fraktion The </w:t>
      </w:r>
      <w:r>
        <w:rPr>
          <w:lang w:val="de-DE"/>
        </w:rPr>
        <w:t xml:space="preserve">Left, Siegbert Frank Droese im Namen der ESN-Fraktion, Łukasz Kohut, der außerdem eine Frage nach dem Verfahren der „blauen Karte“ von Arkadiusz Mularczyk zurückweist, </w:t>
      </w:r>
      <w:r>
        <w:rPr>
          <w:lang w:val="de-DE"/>
        </w:rPr>
        <w:t>Kristian Vigenin, der außerdem auf eine Frage nach dem Verfahren der „blauen Karte“ von Bogdan Rzońca antwortet, Mélanie Disdier, Joachim Stanisław Brudziński, Per Clausen und Arno Bausemer, der außerdem auf Fragen nach dem Verfahren der „blauen Karte“ von Arkadiusz Mularczyk und Lukas Sieper antwortet.</w:t>
      </w:r>
    </w:p>
    <w:p w:rsidR="00347110">
      <w:pPr>
        <w:rPr>
          <w:lang w:val="de-DE"/>
        </w:rPr>
      </w:pPr>
      <w:r>
        <w:rPr>
          <w:lang w:val="de-DE"/>
        </w:rPr>
        <w:t>Es sprechen nach dem Verfahren für spon</w:t>
      </w:r>
      <w:r>
        <w:rPr>
          <w:lang w:val="de-DE"/>
        </w:rPr>
        <w:t>tane Wortmeldungen Maria Grapini, Waldemar Buda, Marcin Sypniewski, Arkadiusz Mularczyk und Bogdan Rzońca.</w:t>
      </w:r>
    </w:p>
    <w:p w:rsidR="00347110">
      <w:pPr>
        <w:rPr>
          <w:lang w:val="de-DE"/>
        </w:rPr>
      </w:pPr>
      <w:r>
        <w:rPr>
          <w:lang w:val="de-DE"/>
        </w:rPr>
        <w:t>Es spricht Raffaele Fitto.</w:t>
      </w:r>
    </w:p>
    <w:p w:rsidR="00347110">
      <w:pPr>
        <w:rPr>
          <w:lang w:val="de-DE"/>
        </w:rPr>
      </w:pPr>
      <w:r>
        <w:rPr>
          <w:lang w:val="de-DE"/>
        </w:rPr>
        <w:t>Die Aussprache ist geschlossen.</w:t>
      </w:r>
    </w:p>
    <w:p w:rsidR="00347110">
      <w:pPr>
        <w:pStyle w:val="Heading1"/>
        <w:rPr>
          <w:b w:val="0"/>
          <w:bCs w:val="0"/>
          <w:lang w:val="de-DE"/>
        </w:rPr>
      </w:pPr>
      <w:bookmarkStart w:id="20" w:name="_Toc242441646"/>
      <w:r>
        <w:t xml:space="preserve">10. Mündliche Erklärungen zur Abstimmung </w:t>
      </w:r>
      <w:r>
        <w:rPr>
          <w:b w:val="0"/>
          <w:bCs w:val="0"/>
          <w:lang w:val="de-DE"/>
        </w:rPr>
        <w:t>(Artikel 201 GO)</w:t>
      </w:r>
      <w:bookmarkEnd w:id="20"/>
    </w:p>
    <w:p w:rsidR="00347110">
      <w:pPr>
        <w:pStyle w:val="Heading2"/>
      </w:pPr>
      <w:bookmarkStart w:id="21" w:name="_Toc242441647"/>
      <w:r>
        <w:t>10.1. Die undemokratische Wahl zur russischen Staatsduma im Jahr 2026 und ihre Auswirkungen auf die Zivilgesellschaf</w:t>
      </w:r>
      <w:r>
        <w:t>t (RC-B10-0441/2026)</w:t>
      </w:r>
      <w:bookmarkEnd w:id="21"/>
      <w:r>
        <w:t xml:space="preserve"> </w:t>
      </w:r>
    </w:p>
    <w:p w:rsidR="00347110">
      <w:pPr>
        <w:rPr>
          <w:lang w:val="de-DE"/>
        </w:rPr>
      </w:pPr>
      <w:r>
        <w:rPr>
          <w:lang w:val="de-DE"/>
        </w:rPr>
        <w:t>Lukas Sieper, auch zum Ablauf der Aussprache zu dem „Übereinkommen der Vereinten Nationen über die Rechte älterer Menschen“ (</w:t>
      </w:r>
      <w:r>
        <w:rPr>
          <w:i/>
          <w:iCs/>
          <w:lang w:val="de-DE"/>
        </w:rPr>
        <w:t>Punkt 9 des Protokolls vo</w:t>
      </w:r>
      <w:r>
        <w:rPr>
          <w:i/>
          <w:iCs/>
          <w:lang w:val="de-DE"/>
        </w:rPr>
        <w:t>m 8.10.2026</w:t>
      </w:r>
      <w:r>
        <w:rPr>
          <w:lang w:val="de-DE"/>
        </w:rPr>
        <w:t xml:space="preserve">)  (der Präsident gibt nähere Erläuterungen ab), Dan Barna, Arkadiusz Mularczyk </w:t>
      </w:r>
    </w:p>
    <w:p w:rsidR="00347110">
      <w:pPr>
        <w:pStyle w:val="Heading2"/>
      </w:pPr>
      <w:bookmarkStart w:id="22" w:name="_Toc242441648"/>
      <w:r>
        <w:t>10.2. Stand der Fortschritte in den Handels- und Investitionsbeziehungen zwischen der EU und Afrika (B10-0435/2026)</w:t>
      </w:r>
      <w:bookmarkEnd w:id="22"/>
      <w:r>
        <w:t xml:space="preserve"> </w:t>
      </w:r>
    </w:p>
    <w:p w:rsidR="00347110">
      <w:pPr>
        <w:rPr>
          <w:lang w:val="de-DE"/>
        </w:rPr>
      </w:pPr>
      <w:r>
        <w:rPr>
          <w:lang w:val="de-DE"/>
        </w:rPr>
        <w:t>Dan Barna</w:t>
      </w:r>
    </w:p>
    <w:p w:rsidR="00347110">
      <w:pPr>
        <w:pStyle w:val="Heading2"/>
      </w:pPr>
      <w:bookmarkStart w:id="23" w:name="_Toc242441649"/>
      <w:r>
        <w:t>10.3. Die künftige EU-Strategie zur Korruptionsbekämpfung (B10-0423/2026)</w:t>
      </w:r>
      <w:bookmarkEnd w:id="23"/>
      <w:r>
        <w:t xml:space="preserve"> </w:t>
      </w:r>
    </w:p>
    <w:p w:rsidR="00347110">
      <w:pPr>
        <w:rPr>
          <w:lang w:val="de-DE"/>
        </w:rPr>
      </w:pPr>
      <w:r>
        <w:rPr>
          <w:lang w:val="de-DE"/>
        </w:rPr>
        <w:t>Lukas Sieper, Dan Barna, Arkadiusz Mularczyk</w:t>
      </w:r>
    </w:p>
    <w:p w:rsidR="00347110">
      <w:pPr>
        <w:pStyle w:val="Heading2"/>
      </w:pPr>
      <w:bookmarkStart w:id="24" w:name="_Toc242441650"/>
      <w:r>
        <w:t>10.4. Notwendigkeit einer EU-Strategie zur Bekämpfung islamistischer Unterwanderung und zur Eindämmung des Einflusses des Netzwerks der Muslimbruderschaft (B10-0424/2026)</w:t>
      </w:r>
      <w:bookmarkEnd w:id="24"/>
      <w:r>
        <w:t xml:space="preserve"> </w:t>
      </w:r>
    </w:p>
    <w:p w:rsidR="00347110">
      <w:pPr>
        <w:rPr>
          <w:lang w:val="de-DE"/>
        </w:rPr>
      </w:pPr>
      <w:r>
        <w:rPr>
          <w:lang w:val="de-DE"/>
        </w:rPr>
        <w:t>A</w:t>
      </w:r>
      <w:r>
        <w:rPr>
          <w:lang w:val="de-DE"/>
        </w:rPr>
        <w:t>rkadiusz Mularczyk</w:t>
      </w:r>
    </w:p>
    <w:p w:rsidR="00347110">
      <w:pPr>
        <w:pStyle w:val="Heading1"/>
        <w:rPr>
          <w:b w:val="0"/>
          <w:bCs w:val="0"/>
          <w:lang w:val="de-DE"/>
        </w:rPr>
      </w:pPr>
      <w:bookmarkStart w:id="25" w:name="_Toc242441651"/>
      <w:r>
        <w:t xml:space="preserve">11. Schriftliche Erklärungen zur Abstimmung </w:t>
      </w:r>
      <w:r>
        <w:rPr>
          <w:b w:val="0"/>
          <w:bCs w:val="0"/>
          <w:lang w:val="de-DE"/>
        </w:rPr>
        <w:t>(Artikel 201 GO)</w:t>
      </w:r>
      <w:bookmarkEnd w:id="25"/>
    </w:p>
    <w:p w:rsidR="00347110">
      <w:pPr>
        <w:widowControl/>
        <w:spacing w:after="113"/>
      </w:pPr>
      <w:r>
        <w:t>Schriftliche Erklärungen zur Abstimmung werden auf die den Mitgliedern vorbehaltenen Seiten auf der Website des Parlaments aufgenommen.</w:t>
      </w:r>
    </w:p>
    <w:p w:rsidR="00347110">
      <w:pPr>
        <w:pStyle w:val="Heading1"/>
      </w:pPr>
      <w:bookmarkStart w:id="26" w:name="_Toc242441652"/>
      <w:r>
        <w:t>12. Genehmigung des Protokolls der laufenden Sitzung und Übermittlung der angenommenen Texte</w:t>
      </w:r>
      <w:bookmarkEnd w:id="26"/>
    </w:p>
    <w:p w:rsidR="00347110">
      <w:pPr>
        <w:widowControl/>
        <w:spacing w:after="113"/>
      </w:pPr>
      <w:r>
        <w:t>Gemäß Artikel 208 Absatz 3 GO wird das Protokoll dieser Sitzung dem Parlament zu Beginn der Nachmittagssitzung des nächsten Sitzungstags zur Genehmigung unterbreitet.</w:t>
      </w:r>
    </w:p>
    <w:p w:rsidR="00347110">
      <w:pPr>
        <w:rPr>
          <w:lang w:val="de-DE"/>
        </w:rPr>
      </w:pPr>
      <w:r>
        <w:rPr>
          <w:lang w:val="de-DE"/>
        </w:rPr>
        <w:t>Die im Laufe dieser Tagung angenomme</w:t>
      </w:r>
      <w:r>
        <w:rPr>
          <w:lang w:val="de-DE"/>
        </w:rPr>
        <w:t>nen Texte werden mit Zustimmung des Parlaments nun an die jeweiligen Empfänger übermittelt.</w:t>
      </w:r>
    </w:p>
    <w:p w:rsidR="00347110">
      <w:pPr>
        <w:pStyle w:val="Heading1"/>
      </w:pPr>
      <w:bookmarkStart w:id="27" w:name="_Toc242441653"/>
      <w:r>
        <w:t>13. Zeitplan für die nächste Tagung</w:t>
      </w:r>
      <w:bookmarkEnd w:id="27"/>
    </w:p>
    <w:p w:rsidR="00347110">
      <w:pPr>
        <w:rPr>
          <w:lang w:val="de-DE"/>
        </w:rPr>
      </w:pPr>
      <w:r>
        <w:rPr>
          <w:lang w:val="de-DE"/>
        </w:rPr>
        <w:t>Die nächste Tagung findet vom 19. Oktober 2026 bis zum 22. Oktober 2026 statt.</w:t>
      </w:r>
    </w:p>
    <w:p w:rsidR="00347110">
      <w:pPr>
        <w:pStyle w:val="Heading1"/>
      </w:pPr>
      <w:bookmarkStart w:id="28" w:name="_Toc242441654"/>
      <w:r>
        <w:t>14. Schluss der Sitzung</w:t>
      </w:r>
      <w:bookmarkEnd w:id="28"/>
    </w:p>
    <w:p w:rsidR="00347110">
      <w:pPr>
        <w:rPr>
          <w:lang w:val="de-DE"/>
        </w:rPr>
      </w:pPr>
      <w:r>
        <w:rPr>
          <w:lang w:val="de-DE"/>
        </w:rPr>
        <w:t>Die Sitzung wird um 16.00 Uhr geschlossen.</w:t>
      </w:r>
    </w:p>
    <w:p w:rsidR="00347110">
      <w:pPr>
        <w:pStyle w:val="Heading1"/>
      </w:pPr>
      <w:bookmarkStart w:id="29" w:name="_Toc242441655"/>
      <w:r>
        <w:t>15. Unterbrechung der Sitzungsperiode</w:t>
      </w:r>
      <w:bookmarkEnd w:id="29"/>
    </w:p>
    <w:p w:rsidR="00347110">
      <w:r>
        <w:t>Die Sitzungsperiode des Europäischen Parlaments ist unterbrochen.</w:t>
      </w:r>
    </w:p>
    <w:p w:rsidR="00347110">
      <w:pPr>
        <w:rPr>
          <w:lang w:val="de-DE"/>
        </w:rPr>
      </w:pPr>
    </w:p>
    <w:tbl>
      <w:tblPr>
        <w:tblStyle w:val="TableNormal"/>
        <w:tblW w:w="0" w:type="auto"/>
        <w:tblLayout w:type="fixed"/>
        <w:tblCellMar>
          <w:left w:w="0" w:type="dxa"/>
          <w:right w:w="0" w:type="dxa"/>
        </w:tblCellMar>
        <w:tblLook w:val="0000"/>
      </w:tblPr>
      <w:tblGrid>
        <w:gridCol w:w="4818"/>
        <w:gridCol w:w="4820"/>
      </w:tblGrid>
      <w:tr>
        <w:tblPrEx>
          <w:tblW w:w="0" w:type="auto"/>
          <w:tblLayout w:type="fixed"/>
          <w:tblLook w:val="0000"/>
        </w:tblPrEx>
        <w:trPr>
          <w:cantSplit/>
        </w:trPr>
        <w:tc>
          <w:tcPr>
            <w:tcW w:w="4818" w:type="dxa"/>
          </w:tcPr>
          <w:p w:rsidR="00347110">
            <w:pPr>
              <w:pStyle w:val="TableContents"/>
              <w:widowControl/>
              <w:spacing w:after="283"/>
              <w:jc w:val="center"/>
              <w:rPr>
                <w:lang w:val="de-DE"/>
              </w:rPr>
            </w:pPr>
            <w:r>
              <w:rPr>
                <w:lang w:val="de-DE"/>
              </w:rPr>
              <w:t>Alessandro Chiocchetti</w:t>
            </w:r>
          </w:p>
        </w:tc>
        <w:tc>
          <w:tcPr>
            <w:tcW w:w="4820" w:type="dxa"/>
          </w:tcPr>
          <w:p w:rsidR="00347110">
            <w:pPr>
              <w:jc w:val="center"/>
              <w:rPr>
                <w:lang w:val="de-DE"/>
              </w:rPr>
            </w:pPr>
            <w:r>
              <w:rPr>
                <w:lang w:val="de-DE"/>
              </w:rPr>
              <w:t>Roberta Metsola</w:t>
            </w:r>
          </w:p>
        </w:tc>
      </w:tr>
      <w:tr>
        <w:tblPrEx>
          <w:tblW w:w="0" w:type="auto"/>
          <w:tblLayout w:type="fixed"/>
          <w:tblLook w:val="0000"/>
        </w:tblPrEx>
        <w:trPr>
          <w:cantSplit/>
        </w:trPr>
        <w:tc>
          <w:tcPr>
            <w:tcW w:w="4818" w:type="dxa"/>
          </w:tcPr>
          <w:p w:rsidR="00347110">
            <w:pPr>
              <w:jc w:val="center"/>
              <w:rPr>
                <w:i/>
                <w:iCs/>
                <w:lang w:val="de-DE"/>
              </w:rPr>
            </w:pPr>
            <w:r>
              <w:rPr>
                <w:i/>
                <w:iCs/>
                <w:lang w:val="de-DE"/>
              </w:rPr>
              <w:t>Generalsekretär</w:t>
            </w:r>
          </w:p>
        </w:tc>
        <w:tc>
          <w:tcPr>
            <w:tcW w:w="4820" w:type="dxa"/>
          </w:tcPr>
          <w:p w:rsidR="00347110">
            <w:pPr>
              <w:jc w:val="center"/>
              <w:rPr>
                <w:i/>
                <w:iCs/>
                <w:lang w:val="de-DE"/>
              </w:rPr>
            </w:pPr>
            <w:r>
              <w:rPr>
                <w:i/>
                <w:iCs/>
                <w:lang w:val="de-DE"/>
              </w:rPr>
              <w:t>Präsidentin</w:t>
            </w:r>
          </w:p>
        </w:tc>
      </w:tr>
    </w:tbl>
    <w:p w:rsidR="00347110">
      <w:pPr>
        <w:sectPr>
          <w:footerReference w:type="default" r:id="rId8"/>
          <w:footerReference w:type="first" r:id="rId9"/>
          <w:footnotePr>
            <w:pos w:val="beneathText"/>
          </w:footnotePr>
          <w:pgSz w:w="11906" w:h="16837"/>
          <w:pgMar w:top="567" w:right="1134" w:bottom="1134" w:left="1134" w:header="720" w:footer="720" w:gutter="0"/>
          <w:cols w:space="720"/>
          <w:titlePg/>
          <w:docGrid w:linePitch="360"/>
        </w:sectPr>
      </w:pPr>
    </w:p>
    <w:p w:rsidR="00347110"/>
    <w:p w:rsidR="00347110">
      <w:pPr>
        <w:pStyle w:val="Heading1"/>
        <w:jc w:val="center"/>
        <w:rPr>
          <w:lang w:val="de-DE"/>
        </w:rPr>
      </w:pPr>
      <w:bookmarkStart w:id="30" w:name="_Toc242441656"/>
      <w:r>
        <w:rPr>
          <w:lang w:val="de-DE"/>
        </w:rPr>
        <w:t xml:space="preserve">VERZEICHNIS DER DOKUMENTE, DIE DEN BERATUNGEN UND BESCHLÜSSEN </w:t>
      </w:r>
      <w:r>
        <w:rPr>
          <w:lang w:val="de-DE"/>
        </w:rPr>
        <w:t>DES PARLAMENTS ZUGRUNDE LIEGEN</w:t>
      </w:r>
      <w:bookmarkEnd w:id="30"/>
    </w:p>
    <w:p w:rsidR="00347110">
      <w:pPr>
        <w:pStyle w:val="Heading1"/>
      </w:pPr>
      <w:bookmarkStart w:id="31" w:name="_Toc242441657"/>
      <w:r>
        <w:t>I. Eingereichte Entschließungsanträge</w:t>
      </w:r>
      <w:bookmarkEnd w:id="31"/>
    </w:p>
    <w:p w:rsidR="00347110">
      <w:pPr>
        <w:spacing w:after="170"/>
        <w:rPr>
          <w:b/>
          <w:bCs/>
          <w:lang w:val="de-DE"/>
        </w:rPr>
      </w:pPr>
      <w:r>
        <w:rPr>
          <w:b/>
          <w:bCs/>
          <w:lang w:val="de-DE"/>
        </w:rPr>
        <w:t>Die künftige EU-Strategie zur Korruptionsbekämpfung</w:t>
      </w:r>
    </w:p>
    <w:p w:rsidR="00347110">
      <w:pPr>
        <w:rPr>
          <w:lang w:val="de-DE"/>
        </w:rPr>
      </w:pPr>
      <w:r>
        <w:rPr>
          <w:lang w:val="de-DE"/>
        </w:rPr>
        <w:t>Gemäß Artikel 142 Absatz 5 GO eingereichter Entschließungsantrag:</w:t>
      </w:r>
    </w:p>
    <w:p w:rsidR="00347110">
      <w:pPr>
        <w:spacing w:after="170"/>
        <w:rPr>
          <w:b/>
          <w:bCs/>
          <w:lang w:val="de-DE"/>
        </w:rPr>
      </w:pPr>
      <w:r>
        <w:rPr>
          <w:lang w:val="de-DE"/>
        </w:rPr>
        <w:t>zu der künftigen EU-Strategie zur Korruptionsbekämpfung (2026/2790(RSP)) (B10-0423/2026)</w:t>
        <w:br/>
        <w:t>Javier Zarzalejos</w:t>
        <w:br/>
        <w:t>im Namen des LIBE-Ausschusses</w:t>
        <w:br/>
        <w:t>Chloé Ridel, Mar</w:t>
      </w:r>
      <w:r>
        <w:rPr>
          <w:lang w:val="de-DE"/>
        </w:rPr>
        <w:t>iusz Kamiński, Raquel García Hermida-Van Der Walle, Daniel Freund, Giuseppe Antoci</w:t>
        <w:br/>
        <w:br/>
      </w:r>
      <w:r>
        <w:rPr>
          <w:b/>
          <w:bCs/>
          <w:lang w:val="de-DE"/>
        </w:rPr>
        <w:t>Pilotprojekt zu Europäischen Schulallianzen und sein Beitrag zur politischen Bildung, zu</w:t>
      </w:r>
      <w:r>
        <w:rPr>
          <w:b/>
          <w:bCs/>
          <w:lang w:val="de-DE"/>
        </w:rPr>
        <w:t xml:space="preserve"> demokratischen Kompetenzen und zu europäischen Werten</w:t>
      </w:r>
    </w:p>
    <w:p w:rsidR="00347110">
      <w:pPr>
        <w:widowControl/>
        <w:spacing w:after="113"/>
      </w:pPr>
      <w:r>
        <w:t>Gemäß Artikel 136 Absatz 2 GO</w:t>
      </w:r>
      <w:r>
        <w:t xml:space="preserve"> eingereichte Entschließungsanträge:</w:t>
      </w:r>
    </w:p>
    <w:p w:rsidR="00347110">
      <w:pPr>
        <w:spacing w:after="170"/>
        <w:rPr>
          <w:b/>
          <w:bCs/>
          <w:lang w:val="de-DE"/>
        </w:rPr>
      </w:pPr>
      <w:r>
        <w:rPr>
          <w:lang w:val="de-DE"/>
        </w:rPr>
        <w:t>zu dem Pilotprojekt zu Europäischen Schulallianzen (2026/2713(RSP)) (B10-0436/2026)</w:t>
        <w:br/>
        <w:t>Nela Riehl</w:t>
        <w:br/>
        <w:t>im Namen des CULT-Ausschusses</w:t>
        <w:br/>
        <w:br/>
        <w:t>zu dem Pilotprojekt zu Europäischen Schulallianzen und seinem Beitrag zur politischen Bildung, zu demokratischen Kompetenzen und zu europäischen Werten (2026/2713(RSP)) (B10-0437/2026)</w:t>
        <w:br/>
        <w:t>Marc Jongen</w:t>
        <w:br/>
        <w:t>im Namen der ESN-Fraktion</w:t>
        <w:br/>
        <w:br/>
      </w:r>
      <w:r>
        <w:rPr>
          <w:b/>
          <w:bCs/>
          <w:lang w:val="de-DE"/>
        </w:rPr>
        <w:t>Stand der Fortschritte in den Handels- un</w:t>
      </w:r>
      <w:r>
        <w:rPr>
          <w:b/>
          <w:bCs/>
          <w:lang w:val="de-DE"/>
        </w:rPr>
        <w:t>d Investitionsbeziehungen zwischen der EU und Afrika</w:t>
      </w:r>
    </w:p>
    <w:p w:rsidR="00347110">
      <w:pPr>
        <w:rPr>
          <w:lang w:val="de-DE"/>
        </w:rPr>
      </w:pPr>
      <w:r>
        <w:rPr>
          <w:lang w:val="de-DE"/>
        </w:rPr>
        <w:t>Gemäß Artikel 142 Absatz 5 GO eingereichter Entschließungsantrag:</w:t>
      </w:r>
    </w:p>
    <w:p w:rsidR="00347110">
      <w:pPr>
        <w:spacing w:after="170"/>
        <w:rPr>
          <w:b/>
          <w:bCs/>
          <w:lang w:val="de-DE"/>
        </w:rPr>
      </w:pPr>
      <w:r>
        <w:rPr>
          <w:lang w:val="de-DE"/>
        </w:rPr>
        <w:t>zu dem Stand der Fortschritte in den Handels- und Investitionsbeziehungen zwischen der EU und Afrika (2026/2624(RSP)) (B10-0435/2026)</w:t>
        <w:br/>
        <w:t>Bernd Lange</w:t>
        <w:br/>
        <w:t>im Namen des INTA-Ausschusses</w:t>
        <w:br/>
        <w:br/>
      </w:r>
      <w:r>
        <w:rPr>
          <w:b/>
          <w:bCs/>
          <w:lang w:val="de-DE"/>
        </w:rPr>
        <w:t>Einwand gemäß Artikel 115 Absätze 2, 3 und 4 Buchstabe c der Geschäftsordnung: bestimmte botanische Arten, die Hydroxyanthracen-Derivate enthalten</w:t>
      </w:r>
    </w:p>
    <w:p w:rsidR="00347110">
      <w:pPr>
        <w:rPr>
          <w:lang w:val="de-DE"/>
        </w:rPr>
      </w:pPr>
      <w:r>
        <w:rPr>
          <w:lang w:val="de-DE"/>
        </w:rPr>
        <w:t>Gemeinsamer Entschließungsantrag, eingereicht gemäß Artikel 115 Absät</w:t>
      </w:r>
      <w:r>
        <w:rPr>
          <w:lang w:val="de-DE"/>
        </w:rPr>
        <w:t>ze 2, 3 und 4 Buchstabe c GO:</w:t>
      </w:r>
    </w:p>
    <w:p w:rsidR="00347110">
      <w:pPr>
        <w:spacing w:after="170"/>
        <w:rPr>
          <w:lang w:val="de-DE"/>
        </w:rPr>
      </w:pPr>
      <w:r>
        <w:rPr>
          <w:lang w:val="de-DE"/>
        </w:rPr>
        <w:t>zu dem Entwurf einer Verordnung der Kommission zur Änderung des Anhangs III der Verordnung (EG) Nr. 1925/2006 des Europäischen Parlaments und des Rates in Bezug auf bestimmte botanische Arten, die Hydroxyanthracen-Derivate enthalten (D099926/03 - 2026/2839(RPS)) (B10-0465/2026)</w:t>
        <w:br/>
        <w:t>im Namen des ENVI-Ausschusses</w:t>
        <w:br/>
        <w:t xml:space="preserve">Zuständiges Mitglied: Pascal Arimont </w:t>
        <w:br/>
      </w:r>
    </w:p>
    <w:p w:rsidR="00347110">
      <w:pPr>
        <w:spacing w:after="170"/>
        <w:rPr>
          <w:b/>
          <w:bCs/>
          <w:lang w:val="de-DE"/>
        </w:rPr>
      </w:pPr>
      <w:r>
        <w:rPr>
          <w:b/>
          <w:bCs/>
          <w:lang w:val="de-DE"/>
        </w:rPr>
        <w:t>Einwand gemäß Artikel 115 Absätze 2, 3 und 4 Buchstabe c der Geschäftsordnung: Monacoline aus Rotschimmelreis</w:t>
      </w:r>
    </w:p>
    <w:p w:rsidR="00347110">
      <w:pPr>
        <w:rPr>
          <w:lang w:val="de-DE"/>
        </w:rPr>
      </w:pPr>
      <w:r>
        <w:rPr>
          <w:lang w:val="de-DE"/>
        </w:rPr>
        <w:t>Gemäß Artikel 115 Absätz</w:t>
      </w:r>
      <w:r>
        <w:rPr>
          <w:lang w:val="de-DE"/>
        </w:rPr>
        <w:t>e 2, 3 und 4 Buchstabe c GO eingereichter Entschließungsantrag:</w:t>
      </w:r>
    </w:p>
    <w:p w:rsidR="00347110">
      <w:pPr>
        <w:spacing w:after="170"/>
        <w:rPr>
          <w:b/>
          <w:bCs/>
          <w:lang w:val="de-DE"/>
        </w:rPr>
      </w:pPr>
      <w:r>
        <w:rPr>
          <w:lang w:val="de-DE"/>
        </w:rPr>
        <w:t>zu dem Entwurf einer Verordnung der Kommission zur Änderung des Anhangs III der Verordnung (EG) Nr. 1925/2006 des Europäischen Parlaments und des Rates in Bezug auf Monacoline aus Rotschimmelreis (D113902/02 - 2026/2821((RPS)) (B10-0466/2026)</w:t>
        <w:br/>
        <w:t xml:space="preserve">Esther Herranz García, Pietro Fiocchi, Carlo Fidanza, Carlo Ciccioli, Alessandro Ciriani, Daniele Polato, Mariateresa Vivaldini, Francesco Torselli, Sergio Berlato, Marco Squarta, Paolo Inselvini, Michele </w:t>
      </w:r>
      <w:r>
        <w:rPr>
          <w:lang w:val="de-DE"/>
        </w:rPr>
        <w:t>Picaro, Stefano Cavedagna, Alberico Gambino, Elena Donazzan, Mario Mantovani, Lara Magoni, Gabriel Mato, Isabel Benjumea Benjumea, Letizia Moratti, Fernando Navarrete Rojas, Elena Nevado del Campo, Pablo Arias Echeverría, Pilar del Castillo Vera, Liesbet Sommen, Dolors Montserrat, Susana Solís Pérez, Ingeborg Ter Laak, Flavio Tosi, Adrián Vázquez Lázara, Juan Ignacio Zoido Álvarez, Pascal Arimont, Hildegard Bentele, Carmen Crespo Díaz, Raúl de la Hoz Quintano, Nicolás Pascual de la Parte, Alma Ezcurra Alman</w:t>
      </w:r>
      <w:r>
        <w:rPr>
          <w:lang w:val="de-DE"/>
        </w:rPr>
        <w:t>sa, Gheorghe Falcă, Maravillas Abadía Jover, Javier Zarzalejos, Francisco José Millá</w:t>
      </w:r>
      <w:r>
        <w:rPr>
          <w:lang w:val="de-DE"/>
        </w:rPr>
        <w:t>n Mon, Borja Giménez Larraz, Esteban González Pons, Antonio López-Istúriz White, Elżbieta Katarzyna Łukacijewska</w:t>
        <w:br/>
        <w:br/>
      </w:r>
      <w:r>
        <w:rPr>
          <w:b/>
          <w:bCs/>
          <w:lang w:val="de-DE"/>
        </w:rPr>
        <w:t>Einwand gemäß Artikel 115 Absätze 2, 3 und 4 Buchstabe c d</w:t>
      </w:r>
      <w:r>
        <w:rPr>
          <w:b/>
          <w:bCs/>
          <w:lang w:val="de-DE"/>
        </w:rPr>
        <w:t>er Geschäftsordnung: Blei in Schrotmunition</w:t>
      </w:r>
    </w:p>
    <w:p w:rsidR="00347110">
      <w:pPr>
        <w:rPr>
          <w:lang w:val="de-DE"/>
        </w:rPr>
      </w:pPr>
      <w:r>
        <w:rPr>
          <w:lang w:val="de-DE"/>
        </w:rPr>
        <w:t>Gemäß Artikel 115 Absätze 2, 3 und 4 Buchstabe c GO eingereichter Entschließungsantrag:</w:t>
      </w:r>
    </w:p>
    <w:p w:rsidR="00347110">
      <w:pPr>
        <w:spacing w:after="170"/>
        <w:rPr>
          <w:b/>
          <w:bCs/>
          <w:lang w:val="de-DE"/>
        </w:rPr>
      </w:pPr>
      <w:r>
        <w:rPr>
          <w:lang w:val="de-DE"/>
        </w:rPr>
        <w:t>zu dem Entwurf einer Verordnung der Kommission zur Änderung von Anhang XVII der Verordnung (EG) Nr. 1907/2006 des Europäisch</w:t>
      </w:r>
      <w:r>
        <w:rPr>
          <w:lang w:val="de-DE"/>
        </w:rPr>
        <w:t>en Parlaments und des Rates zur Registrierung, Bewertung, Zulassung und Beschränkung chemischer Stoffe (REACH) hinsichtlich Blei in Schrotmunition (D105447/07 - 2026/2824(RPS)) (B10-0431/2026)</w:t>
      </w:r>
      <w:r>
        <w:rPr>
          <w:lang w:val="de-DE"/>
        </w:rPr>
        <w:br/>
        <w:t>Pietro Fiocchi</w:t>
        <w:br/>
        <w:t>im Namen der ECR-Fraktion</w:t>
        <w:br/>
        <w:br/>
        <w:t>zu dem Entwurf einer Verordnung der Kommission zur Änderung von Anhang XVII der Verordnung (EG) Nr. 1907/2006 des Europäischen Parlaments und des Rates zur Registrierung, Bewertung, Zulassung und Beschränkung chemischer Stoffe (REACH) hinsichtlich Blei in Schrotmunition (D1054</w:t>
      </w:r>
      <w:r>
        <w:rPr>
          <w:lang w:val="de-DE"/>
        </w:rPr>
        <w:t>47/07 - 2026/2824(RPS)) (B10-0432/2026)</w:t>
        <w:br/>
        <w:t>Mathilde Androuët, Mélanie Disdier, Antonín Staněk, Barbara Bonte, Ondřej Knotek, Roman Haider, Marie-Luce Brasier-Clain, Susanna Ceccardi, Anna Maria Cisint</w:t>
        <w:br/>
        <w:t>im Namen der PfE-Fraktion</w:t>
        <w:br/>
        <w:br/>
      </w:r>
      <w:r>
        <w:rPr>
          <w:b/>
          <w:bCs/>
          <w:lang w:val="de-DE"/>
        </w:rPr>
        <w:t>Notwendigkeit einer EU-Strategi</w:t>
      </w:r>
      <w:r>
        <w:rPr>
          <w:b/>
          <w:bCs/>
          <w:lang w:val="de-DE"/>
        </w:rPr>
        <w:t>e zur Bekämpfung islamistischer Unterwanderung und zur Eindämmung des Einflusses des Netzwerks der Muslimbruderschaft</w:t>
      </w:r>
    </w:p>
    <w:p w:rsidR="00347110">
      <w:pPr>
        <w:widowControl/>
        <w:spacing w:after="113"/>
      </w:pPr>
      <w:r>
        <w:t>Zum Abschluss der Aussprache gemäß Artikel 136 Absatz 2 GO eingereichte Entschließungsanträge:</w:t>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lang w:val="de-DE"/>
        </w:rPr>
      </w:pPr>
      <w:r>
        <w:rPr>
          <w:lang w:val="de-DE"/>
        </w:rPr>
        <w:t>zur Notwendigkeit einer EU-Strategie zur Be</w:t>
      </w:r>
      <w:r>
        <w:rPr>
          <w:lang w:val="de-DE"/>
        </w:rPr>
        <w:t>kämpfung islamistischer Unterwanderung und zur Eindämmung des Einflusses des Netzwerks der Muslimbruderschaft (2026/2868(RSP)) (B10-0424/2026)</w:t>
        <w:br/>
        <w:t>Céline Imart</w:t>
        <w:br/>
        <w:t>im Namen der PPE-Fraktion</w:t>
        <w:br/>
        <w:br/>
        <w:t>zur Notwendigkeit einer EU-Strategie zur Bekämpfung islamistischer Unterwanderung und zur Eindämmung des Einflusses des Netzwerks der Muslimbruderschaft (2026/2868(RSP)) (B10-0427/2026)</w:t>
        <w:br/>
        <w:t>Nathalie Loiseau</w:t>
        <w:br/>
        <w:t>im Namen der Renew-Fraktion</w:t>
        <w:br/>
        <w:br/>
        <w:t>zu der Notwendigkeit einer EU-Strategie zur Bekämpfung islamistischer Unterwanderung und zur Eind</w:t>
      </w:r>
      <w:r>
        <w:rPr>
          <w:lang w:val="de-DE"/>
        </w:rPr>
        <w:t>ämmung des Einflusses des Netzwerks der Muslimbruderschaft (2026/2868(RSP)) (B10-0428/2026)</w:t>
        <w:br/>
        <w:t>Nicolas Bay, Assita Kanko, Charlie Weimers, Sebastian Tynkkynen, Geadis Geadi, Alessandro Ciriani, Marion Maréchal</w:t>
        <w:br/>
        <w:t>im Namen der ECR-Fraktion</w:t>
        <w:br/>
        <w:br/>
        <w:t>zur Notwendigkeit einer EU-Strategie zur Bekämpfung islamistischer Unterwanderung und zur Eindämmung des Einflusses des Netzwerks der Muslimbruderschaft (2026/2868(RSP)) (B10-0429/2026)</w:t>
        <w:br/>
        <w:t>Christine Anderson, Mary Khan, Milan Uhrík, Roberto Vannacci</w:t>
        <w:br/>
        <w:t>im Namen der ESN-Fraktion</w:t>
        <w:br/>
        <w:br/>
        <w:t xml:space="preserve">zur </w:t>
      </w:r>
      <w:r>
        <w:rPr>
          <w:lang w:val="de-DE"/>
        </w:rPr>
        <w:t>Notwendigkeit einer EU-Strategie zur Bekämpfung islamistischer Unterwanderung und zur Eindämmung des Einflusses des Netzwerks der Muslimbruderschaft (2026/2868(RSP)) (B10-0430/2026)</w:t>
        <w:br/>
        <w:t>Susanna Ceccardi, Anna Maria Cisint, Fabrice Leggeri, António Tânger Corrê</w:t>
      </w:r>
      <w:r>
        <w:rPr>
          <w:lang w:val="de-DE"/>
        </w:rPr>
        <w:t>a, Tom Vandendriessche, Jorge Buxadé Villalba, Matthieu Valet</w:t>
        <w:br/>
        <w:t>im Namen der PfE-Fraktion</w:t>
        <w:br/>
      </w:r>
    </w:p>
    <w:p w:rsidR="00347110">
      <w:pPr>
        <w:tabs>
          <w:tab w:val="left" w:pos="570"/>
          <w:tab w:val="left" w:pos="2268"/>
          <w:tab w:val="left" w:pos="3402"/>
          <w:tab w:val="left" w:pos="4535"/>
          <w:tab w:val="left" w:pos="5669"/>
          <w:tab w:val="left" w:pos="6803"/>
          <w:tab w:val="left" w:pos="7937"/>
          <w:tab w:val="left" w:pos="9071"/>
          <w:tab w:val="left" w:pos="10205"/>
          <w:tab w:val="left" w:pos="11339"/>
        </w:tabs>
        <w:spacing w:after="170"/>
        <w:rPr>
          <w:b/>
          <w:bCs/>
          <w:lang w:val="de-DE"/>
        </w:rPr>
      </w:pPr>
      <w:r>
        <w:rPr>
          <w:b/>
          <w:bCs/>
          <w:lang w:val="de-DE"/>
        </w:rPr>
        <w:t>Die Fälle von Əli Kərimli, Anar Məmmədli und weiteren politischen Gefangenen in Aserbaidschan</w:t>
      </w:r>
    </w:p>
    <w:p w:rsidR="00347110">
      <w:pPr>
        <w:widowControl/>
        <w:spacing w:after="113"/>
      </w:pPr>
      <w:r>
        <w:t xml:space="preserve">Gemeinsamer Entschließungsantrag, eingereicht gemäß Artikel 150 Absatz 5 </w:t>
      </w:r>
      <w:r>
        <w:t>und Artikel 136 Absatz 4 GO:</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b/>
          <w:bCs/>
          <w:lang w:val="de-DE"/>
        </w:rPr>
      </w:pPr>
      <w:r>
        <w:rPr>
          <w:lang w:val="de-DE"/>
        </w:rPr>
        <w:t>zu den Fällen von Əli Kərimli, Anar Məmmədli und weiteren politischen Gefangenen in Aserbaidschan (2026/2914(RSP)) (RC-B10-0438/2026)</w:t>
        <w:br/>
      </w:r>
      <w:r>
        <w:rPr>
          <w:lang w:val="de-DE"/>
        </w:rPr>
        <w:t xml:space="preserve">(ersetzt die Entschließungsanträge </w:t>
      </w:r>
      <w:r>
        <w:rPr>
          <w:lang w:val="de-DE"/>
        </w:rPr>
        <w:t>B10-0438/2026, B10-0442/2026, B10-0451/2026, B10-0454/2026, B10-0458/2026 und B10-0460/2026)</w:t>
        <w:br/>
        <w:t>Ingeborg Ter Laak, Loucas Fourlas, Isabel Wiseler-Lima, François-Xavier Bellamy, Tomas Tobé, Željana Zovko, Sebastião Bugalho, Tomáš Zdechovský, Lukas Mandl, Rasa Juknevičienė, Krzysztof Brejza, Reinhold Lopatka, Andrey K</w:t>
      </w:r>
      <w:r>
        <w:rPr>
          <w:lang w:val="de-DE"/>
        </w:rPr>
        <w:t>ovatchev, Jan Farský, Michał Wawrykiewicz, Liudas Mažylis, Danuše Nerudová, Ana Miguel Pedro, Łukasz Kohut, Vangelis Meimarakis, Inese Vaidere, Loránt Vincze</w:t>
        <w:br/>
        <w:t>im Namen der PPE-Fraktion</w:t>
        <w:br/>
        <w:t>Yannis Maniatis, Francisco Assis</w:t>
        <w:br/>
        <w:t>im Namen der S&amp;D-Fraktion</w:t>
        <w:br/>
        <w:t>Sebastian Tynkkynen, Małgorzata Gosiewska, Nikola Bartůšek, Alexandr Vondra, Anna Zalewska, Veronika Vrecionová, Ondřej Krutílek, Geadis Geadi, Waldemar Tomaszewski</w:t>
        <w:br/>
        <w:t>im Namen der ECR-Fraktion</w:t>
        <w:br/>
        <w:t xml:space="preserve">Dan Barna, Malik Azmani, Jan-Christoph Oetjen, Marie-Agnes Strack-Zimmermann, </w:t>
      </w:r>
      <w:r>
        <w:rPr>
          <w:lang w:val="de-DE"/>
        </w:rPr>
        <w:t>Engin Eroglu, Veronika Cifrová Ostrihoňová, Lukas Sieper, Benoit Cassart, Karin Karlsbro, Lucia Yar, Martin Hojsík, Ľubica Karvašová, Oihane Agirregoitia Martínez, Petras Auštrevičius, Hilde Vautmans, Svenja Hahn</w:t>
        <w:br/>
        <w:t>im Namen der Renew Fraktion</w:t>
        <w:br/>
        <w:t>Catarina Vieira</w:t>
        <w:br/>
        <w:t>im Namen der Verts/ALE-Fraktion</w:t>
        <w:br/>
        <w:t>Marina Mesure</w:t>
        <w:br/>
        <w:t>im Namen der Fraktion The Left</w:t>
        <w:br/>
        <w:br/>
      </w:r>
      <w:r>
        <w:rPr>
          <w:b/>
          <w:bCs/>
          <w:lang w:val="de-DE"/>
        </w:rPr>
        <w:t>Versuche der Regierungspartei „Georgischer Traum“, Oppositionsparteien in Georgien zu verbieten</w:t>
      </w:r>
    </w:p>
    <w:p w:rsidR="00347110">
      <w:pPr>
        <w:widowControl/>
        <w:spacing w:after="113"/>
      </w:pPr>
      <w:r>
        <w:t>Gemeinsamer Entschließungsantrag, eingereicht gemäß Artikel 150 Absatz 5 und Arti</w:t>
      </w:r>
      <w:r>
        <w:t>kel 136 Absatz 4 GO:</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b/>
          <w:bCs/>
          <w:lang w:val="de-DE"/>
        </w:rPr>
      </w:pPr>
      <w:r>
        <w:rPr>
          <w:lang w:val="de-DE"/>
        </w:rPr>
        <w:t>zu den Versuchen der Regierungspartei „Georgischer Traum“, Oppositionsparteien in Georgien zu verbieten (2026/2913(RSP)) (RC-B10-0443/2026)</w:t>
      </w:r>
      <w:r>
        <w:rPr>
          <w:lang w:val="de-DE"/>
        </w:rPr>
        <w:br/>
        <w:t>(ersetzt die Entschließungsanträge B10-0443/2026, B10-0448/2026, B10-0456/2026, B10-0457/2026 und B10-0459/2026)</w:t>
      </w:r>
      <w:r>
        <w:rPr>
          <w:lang w:val="de-DE"/>
        </w:rPr>
        <w:br/>
        <w:t>Ingeborg Ter Laak, Rasa Juknevičienė, Isabel Wiseler-Lima, David McAllister, Željana Zovko, Tomas Tobé, Sebastião Bugalho, Antonio López-Istúriz White, Loucas Fourlas, Lukas Mandl, Krzysztof Brejza, Reinhold Lopatka, Andrey Kovatchev, Jan</w:t>
      </w:r>
      <w:r>
        <w:rPr>
          <w:lang w:val="de-DE"/>
        </w:rPr>
        <w:t xml:space="preserve"> Farský, Davor Ivo Stier, Michał Wawrykiewicz, Liudas Mažylis, Danuše Nerudová, Ana Miguel Pedro, Łukasz Kohut, Tomáš Zdechovský, Vangelis Meimarakis, Inese Vaidere</w:t>
        <w:br/>
        <w:t>im Namen der PPE-Fraktion</w:t>
        <w:br/>
        <w:t>Yannis Maniatis, Francisco Assis, Tobias Cremer</w:t>
        <w:br/>
        <w:t>im Namen der S&amp;D-Fraktion</w:t>
        <w:br/>
        <w:t>Adam Bielan, Arkadiusz Mularczyk, Małgorzata Gosiewska, Rihards Kols, Nikola Bartůšek, Bogdan Rzońca, Waldemar Buda, Alexandr Vondra, Mariusz Kamiński, Anna Zalewska, Michał Dworczyk, Sebastian Tynkkynen, Maciej Wąsik, Marlena Maląg, Veronika Vrec</w:t>
      </w:r>
      <w:r>
        <w:rPr>
          <w:lang w:val="de-DE"/>
        </w:rPr>
        <w:t>ionová, Ondřej Krutílek, Reinis Po</w:t>
      </w:r>
      <w:r>
        <w:rPr>
          <w:lang w:val="de-DE"/>
        </w:rPr>
        <w:t>zņaks, Joachim Stanisław Brudziński, Geadis Geadi</w:t>
        <w:br/>
        <w:t>im Namen der ECR-Fraktion</w:t>
        <w:br/>
        <w:t>Urmas Paet, Malik Azmani, Engin Eroglu, Jan-Christoph Oetjen, Veronika Cifrová Ostrihoňová, Marie-Agnes Strack-Zimmermann, Lukas Sieper, Anna Stürgkh, Helmut Brandstätter, Benoit Cassart, Nathalie Loiseau, Karin Karlsbro, Hilde Vautmans, Lucia Yar, Dan Barna, Dainius Žalimas, Ľubica Karvašová, Martínez, Petras Auštrevičius, Ilhan Kyuchyuk, Svenja Hahn</w:t>
        <w:br/>
        <w:t>im Namen der Renew Fraktion</w:t>
        <w:br/>
        <w:t>Leoluca Orlando</w:t>
        <w:br/>
        <w:t>im N</w:t>
      </w:r>
      <w:r>
        <w:rPr>
          <w:lang w:val="de-DE"/>
        </w:rPr>
        <w:t>amen der Verts/AL</w:t>
      </w:r>
      <w:r>
        <w:rPr>
          <w:lang w:val="de-DE"/>
        </w:rPr>
        <w:t>E-Fraktion</w:t>
        <w:br/>
        <w:t>Jonas Sjöstedt, Hanna Gedin</w:t>
        <w:br/>
        <w:br/>
      </w:r>
      <w:r>
        <w:rPr>
          <w:b/>
          <w:bCs/>
          <w:lang w:val="de-DE"/>
        </w:rPr>
        <w:t>Menschenrechtslage in Iran, insbesondere die Fälle von Taraneh Rahimi und Leila Abolhasani</w:t>
      </w:r>
    </w:p>
    <w:p w:rsidR="00347110">
      <w:pPr>
        <w:widowControl/>
        <w:spacing w:after="113"/>
      </w:pPr>
      <w:r>
        <w:t>Gemeinsamer Entschließungsantrag, eingereicht gemäß Artikel 150 Absatz 5 und Artikel 136 Absatz 4 GO:</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lang w:val="de-DE"/>
        </w:rPr>
      </w:pPr>
      <w:r>
        <w:rPr>
          <w:lang w:val="de-DE"/>
        </w:rPr>
        <w:t>zu der Menschenrechtslage in Iran, insbesondere zu den Fällen von Taraneh Rahimi und Leila Abolhassani (2026/2912(RSP)) (RC-B10-0452/2026)</w:t>
        <w:br/>
      </w:r>
      <w:r>
        <w:rPr>
          <w:lang w:val="de-DE"/>
        </w:rPr>
        <w:t>(ersetzt die Entschließungsanträge B10-0452/2026, B10-0455/2026, B10-0462/2026, B10-0463/2026 und B10-0464/2026)</w:t>
        <w:br/>
        <w:t>Ingeborg T</w:t>
      </w:r>
      <w:r>
        <w:rPr>
          <w:lang w:val="de-DE"/>
        </w:rPr>
        <w:t>er Laak, Reinhold</w:t>
      </w:r>
      <w:r>
        <w:rPr>
          <w:lang w:val="de-DE"/>
        </w:rPr>
        <w:t xml:space="preserve"> Lopatka, Loucas Fourlas, Isabel Wiseler-Lima, David McAllister, Željana Zovko, Sebastião Bugalho, Tomas Tobé, Antonio López-Istúriz White, Lukas Mandl, Rasa Juknevičienė, Krzysztof Brejza, Andrey Kovatchev, Jan Farský, Michał Wawrykiewicz, Liudas Mažylis, Danuše Nerudová, Alice Teodorescu Måwe, Seán Kelly, Nicolás Pascual de la Parte, Davor Ivo Stier, Ana Miguel Pedro, Łukasz Kohut, Tomáš Zdechovský, Vangelis Meimarakis, Inese Vaidere, Loránt Vincze</w:t>
        <w:br/>
        <w:t>im Namen der PPE-Fraktion</w:t>
        <w:br/>
        <w:t>Yannis Maniati</w:t>
      </w:r>
      <w:r>
        <w:rPr>
          <w:lang w:val="de-DE"/>
        </w:rPr>
        <w:t>s, Francisco Assis, Evin Incir, Daniel Attard</w:t>
        <w:br/>
        <w:t xml:space="preserve">im Namen der S&amp;D-Fraktion </w:t>
        <w:br/>
        <w:t>Adam Bielan, Arkadiusz Mularczyk, Sebastian Tynkkynen, Geadis Geadi, Małgorzata Gosiewska, Nikola Bartůšek, Bogdan Rzońca, Waldemar Buda, Alexandr Vondra, Mariusz Kamiński, Anna Zalewska, Michał Dworczyk, Aurelijus Veryga, Maciej Wąsik, Joachim Stanisław Brudziński, Veronika Vrecionová, Ondřej Krutílek, Reinis Pozņaks, Jacek Ozdoba, Charlie Weimers, Beatrice Timgren, Dick Erixon, Waldemar Tomaszewski, Marlena Maląg, Assita Kanko</w:t>
        <w:br/>
        <w:t>im Nam</w:t>
      </w:r>
      <w:r>
        <w:rPr>
          <w:lang w:val="de-DE"/>
        </w:rPr>
        <w:t>en der ECR-Fraktion</w:t>
        <w:br/>
        <w:t>Raquel García Hermida-Van Der Walle, Engin Eroglu, Jan-Christoph Oetjen, Veronika Cifrová Ostrihoňová, Marie-Agnes Strack-Zimmermann, Pina Picierno, João Cotrim De Figueiredo, Ana Vasconcelos, Helmut Brandstätter, Anna Stürgkh, Yvan Verougstraete, Karin Karlsbro, Hilde Vautmans, Urmas Paet, Lucia Yar, Benoit Cassart, Dan Barna, Ľubica Karvašová, Petras Auštrevičius, Ilhan Kyuchyuk, Svenja Hahn</w:t>
        <w:br/>
        <w:t>im Namen der Renew-Fraktion</w:t>
        <w:br/>
        <w:t>Hannah Neumann</w:t>
        <w:br/>
        <w:t>im Namen der Verts/ALE-Fraktion</w:t>
        <w:br/>
        <w:t>Hanna Gedin, Jonas S</w:t>
      </w:r>
      <w:r>
        <w:rPr>
          <w:lang w:val="de-DE"/>
        </w:rPr>
        <w:t>jöstedt</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b/>
          <w:bCs/>
          <w:lang w:val="de-DE"/>
        </w:rPr>
      </w:pPr>
      <w:r>
        <w:rPr>
          <w:b/>
          <w:bCs/>
          <w:lang w:val="de-DE"/>
        </w:rPr>
        <w:t>Die undem</w:t>
      </w:r>
      <w:r>
        <w:rPr>
          <w:b/>
          <w:bCs/>
          <w:lang w:val="de-DE"/>
        </w:rPr>
        <w:t>okratische Wahl zur russischen Staatsduma im Jahr 2026 und ihre Auswirkungen auf die Zivilgesellschaft</w:t>
      </w:r>
    </w:p>
    <w:p w:rsidR="00347110">
      <w:pPr>
        <w:widowControl/>
        <w:spacing w:after="113"/>
      </w:pPr>
      <w:r>
        <w:t>Gemäß Artikel 136 Absatz 2 GO eingereichte Entschließungsanträge:</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lang w:val="de-DE"/>
        </w:rPr>
      </w:pPr>
      <w:r>
        <w:rPr>
          <w:lang w:val="de-DE"/>
        </w:rPr>
        <w:t>zu der undemokratischen Wahl zur russischen Staatsduma im Jahr 2026 und ihren Auswirkungen auf die Zivilgesellschaft (2026/2907(RSP)) (B10-0439/2026)</w:t>
        <w:br/>
        <w:t>Danilo Della Valle</w:t>
        <w:br/>
        <w:t>im Namen der Fraktion The Left</w:t>
        <w:br/>
        <w:br/>
        <w:t>zu der undemokratischen Wahl zur russischen Staatsduma im Jahr 2026 und ihren Auswirkungen auf die Zivilgesellschaft (2026/29</w:t>
      </w:r>
      <w:r>
        <w:rPr>
          <w:lang w:val="de-DE"/>
        </w:rPr>
        <w:t>07(RSP)) (B10-044</w:t>
      </w:r>
      <w:r>
        <w:rPr>
          <w:lang w:val="de-DE"/>
        </w:rPr>
        <w:t>1/2026)</w:t>
        <w:br/>
        <w:t>Yannis Maniatis, Nacho Sánchez Amor, Alessandra Moretti</w:t>
        <w:br/>
        <w:t>im Namen der S&amp;D-Fraktion</w:t>
        <w:br/>
        <w:br/>
        <w:t>zu der undemokratischen Wahl zur russischen Staatsduma im Jahr 2026 und ihren Auswirkungen auf die Zivilgesellschaft (2026/2907(RSP)) (B10-0444/2026)</w:t>
        <w:br/>
        <w:t>Sergey Lagodinsky, Ville Niinistö, Maria Ohisalo, Nicolae Ștefănuță, Hannah Neumann</w:t>
        <w:br/>
        <w:t>im Namen der Verts/ALE-Fraktion</w:t>
        <w:br/>
        <w:br/>
        <w:t>zu der undemokratischen Wahl zur russischen Staatsduma im Jahr 2026 und ihren Auswirkungen auf die Zivilgesellschaft (2026/2907(RSP)) (B1</w:t>
      </w:r>
      <w:r>
        <w:rPr>
          <w:lang w:val="de-DE"/>
        </w:rPr>
        <w:t>0-0445/2026)</w:t>
        <w:br/>
        <w:t>Bernard Guetta, Petras Auštrevičius, Malik Azmani, Dan Barna, Helmut Brandstätter, Ľubica Karvašová, Ilhan Kyuchyuk, Jan-Christoph Oetjen, Urmas Paet, Pina Picierno, Marie-Agnes Strack-Zimmermann, Anna Stürgkh, Hilde Vautmans, Lucia Yar, Dainius Žalimas</w:t>
        <w:br/>
        <w:t>im Namen der Renew Fraktion</w:t>
        <w:br/>
        <w:br/>
        <w:t>zu der undemokratischen Wahl zur russischen Staatsduma im Jahr 2026 und ihren Auswirkungen auf die Zivilgesellschaft (2026/2907(RSP)) (B10-0446/2026)</w:t>
        <w:br/>
        <w:t>Michael Gahler, Sandra Kalniete, Andrzej Halicki, David McAllister</w:t>
      </w:r>
      <w:r>
        <w:rPr>
          <w:lang w:val="de-DE"/>
        </w:rPr>
        <w:t>, Sebastião Bugalho, Rasa Juknevičienė, Isabel Wiseler-Lima, Inese Vaidere</w:t>
        <w:br/>
        <w:t>im Namen der PPE-Fraktion</w:t>
        <w:br/>
        <w:br/>
        <w:t>zu der undemokratischen Wahl zur russischen Staatsduma im Jahr 2026 und ihren Auswirkungen auf die Zivilgesellschaft (2026/2907(RSP)) (B10-0449/2026)</w:t>
        <w:br/>
        <w:t>Adam Bielan, Rihards Kols, Alexandr Vondra, Michał Dworczyk, Małgorzata Gosiewska, Tobiasz Bocheński, Maciej Wąsik, Mariusz Kamiński, Aurelijus Veryga, Arkadiusz Mularczyk, Bogdan Rzońca, Joachim Stanisław Brudziński, Marlena Maląg, Veronika Vrecionová, Ondřej</w:t>
      </w:r>
      <w:r>
        <w:rPr>
          <w:lang w:val="de-DE"/>
        </w:rPr>
        <w:t xml:space="preserve"> Krutílek, Roberts Zīle, Charlie Weimers, Beatrice Timgren, Dick Erixon, Nikola Bartůšek, Waldemar Buda, Jaak Madison, Ivaylo Valchev, Sebastian Tynkkynen, Geadis Geadi</w:t>
        <w:br/>
        <w:t>im Namen der ECR-Fraktion</w:t>
        <w:br/>
      </w:r>
    </w:p>
    <w:p w:rsidR="00347110">
      <w:pPr>
        <w:widowControl/>
        <w:spacing w:after="113"/>
      </w:pPr>
      <w:r>
        <w:t>Gemeinsamer Entschließungsantrag, eingereicht gemäß Artikel 136 Absätze 2 und</w:t>
      </w:r>
      <w:r>
        <w:t xml:space="preserve">  4 GO:</w:t>
      </w:r>
    </w:p>
    <w:p w:rsidR="00347110">
      <w:pPr>
        <w:tabs>
          <w:tab w:val="left" w:pos="570"/>
          <w:tab w:val="left" w:pos="2268"/>
          <w:tab w:val="left" w:pos="3402"/>
          <w:tab w:val="left" w:pos="4535"/>
          <w:tab w:val="left" w:pos="5669"/>
          <w:tab w:val="left" w:pos="6803"/>
          <w:tab w:val="left" w:pos="7937"/>
          <w:tab w:val="left" w:pos="9071"/>
          <w:tab w:val="left" w:pos="10205"/>
          <w:tab w:val="left" w:pos="11339"/>
        </w:tabs>
        <w:rPr>
          <w:lang w:val="de-DE"/>
        </w:rPr>
      </w:pPr>
      <w:r>
        <w:rPr>
          <w:lang w:val="de-DE"/>
        </w:rPr>
        <w:t>zu der undemokratischen Wahl zur russischen Staatsduma im Jahr 2026 und ihren Auswirkungen auf die Zivilgesellschaft (2026/2907(RSP)) (RC-B10-0441/2026)</w:t>
        <w:br/>
        <w:t>(ersetzt die Entschließungsanträge B10-0441/2026, B10-0444/2026, B10-0445/2026</w:t>
      </w:r>
      <w:r>
        <w:rPr>
          <w:lang w:val="de-DE"/>
        </w:rPr>
        <w:t xml:space="preserve">, B10-0446/2026 und B10-0449/2026) </w:t>
        <w:br/>
        <w:t>Michael Gahler, Sandra Kalniete, Andrzej Halicki, David McAllister, Sebastião Bugalho, Rasa Juknevičienė, Isabel Wiseler-Lima, Inese Vaidere</w:t>
        <w:br/>
        <w:t>im Namen der PPE-Fraktion</w:t>
        <w:br/>
        <w:t>Yannis Maniatis, Nacho Sánchez Amor, Alessandra Moretti</w:t>
        <w:br/>
        <w:t>im Namen der S</w:t>
      </w:r>
      <w:r>
        <w:rPr>
          <w:lang w:val="de-DE"/>
        </w:rPr>
        <w:t>&amp;D-Fraktion</w:t>
        <w:br/>
        <w:t>Adam Bielan, Rihards Kols, Arkadiusz Mularczyk, Małgorzata Gosiewska, Maciej Wąsik, Anna Zalewska, Reinis Pozņaks, Jadwiga Wiśniewska, Aurelijus Veryga, Mariusz Kamiński, Charlie Weimers, Sebastian Tynkkynen, Michał Dworczyk, A</w:t>
      </w:r>
      <w:r>
        <w:rPr>
          <w:lang w:val="de-DE"/>
        </w:rPr>
        <w:t>lexandr Vondra, Nora Junco García, Bogdan Rzońca, Marlena Maląg, Waldemar Buda, Nikola Bartůšek, Dick Erixon, Beatrice Timgren, Joachim Stanisław Brudziński, Roberts Zīle, Jaak Madison, Geadis Geadi</w:t>
        <w:br/>
        <w:t>im Namen der ECR-Fraktion</w:t>
        <w:br/>
        <w:t>Bernard Guetta, Petras Auštrevičius, Malik Azmani, Dan Barna, Ľubica Karvašová, Ilhan Kyuchyuk, Jan-Christoph Oetjen, Urmas Paet, Pina Picierno, Marie-Agnes Strack-Zimmermann, Hilde Vautmans, Lucia Yar, Dainius Žalimas</w:t>
        <w:br/>
        <w:t>im Namen der Renew Fraktion</w:t>
        <w:br/>
        <w:t>Ville Niinistö, Sergey Lagodinsky</w:t>
        <w:br/>
        <w:t>im Nam</w:t>
      </w:r>
      <w:r>
        <w:rPr>
          <w:lang w:val="de-DE"/>
        </w:rPr>
        <w:t>en der Verts/ALE-</w:t>
      </w:r>
      <w:r>
        <w:rPr>
          <w:lang w:val="de-DE"/>
        </w:rPr>
        <w:t>Fraktion</w:t>
        <w:br/>
        <w:t>Jussi Saramo, Li Andersson, Merja Kyllönen, Jonas Sjöstedt, Hanna Gedin</w:t>
      </w:r>
    </w:p>
    <w:p w:rsidR="00347110">
      <w:pPr>
        <w:pStyle w:val="Heading1"/>
      </w:pPr>
      <w:bookmarkStart w:id="32" w:name="_Toc242441658"/>
      <w:r>
        <w:t>II. Petitionen</w:t>
      </w:r>
      <w:bookmarkEnd w:id="32"/>
    </w:p>
    <w:p w:rsidR="00347110">
      <w:pPr>
        <w:widowControl/>
        <w:rPr>
          <w:color w:val="auto"/>
          <w:lang w:val="de-DE"/>
        </w:rPr>
      </w:pPr>
      <w:r>
        <w:rPr>
          <w:color w:val="auto"/>
          <w:lang w:val="de-DE"/>
        </w:rPr>
        <w:t>Gemäß Artikel 232 Absätze 9 und 10 GO wurden die Petitionen Nr. 2212-26 bis 2590-26 am 1. Oktober 2026 in das Register eingetragen und an den zuständigen Ausschuss überwiesen.</w:t>
      </w:r>
      <w:r>
        <w:rPr>
          <w:color w:val="auto"/>
          <w:lang w:val="de-DE"/>
        </w:rPr>
        <w:t xml:space="preserve"> </w:t>
      </w:r>
    </w:p>
    <w:p w:rsidR="00347110">
      <w:r>
        <w:t xml:space="preserve">Die Präsidentin hat am 1. Oktober 2026 gemäß Artikel 232 Absatz 15 GO beim Parlament eingegangene Petitionen von natürlichen oder juristischen Personen, die weder Bürger der Europäischen Union sind noch ihren Wohnort oder </w:t>
      </w:r>
      <w:r>
        <w:t>satzungsmäßigen Sitz in einem Mitgliedstaat haben, an den zuständigen Ausschuss übermittelt.</w:t>
      </w:r>
    </w:p>
    <w:p w:rsidR="00347110">
      <w:pPr>
        <w:pStyle w:val="Heading1"/>
      </w:pPr>
      <w:bookmarkStart w:id="33" w:name="_Toc242441659"/>
      <w:r>
        <w:t>III. Beschlüsse zur Ausarbeitung von Initiativberichten</w:t>
      </w:r>
      <w:bookmarkEnd w:id="33"/>
      <w:r>
        <w:t xml:space="preserve"> </w:t>
      </w:r>
    </w:p>
    <w:p w:rsidR="00347110">
      <w:pPr>
        <w:spacing w:after="120"/>
        <w:rPr>
          <w:b/>
          <w:bCs/>
          <w:lang w:val="de-DE"/>
        </w:rPr>
      </w:pPr>
      <w:r>
        <w:rPr>
          <w:b/>
          <w:bCs/>
          <w:lang w:val="de-DE"/>
        </w:rPr>
        <w:t>Beschlüsse zur Ausarbeitung von Initiativberichten (Artikel 121 GO)</w:t>
      </w:r>
    </w:p>
    <w:p w:rsidR="00347110">
      <w:pPr>
        <w:spacing w:after="289"/>
        <w:rPr>
          <w:i/>
          <w:iCs/>
          <w:lang w:val="de-DE"/>
        </w:rPr>
      </w:pPr>
      <w:r>
        <w:rPr>
          <w:i/>
          <w:iCs/>
          <w:lang w:val="de-DE"/>
        </w:rPr>
        <w:t>(Beschluss der Konferenz der Präsidenten vom 30. September 2026)</w:t>
      </w:r>
    </w:p>
    <w:p w:rsidR="00347110">
      <w:pPr>
        <w:spacing w:after="289"/>
        <w:rPr>
          <w:lang w:val="de-DE"/>
        </w:rPr>
      </w:pPr>
      <w:r>
        <w:rPr>
          <w:lang w:val="de-DE"/>
        </w:rPr>
        <w:t>AFET-Ausschuss</w:t>
      </w:r>
    </w:p>
    <w:p w:rsidR="00347110">
      <w:pPr>
        <w:spacing w:after="289"/>
        <w:rPr>
          <w:lang w:val="de-DE"/>
        </w:rPr>
      </w:pPr>
      <w:r>
        <w:rPr>
          <w:lang w:val="de-DE"/>
        </w:rPr>
        <w:t>- Empfehlung an den Rat, an die Kommission und an die Vizepräsidentin der Kommission und Hohe Vertreterin der Union für Außen- und Sicherheitspolitik zu den geopolitischen Spannungen hinsichtlich Grönlands und ihre</w:t>
      </w:r>
      <w:r>
        <w:rPr>
          <w:lang w:val="de-DE"/>
        </w:rPr>
        <w:t xml:space="preserve">n außenpolitischen Folgen (2026/2145(INI)) </w:t>
      </w:r>
    </w:p>
    <w:p w:rsidR="00347110">
      <w:pPr>
        <w:spacing w:after="289"/>
        <w:rPr>
          <w:lang w:val="de-DE"/>
        </w:rPr>
      </w:pPr>
      <w:r>
        <w:rPr>
          <w:lang w:val="de-DE"/>
        </w:rPr>
        <w:t xml:space="preserve">- Empfehlung an den Rat, an die Kommission und an die Vizepräsidentin der Kommission und Hohe Vertreterin der Union für Außen- und Sicherheitspolitik zu den politischen Beziehungen zwischen der EU und Armenien (2026/2146(INI)) </w:t>
      </w:r>
    </w:p>
    <w:p w:rsidR="00347110">
      <w:pPr>
        <w:spacing w:after="289"/>
        <w:rPr>
          <w:lang w:val="de-DE"/>
        </w:rPr>
      </w:pPr>
      <w:r>
        <w:rPr>
          <w:lang w:val="de-DE"/>
        </w:rPr>
        <w:t xml:space="preserve">- Empfehlung an den Rat, an die Kommission und an die Vizepräsidentin der Kommission und Hohe Vertreterin der Union für Außen- und Sicherheitspolitik zu den politischen Beziehungen zwischen der EU und Aserbaidschan (2026/2147(INI)) </w:t>
      </w:r>
    </w:p>
    <w:p w:rsidR="00347110">
      <w:pPr>
        <w:spacing w:after="120"/>
        <w:rPr>
          <w:b/>
          <w:bCs/>
          <w:lang w:val="de-DE"/>
        </w:rPr>
      </w:pPr>
      <w:r>
        <w:rPr>
          <w:b/>
          <w:bCs/>
          <w:lang w:val="de-DE"/>
        </w:rPr>
        <w:t>Beschlü</w:t>
      </w:r>
      <w:r>
        <w:rPr>
          <w:b/>
          <w:bCs/>
          <w:lang w:val="de-DE"/>
        </w:rPr>
        <w:t>sse zur Ausarbeitung von Initiativberichten (Artikel 55 GO)</w:t>
      </w:r>
    </w:p>
    <w:p w:rsidR="00347110">
      <w:pPr>
        <w:spacing w:after="289"/>
        <w:rPr>
          <w:i/>
          <w:iCs/>
          <w:lang w:val="de-DE"/>
        </w:rPr>
      </w:pPr>
      <w:r>
        <w:rPr>
          <w:i/>
          <w:iCs/>
          <w:lang w:val="de-DE"/>
        </w:rPr>
        <w:t>(Beschluss der Konferenz der Präsidenten vom 30. September 2026)</w:t>
      </w:r>
    </w:p>
    <w:p w:rsidR="00347110">
      <w:pPr>
        <w:spacing w:after="289"/>
        <w:rPr>
          <w:lang w:val="de-DE"/>
        </w:rPr>
      </w:pPr>
      <w:r>
        <w:rPr>
          <w:lang w:val="de-DE"/>
        </w:rPr>
        <w:t>AFET-Ausschuss</w:t>
      </w:r>
    </w:p>
    <w:p w:rsidR="00347110">
      <w:pPr>
        <w:spacing w:after="289"/>
        <w:rPr>
          <w:lang w:val="de-DE"/>
        </w:rPr>
      </w:pPr>
      <w:r>
        <w:rPr>
          <w:lang w:val="de-DE"/>
        </w:rPr>
        <w:t xml:space="preserve">- Sondierung von Möglichkeiten zur Gewährleistung des Rechts auf Wohnraum auf globaler Ebene (2026/2137(INI)) </w:t>
      </w:r>
    </w:p>
    <w:p w:rsidR="00347110">
      <w:pPr>
        <w:spacing w:after="289"/>
        <w:rPr>
          <w:lang w:val="de-DE"/>
        </w:rPr>
      </w:pPr>
      <w:r>
        <w:rPr>
          <w:lang w:val="de-DE"/>
        </w:rPr>
        <w:t>CONT-Ausschuss</w:t>
      </w:r>
    </w:p>
    <w:p w:rsidR="00347110">
      <w:pPr>
        <w:spacing w:after="289"/>
        <w:rPr>
          <w:lang w:val="de-DE"/>
        </w:rPr>
      </w:pPr>
      <w:r>
        <w:rPr>
          <w:lang w:val="de-DE"/>
        </w:rPr>
        <w:t xml:space="preserve">- Schutz der finanziellen Interessen der EU in der Ukraine (2026/2139(INI)) </w:t>
      </w:r>
    </w:p>
    <w:p w:rsidR="00347110">
      <w:pPr>
        <w:spacing w:after="289"/>
        <w:rPr>
          <w:lang w:val="de-DE"/>
        </w:rPr>
      </w:pPr>
      <w:r>
        <w:rPr>
          <w:lang w:val="de-DE"/>
        </w:rPr>
        <w:t xml:space="preserve">- Kontrolle der Finanztätigkeit der Europäischen Investitionsbank-Gruppe – Jahresbericht 2025 (2026/2141(INI)) </w:t>
      </w:r>
    </w:p>
    <w:p w:rsidR="00347110">
      <w:pPr>
        <w:spacing w:after="289"/>
        <w:rPr>
          <w:lang w:val="de-DE"/>
        </w:rPr>
      </w:pPr>
      <w:r>
        <w:rPr>
          <w:lang w:val="de-DE"/>
        </w:rPr>
        <w:t>- Schutz der finanziellen Interessen der Europäischen Uni</w:t>
      </w:r>
      <w:r>
        <w:rPr>
          <w:lang w:val="de-DE"/>
        </w:rPr>
        <w:t xml:space="preserve">on – Betrugsbekämpfung – Jahresbericht 2025 (2026/2142(INI)) </w:t>
      </w:r>
    </w:p>
    <w:p w:rsidR="00347110">
      <w:pPr>
        <w:spacing w:after="289"/>
        <w:rPr>
          <w:lang w:val="de-DE"/>
        </w:rPr>
      </w:pPr>
      <w:r>
        <w:rPr>
          <w:lang w:val="de-DE"/>
        </w:rPr>
        <w:t>DEVE-Ausschuss</w:t>
      </w:r>
    </w:p>
    <w:p w:rsidR="00347110">
      <w:pPr>
        <w:spacing w:after="289"/>
        <w:rPr>
          <w:lang w:val="de-DE"/>
        </w:rPr>
      </w:pPr>
      <w:r>
        <w:rPr>
          <w:lang w:val="de-DE"/>
        </w:rPr>
        <w:t xml:space="preserve">- Stärkung der Kohärenz und der Wirksamkeit der europäischen Entwicklungspartnerschaft mit Afrika auf allen Regierungs- und Verwaltungsebenen (2026/2138(INI)) </w:t>
      </w:r>
    </w:p>
    <w:p w:rsidR="00347110">
      <w:pPr>
        <w:spacing w:after="289"/>
        <w:rPr>
          <w:lang w:val="de-DE"/>
        </w:rPr>
      </w:pPr>
      <w:r>
        <w:rPr>
          <w:lang w:val="de-DE"/>
        </w:rPr>
        <w:t>EMPL-Ausschuss</w:t>
      </w:r>
    </w:p>
    <w:p w:rsidR="00347110">
      <w:pPr>
        <w:spacing w:after="289"/>
        <w:rPr>
          <w:lang w:val="de-DE"/>
        </w:rPr>
      </w:pPr>
      <w:r>
        <w:rPr>
          <w:lang w:val="de-DE"/>
        </w:rPr>
        <w:t xml:space="preserve">- Die Auswirkungen extremer Temperaturen am Arbeitsplatz auf die Gesundheit und Sicherheit der Arbeitnehmer (2026/2140(INI)) </w:t>
      </w:r>
    </w:p>
    <w:p w:rsidR="00347110">
      <w:pPr>
        <w:spacing w:after="289"/>
        <w:rPr>
          <w:lang w:val="de-DE"/>
        </w:rPr>
      </w:pPr>
      <w:r>
        <w:rPr>
          <w:lang w:val="de-DE"/>
        </w:rPr>
        <w:t>- Europäisches Semester für die wirtschaftspolitische Koordinierung – beschäftigungs- und sozialpolitische Prioritäten für 2027 (2026/</w:t>
      </w:r>
      <w:r>
        <w:rPr>
          <w:lang w:val="de-DE"/>
        </w:rPr>
        <w:t xml:space="preserve">2143(INI)) </w:t>
      </w:r>
    </w:p>
    <w:p w:rsidR="00347110">
      <w:pPr>
        <w:spacing w:after="289"/>
        <w:rPr>
          <w:lang w:val="de-DE"/>
        </w:rPr>
      </w:pPr>
      <w:r>
        <w:rPr>
          <w:lang w:val="de-DE"/>
        </w:rPr>
        <w:t>LIBE-Ausschuss</w:t>
      </w:r>
    </w:p>
    <w:p w:rsidR="00347110">
      <w:pPr>
        <w:spacing w:after="289"/>
        <w:rPr>
          <w:lang w:val="de-DE"/>
        </w:rPr>
      </w:pPr>
      <w:r>
        <w:rPr>
          <w:lang w:val="de-DE"/>
        </w:rPr>
        <w:t xml:space="preserve">- Bericht der Kommission über die Rechtsstaatlichkeit – Jahresbericht 2026 (2026/2144(INI)) </w:t>
        <w:br/>
        <w:t>(mitberatend: AFET, BUDG, CULT, JURI)</w:t>
      </w:r>
    </w:p>
    <w:p w:rsidR="00347110">
      <w:pPr>
        <w:pStyle w:val="Heading1"/>
      </w:pPr>
      <w:bookmarkStart w:id="34" w:name="_Toc242441660"/>
      <w:r>
        <w:t>IV. Änderungen von Ausschussbefassungen</w:t>
      </w:r>
      <w:bookmarkEnd w:id="34"/>
      <w:r>
        <w:t xml:space="preserve"> </w:t>
      </w:r>
    </w:p>
    <w:p w:rsidR="00347110">
      <w:pPr>
        <w:rPr>
          <w:b/>
          <w:bCs/>
          <w:lang w:val="de-DE"/>
        </w:rPr>
      </w:pPr>
      <w:r>
        <w:rPr>
          <w:b/>
          <w:bCs/>
          <w:lang w:val="de-DE"/>
        </w:rPr>
        <w:t>Änderungen von Ausschussbefassungen (Artikel 41 GO)</w:t>
      </w:r>
    </w:p>
    <w:p w:rsidR="00347110">
      <w:pPr>
        <w:rPr>
          <w:lang w:val="de-DE"/>
        </w:rPr>
      </w:pPr>
      <w:r>
        <w:rPr>
          <w:lang w:val="de-DE"/>
        </w:rPr>
        <w:t>JURI-Ausschuss</w:t>
      </w:r>
    </w:p>
    <w:p w:rsidR="00347110">
      <w:pPr>
        <w:rPr>
          <w:lang w:val="de-DE"/>
        </w:rPr>
      </w:pPr>
      <w:r>
        <w:rPr>
          <w:lang w:val="de-DE"/>
        </w:rPr>
        <w:t>- EU-Aktionsplan für seltene Krankheiten (2025/2130(INL))</w:t>
        <w:br/>
        <w:t>Ausschussbefassung: federführend: SANT</w:t>
        <w:br/>
        <w:t>mitberatend: JURI (Artikel 41 GO)</w:t>
      </w:r>
    </w:p>
    <w:p w:rsidR="00347110">
      <w:pPr>
        <w:pStyle w:val="Heading1"/>
      </w:pPr>
      <w:bookmarkStart w:id="35" w:name="_Toc242441661"/>
      <w:r>
        <w:t>V. Zustimmungsverfahren</w:t>
      </w:r>
      <w:bookmarkEnd w:id="35"/>
      <w:r>
        <w:t xml:space="preserve"> </w:t>
      </w:r>
    </w:p>
    <w:p w:rsidR="00347110">
      <w:pPr>
        <w:rPr>
          <w:b/>
          <w:bCs/>
          <w:lang w:val="de-DE"/>
        </w:rPr>
      </w:pPr>
      <w:r>
        <w:rPr>
          <w:b/>
          <w:bCs/>
          <w:lang w:val="de-DE"/>
        </w:rPr>
        <w:t xml:space="preserve">Berichte, die einen nichtlegislativen Entschließungsantrag umfassen (Artikel 107 Absatz 5 </w:t>
      </w:r>
      <w:r>
        <w:rPr>
          <w:b/>
          <w:bCs/>
          <w:lang w:val="de-DE"/>
        </w:rPr>
        <w:t>GO)</w:t>
      </w:r>
    </w:p>
    <w:p w:rsidR="00347110">
      <w:pPr>
        <w:rPr>
          <w:i/>
          <w:iCs/>
          <w:lang w:val="de-DE"/>
        </w:rPr>
      </w:pPr>
      <w:r>
        <w:rPr>
          <w:i/>
          <w:iCs/>
          <w:lang w:val="de-DE"/>
        </w:rPr>
        <w:t>(Mitteilung der Konferenz der Ausschussvorsitze vom 30. September 2026)</w:t>
      </w:r>
    </w:p>
    <w:p w:rsidR="00347110">
      <w:pPr>
        <w:rPr>
          <w:lang w:val="de-DE"/>
        </w:rPr>
      </w:pPr>
      <w:r>
        <w:rPr>
          <w:lang w:val="de-DE"/>
        </w:rPr>
        <w:t>INTA-Ausschuss</w:t>
      </w:r>
    </w:p>
    <w:p w:rsidR="00347110">
      <w:pPr>
        <w:rPr>
          <w:lang w:val="de-DE"/>
        </w:rPr>
      </w:pPr>
      <w:r>
        <w:rPr>
          <w:lang w:val="de-DE"/>
        </w:rPr>
        <w:t xml:space="preserve">- Abkommen über eine umfassende Wirtschaftspartnerschaft zwischen der EU und Indonesien (2026/0182R(NLE) - 2026/0182(NLE)) </w:t>
        <w:br/>
        <w:t>(mitberatend: AGRI, PECH)</w:t>
      </w:r>
    </w:p>
    <w:p w:rsidR="00347110">
      <w:pPr>
        <w:rPr>
          <w:lang w:val="de-DE"/>
        </w:rPr>
      </w:pPr>
      <w:r>
        <w:rPr>
          <w:lang w:val="de-DE"/>
        </w:rPr>
        <w:t xml:space="preserve">- Übereinkommen über den elektronischen Geschäftsverkehr (2026/0191R(NLE) - 2026/0191(NLE)) </w:t>
        <w:br/>
        <w:t>(mitberatend: IMCO)</w:t>
      </w:r>
    </w:p>
    <w:p w:rsidR="00347110">
      <w:pPr>
        <w:pStyle w:val="Heading1"/>
      </w:pPr>
      <w:bookmarkStart w:id="36" w:name="_Toc242441662"/>
      <w:r>
        <w:t>VI. Vorlage von Dokumenten</w:t>
      </w:r>
      <w:bookmarkEnd w:id="36"/>
    </w:p>
    <w:p w:rsidR="00347110">
      <w:pPr>
        <w:spacing w:before="283" w:after="0"/>
        <w:rPr>
          <w:lang w:val="de-DE"/>
        </w:rPr>
      </w:pPr>
      <w:r>
        <w:rPr>
          <w:lang w:val="de-DE"/>
        </w:rPr>
        <w:t>Folgende Dokumente sind von Mitgliedern eingegangen:</w:t>
        <w:br/>
      </w:r>
    </w:p>
    <w:p w:rsidR="00347110">
      <w:pPr>
        <w:spacing w:after="113"/>
        <w:rPr>
          <w:lang w:val="de-DE"/>
        </w:rPr>
      </w:pPr>
      <w:r>
        <w:rPr>
          <w:lang w:val="de-DE"/>
        </w:rPr>
        <w:t xml:space="preserve">- Jean-Paul Garraud und Pierre-Romain Thionnet. Entschliessungsantrag zu der </w:t>
      </w:r>
      <w:r>
        <w:rPr>
          <w:lang w:val="de-DE"/>
        </w:rPr>
        <w:t>Wahrung der Einstimmigkeit im Bereich der Gemeinsamen Außen- und Sicherheitspolitik (B10-0382/2026)</w:t>
        <w:br/>
        <w:t>Ausschussbefassung: federführend: AFET</w:t>
        <w:br/>
        <w:t>mitberatend: AFCO</w:t>
      </w:r>
    </w:p>
    <w:p w:rsidR="00347110">
      <w:pPr>
        <w:spacing w:after="113"/>
        <w:rPr>
          <w:lang w:val="de-DE"/>
        </w:rPr>
      </w:pPr>
      <w:r>
        <w:rPr>
          <w:lang w:val="de-DE"/>
        </w:rPr>
        <w:t>- Jacek Ozdoba. Entschliessungsantrag zur Verurteilung der Angriffe Irans auf Länder der Arabischen Halbinsel (B10-0383/2026)</w:t>
        <w:br/>
        <w:t>Ausschussbefassung: federführend: AFET</w:t>
      </w:r>
    </w:p>
    <w:p w:rsidR="00347110">
      <w:pPr>
        <w:spacing w:after="113"/>
        <w:rPr>
          <w:lang w:val="de-DE"/>
        </w:rPr>
      </w:pPr>
      <w:r>
        <w:rPr>
          <w:lang w:val="de-DE"/>
        </w:rPr>
        <w:t>- Christine Anderson, René Aust, Arno Bausemer, Zsuzsanna Borvendég, Irmhild Boßdorf, Tomasz Buczek, Petr Bystron, Emmanouil Fragkos, Tomasz Froelich, Małgorzata Gosiewska, Branko Grims, Rom</w:t>
      </w:r>
      <w:r>
        <w:rPr>
          <w:lang w:val="de-DE"/>
        </w:rPr>
        <w:t>an Haider, Alexander Jungbluth, Milan Mazurek, Arkadiusz Mularczyk, Daniel Obajtek, Marcin Sypniewski, Dominik Tarczyński, Maciej Wąsik und Ewa Zajączkowska-Hernik. Entschliessungsantrag zu der Notwendigkeit eines würdevollen Gedenkens an Jan III. Sobieski, König von Polen (B10-0393/2026)</w:t>
        <w:br/>
        <w:t>Ausschussbefassung: federführend: CULT</w:t>
      </w:r>
    </w:p>
    <w:p w:rsidR="00347110">
      <w:pPr>
        <w:spacing w:after="113"/>
        <w:rPr>
          <w:lang w:val="de-DE"/>
        </w:rPr>
      </w:pPr>
      <w:r>
        <w:rPr>
          <w:lang w:val="de-DE"/>
        </w:rPr>
        <w:t>- Waldemar Buda, Michał Dworczyk und Piotr Müller. Entschliessungsantrag zu dem Abbau von Verwaltungshindernissen für Kleinstunternehmen und KMU im grenzübergreifenden Handel (B10-039</w:t>
      </w:r>
      <w:r>
        <w:rPr>
          <w:lang w:val="de-DE"/>
        </w:rPr>
        <w:t>7/2026)</w:t>
        <w:br/>
        <w:t>Ausschussbefassung: federführend: IMCO</w:t>
        <w:br/>
        <w:t>mitberatend: ENVI</w:t>
      </w:r>
    </w:p>
    <w:p w:rsidR="00347110">
      <w:pPr>
        <w:spacing w:after="113"/>
        <w:rPr>
          <w:lang w:val="de-DE"/>
        </w:rPr>
        <w:sectPr>
          <w:footerReference w:type="default" r:id="rId10"/>
          <w:footerReference w:type="first" r:id="rId11"/>
          <w:footnotePr>
            <w:pos w:val="beneathText"/>
          </w:footnotePr>
          <w:pgSz w:w="11906" w:h="16837"/>
          <w:pgMar w:top="567" w:right="1134" w:bottom="1134" w:left="1134" w:header="720" w:footer="720" w:gutter="0"/>
          <w:cols w:space="720"/>
          <w:titlePg/>
          <w:docGrid w:linePitch="360"/>
        </w:sectPr>
      </w:pPr>
      <w:r>
        <w:rPr>
          <w:lang w:val="de-DE"/>
        </w:rPr>
        <w:t>-</w:t>
      </w:r>
      <w:r>
        <w:rPr>
          <w:lang w:val="de-DE"/>
        </w:rPr>
        <w:t xml:space="preserve"> Alexander Sell. Entschliessungsantrag zu der mutmaßlichen missbräuchlichen Verwendung von EU-Mitteln durch die Regierung Spaniens (B10-0422/2026)</w:t>
        <w:br/>
        <w:t>Ausschussbefassung: federführend: CONT</w:t>
      </w:r>
    </w:p>
    <w:p w:rsidR="00347110"/>
    <w:p w:rsidR="00347110">
      <w:pPr>
        <w:pStyle w:val="Heading1"/>
        <w:jc w:val="center"/>
        <w:rPr>
          <w:lang w:val="de-DE"/>
        </w:rPr>
      </w:pPr>
      <w:bookmarkStart w:id="37" w:name="_Toc242441663"/>
      <w:r>
        <w:rPr>
          <w:lang w:val="de-DE"/>
        </w:rPr>
        <w:t>ANWESENHEITSLISTE</w:t>
      </w:r>
      <w:bookmarkEnd w:id="37"/>
    </w:p>
    <w:p w:rsidR="00347110">
      <w:pPr>
        <w:widowControl/>
        <w:spacing w:after="113"/>
      </w:pPr>
    </w:p>
    <w:p w:rsidR="00347110">
      <w:pPr>
        <w:jc w:val="center"/>
        <w:rPr>
          <w:lang w:val="de-DE"/>
        </w:rPr>
      </w:pPr>
      <w:r>
        <w:rPr>
          <w:lang w:val="de-DE"/>
        </w:rPr>
        <w:t>8.10.2026</w:t>
      </w:r>
    </w:p>
    <w:p w:rsidR="00347110">
      <w:pPr>
        <w:widowControl/>
        <w:spacing w:after="113"/>
      </w:pPr>
    </w:p>
    <w:p w:rsidR="00347110">
      <w:pPr>
        <w:jc w:val="both"/>
        <w:rPr>
          <w:lang w:val="de-DE"/>
        </w:rPr>
      </w:pPr>
      <w:r>
        <w:rPr>
          <w:lang w:val="de-DE"/>
        </w:rPr>
        <w:t>Anwesend:</w:t>
      </w:r>
    </w:p>
    <w:p w:rsidR="00347110">
      <w:pPr>
        <w:widowControl/>
        <w:spacing w:after="113"/>
      </w:pPr>
    </w:p>
    <w:p w:rsidR="00347110">
      <w:pPr>
        <w:jc w:val="both"/>
        <w:rPr>
          <w:lang w:val="de-DE"/>
        </w:rPr>
      </w:pPr>
      <w:r>
        <w:rPr>
          <w:lang w:val="de-DE"/>
        </w:rPr>
        <w:t>Aaltola Mika, Abadía Jover Maravillas, Adamowicz Magdalena, Aftias Georgios, Agirregoitia Martínez Oihane, Agius Peter, Agius Saliba Alex, Alexandraki Galato, Allione Grégory, Al-Sahlani Abir, Anadiotis Nikolaos, Ander</w:t>
      </w:r>
      <w:r>
        <w:rPr>
          <w:lang w:val="de-DE"/>
        </w:rPr>
        <w:t>son Christine, Andersson Li, Andrews Barry, Andriese Mieke, Androu</w:t>
      </w:r>
      <w:r>
        <w:rPr>
          <w:lang w:val="de-DE"/>
        </w:rPr>
        <w:t>ët Mathilde, Angel Marc, Annemans Gerolf, Annunziata Lucia, Antoci Giuseppe, Arias Echeverría Pablo, Arimont Pascal, Arłukowicz Bartosz, Arnaoutoglou Sakis, Arndt Anja, Arvanitis Konstantinos, Asens Llodrà Jaume, Assis Francisco, Aubry Manon, Auštrevičius Petras, Axinia Adrian-George, Azmani Malik, Bajada Thomas, Baljeu Jeannette, Ballarín Cereza Laura, Barna Dan, Barrena Arza Pernando, Bartulica Stephen Nikola, Bartůšek Nikola, Bausemer Arno</w:t>
      </w:r>
      <w:r>
        <w:rPr>
          <w:lang w:val="de-DE"/>
        </w:rPr>
        <w:t>, Bay Nicolas, Bay Christophe, Beke Wouter, Beleris Fredis, Bellamy François-Xavier, Benjumea Benjumea Isabel, Beňová Monika, Bentele Hildegard, Berger Stefan, Berlato Sergio, Bernhuber Alexander, Biedroń Robert, Bielan Adam, Birkholm Majbritt, Bischoff Gabriele, Blaha Ľuboš, Blinkevičiūtė Vilija, Blom Rachel, Bloss Michael, Bocheński Tobiasz, Boeselager Damian, Bogdán Csaba, Bonaccini Stefano, Bonte Barbara, Borchia Paolo, Borrás Pabón Mireia, Borvendég Zsuzsanna, Borzan Biljana, Boßdorf Irmhild, Bosse Sti</w:t>
      </w:r>
      <w:r>
        <w:rPr>
          <w:lang w:val="de-DE"/>
        </w:rPr>
        <w:t>ne, Botenga Marc, Boyer Gilles, Boylan Lynn, Brandstätter Helmut, Brasier-Clain Marie-Luce, Braun Grzegorz, Brejza Krzysztof, Bricmont Saskia, Brudziński Joachim Stanisław, Bryłka Anna, Buchheit Markus, Buczek Tomasz, Buda Daniel, Buda Waldemar, Budka Borys, Bugalho Sebastião, Buła Andrzej, Bullmann Udo, Buxadé Villalba Jorge, Bystron Petr, Bžoch Jaroslav, Camara Mélissa, Canfin Pascal, Carberry Nina, Carême Damien, Casa David, Cassart Benoit, del Castillo Vera Pilar, Cavazzini Anna, Cavedagna Stefano, Cecc</w:t>
      </w:r>
      <w:r>
        <w:rPr>
          <w:lang w:val="de-DE"/>
        </w:rPr>
        <w:t>ardi Susanna, Černilec Tomašič Zala, Ceulemans Estelle, Chahim Mohammed, Chaibi Leila, Chastel Olivier, Chinnici Caterina, Christens</w:t>
      </w:r>
      <w:r>
        <w:rPr>
          <w:lang w:val="de-DE"/>
        </w:rPr>
        <w:t xml:space="preserve">en Asger, Christ Marie-Sophie, Cifrová Ostrihoňová Veronika, Ciriani Alessandro, Cisint Anna Maria, Clausen Per, Cormand David, Corrado Annalisa, Costanzo Vivien, Cotrim De Figueiredo João, Cowen Barry, Cremer Tobias, Cristea Andi, Crosetto Giovanni, Cunha Paulo, Dahl Henrik, Danielsson Johan, Dauchy Marie, Dávid Dóra, David Ivan, Decerle Jérémy, de la Hoz Quintano Raúl, Della </w:t>
      </w:r>
      <w:r>
        <w:rPr>
          <w:lang w:val="de-DE"/>
        </w:rPr>
        <w:t>Valle Danilo, Deloge Valérie, De Masi Fabio, De Meo Salvatore, Demirel Özlem, Devaux Valérie, Dibrani Adnan, Dieringer Elisabeth, Disdier Mélanie, Dobrev Klára, Doherty Regina, Dömötör Csaba, do Nascimento Cabral Paulo, Donazzan Elena, Dorfmann Herbert, Dostalova Klara, Dostál Ondřej, Droese Siegbert Frank, Düpont Lena, Dworczyk Michał, Ehler Christian, Ehlers Marieke, Eriksson Sofie, Erixon Dick, Eroglu Engin, Estaràs Ferragut Rosa, Falcă Gheorghe, Falcone Marco, Farantouris Nikolas, Farreng Laurence, Ferb</w:t>
      </w:r>
      <w:r>
        <w:rPr>
          <w:lang w:val="de-DE"/>
        </w:rPr>
        <w:t>er Markus, Ferenc Viktória, Fernández Jonás, Fiocchi Pietro, Firea</w:t>
      </w:r>
      <w:r>
        <w:rPr>
          <w:lang w:val="de-DE"/>
        </w:rPr>
        <w:t xml:space="preserve"> Gabriela, Firmenich Ruth, Fita Claire, Flanagan Luke Ming, Fourlas Loucas, Fourreau Emma, Fragkos Emmanouil, Franqueira Rodrigues André, Freund Daniel, Frigout Anne-Sophie, Friis Sigrid, Fritzon Heléne, Froelich Tomasz, Fuglsang Niels, Funchion Kathleen, Furet Angéline, Furore Mario, Gabel Robert, Gahler Michael, Gál Kinga, Galán Estrella, Gambino Alberico, García Hermida-Van Der Walle Raquel, Garraud Jean-Paul, Gasiuk-Pihowicz Kamila, Geadi</w:t>
      </w:r>
      <w:r>
        <w:rPr>
          <w:lang w:val="de-DE"/>
        </w:rPr>
        <w:t xml:space="preserve"> Geadis, Gedin Hanna, Geier Jens, Geisel Thomas, Gemma Chiara, Geo</w:t>
      </w:r>
      <w:r>
        <w:rPr>
          <w:lang w:val="de-DE"/>
        </w:rPr>
        <w:t>rgiou Giorgos, Gerbrandy Gerben-Jan, Germain Jean-Marc, Geuking Niels, Gieseke Jens, Girauta Vidal Juan Carlos, Glavak Sunčana, Glück Andreas, Goerens Charles, Gomart Christophe, Gomes Isilda, Gómez López Sandra, Gonçalves Bruno, Gonçalves Sérgio, González Casares Nicolás, González Pons Esteban, Gori Giorgio, Gosiewska Małgorzata, Gotink Dirk, Gozi Sandro, Grapini Maria, Gražulis Petras, Gregorová Markéta, Grims Branko, Griset Catherine, Groo</w:t>
      </w:r>
      <w:r>
        <w:rPr>
          <w:lang w:val="de-DE"/>
        </w:rPr>
        <w:t xml:space="preserve">thuis Bart, Grossmann Elisabeth, Grudler Christophe, Gualmini Elisabetta, Guarda Cristina, Guetta Bernard, Günther Martin, Guzenina Maria, Győri Enikő, Gyürk András, Hadjipantela Michalis, Hahn Svenja, Haider Roman, Halicki Andrzej, Hansen Niels Flemming, Hassan Rima, Hauser Gerald, Häusling Martin, Hava Mircea-Gheorghe, Hazekamp Anja, Heide Hannes, Heinäluoma Eero, Henriksson Anna-Maja, Herbst Niclas, Herhammer Norbert, Herranz García Esther, Hohlmeier Monika, Hojsík Martin, Holmgren Pär, Hölvényi György, </w:t>
      </w:r>
      <w:r>
        <w:rPr>
          <w:lang w:val="de-DE"/>
        </w:rPr>
        <w:t>Homs Ginel Alicia, Humberto Sérgio, Ijabs Ivars, Imart Céline, Incir Evin, Inselvini Paolo, Iovanovici Şoşoacă Diana, Jalloul Muro Hana, Jamet France, Jarubas Adam, Jongen Marc, Joński Dariusz, Joron Virginie, Jouvet Pierre, Juknevičienė Rasa, Junco García Nora, Kabilov Taner, Kâhya Ufuk, Kalfon François, Kaliňák Erik, Kaljurand Marina, Kalniete Sandra, Kamiński Mariusz, Kanev Radan, Kanko Assita, Karlsbro Karin, Kartheiser Fernand, Karvašová Ľubica, Katainen Elsi, Kefalogiannis Emmanouil, Kelleher Billy, K</w:t>
      </w:r>
      <w:r>
        <w:rPr>
          <w:lang w:val="de-DE"/>
        </w:rPr>
        <w:t>eller Fabienne, Kelly Seán, Kemp Martine, Kennes Rudi, Khan Mary, Kircher Sophia, Knafo Sarah, Knot Jaroslav, Kobosko Michał, Köhler Stefan, Kohut Łukasz, Kokalari Arba, Kolář Ondřej, Kollár Kinga, Kols Rihards, Konečná Kateřina, Koning Willemien, Kopacz Ewa, Körner Moritz, Kountoura Elena, Kovatchev Andrey, Krištopans Vilis, Kruis Sebastian, Krutílek Ondřej, Kubín Tomáš, Kuhnke Alice, Kulja András Tivadar, Kulmuni Katri, Kyllönen Merja, Kyuchyuk Ilhan, Lalucq Aurore, Lange Bernd, Langensiepen Katrin, Lászl</w:t>
      </w:r>
      <w:r>
        <w:rPr>
          <w:lang w:val="de-DE"/>
        </w:rPr>
        <w:t>ó András, Laurent Murielle, Laureti Camilla, Laykova Rada, Lazarov Ilia, Lazarus Luis-Vicențiu, Le Callennec Isabelle, Leggeri Fabrice, Lenaers Jeroen, Lewandowski Janusz, Lexmann Miriam, Lins Norbert, Loiseau Nathalie, Løkkegaard Morten, Lopatka Reinhold, López Javi, López Aguilar Juan Fernando, López-Istúriz White Antonio, Lövin Isabella, Luena César, Łukacijewska Elżbieta Katarzyna, Lupo Giuseppe, McAllister David, Madison Jaak, Maestre Cristina, Magoni Lara, Maij Marit, Maląg Marlena, Mandl Lukas, Mania</w:t>
      </w:r>
      <w:r>
        <w:rPr>
          <w:lang w:val="de-DE"/>
        </w:rPr>
        <w:t>tis Yannis, Mantovani Mario, Maran Pierfrancesco, Marczułajtis-Walczak Jagna, Maréchal Marion, Mariani Thierry, Marino Ignazio Roberto, Marquardt Erik, Martín Frías Jorge, Martins Catarina, Martusciello Fulvio, Mato Gabriel, Matthieu Sara, Mavrides Costas, Maydell Eva, Mayer Georg, Mazurek Milan, McNamara Michael, Mebarek Nora, Mehnert Alexandra, Meimarakis Vangelis, Meleti Eleonora, Mendes Ana Catarina, Mendia Idoia, Mertens Verena, Mesure Marina, Metsola Roberta, Metz Tilly, Millán Mon Francisco José, Min</w:t>
      </w:r>
      <w:r>
        <w:rPr>
          <w:lang w:val="de-DE"/>
        </w:rPr>
        <w:t xml:space="preserve">chev Nikola, Miranda Paz Ana, Morace Carolina, Morano Nadine, Moratti Letizia, Moreira de Sá Tiago, Moretti Alessandra, Motreanu Dan-Ştefan, Mularczyk Arkadiusz, Müller Piotr, Mullooly Ciaran, Nagyová Jana, Navarrete Rojas Fernando, Negrescu Victor, Nemec Matjaž, Nerudová Danuše, Nesci Denis, Neuhoff Hans, Neumann Hannah, Niebler Angelika, Niedermayer Luděk, Niinistö Ville, Nikolaou-Alavanos Lefteris, Nikolic Aleksandar, Noichl Maria, Nordqvist Rasmus, Novakov Andrey, Nykiel Mirosława, Obajtek Daniel, Ódor </w:t>
      </w:r>
      <w:r>
        <w:rPr>
          <w:lang w:val="de-DE"/>
        </w:rPr>
        <w:t>Ľudovít, Oetjen Jan-Christoph, Ohisalo Maria, Oliveira João, Olivier Philippe, Omarjee Younous, Ondruš Branislav, Ó Ríordáin Aodhán, Orlando Leoluca, Ozdoba Jacek, Paet Urmas, Pajín Leire, Palmisano Valentina, Panayiotou Fidias, Papadakis Kostas, Papandreou Nikos, Pappas Nikos, Pascual de la Parte Nicolás, Patriciello Aldo, Paulus Jutta, Pedro Ana Miguel, Pedulla' Gaetano, Pellerin-Carlin Thomas, Peltier Guillaume, Penkova Tsvetelina, Pennelle Gilles, Pereira Lídia, Pérez Alvise, Petrov Hristo, Picaro Miche</w:t>
      </w:r>
      <w:r>
        <w:rPr>
          <w:lang w:val="de-DE"/>
        </w:rPr>
        <w:t>le, Picula Tonino, Piera Pascale, Pietikäinen Sirpa, Pimpie Pierre, Piperea Gheorghe, de la Pisa Carrión Margarita, Polato Daniele, Polfjärd Jessica, Popescu Virgil-Daniel, Pozņaks Reinis, Prebilič Vladimir, Princi Giusi, Procaccini Nicola, Protas Jacek, Pürner Friedrich, Radev Emil, Radtke Dennis, Ratas Jüri, Rechagneux Julie, Regner Evelyn, Repasi René, Repp Sabrina, Reuten Thijs, Riba i Giner Diana, Ricci Matteo, Ridel Chloé, Ripa Manuela, Ros Sempere Marcos, Roth Neveďalová Katarína, Rougé André, Ruisse</w:t>
      </w:r>
      <w:r>
        <w:rPr>
          <w:lang w:val="de-DE"/>
        </w:rPr>
        <w:t>n Bert-Jan, Ruotolo Sandro, Rzońca Bogdan, Saeidi Arash, Salini Massimiliano, Salis Ilaria, Salla Aura, Sanchez Julien, Sancho Murillo Elena, Saramo Jussi, Sardone Silvia, Šarec Marjan, Sargiacomo Eric, Satouri Mounir, Saudargas Paulius, Sbai Majdouline, Sberna Antonella, Schaldemose Christel, Schaller-Baross Ernő, Schenk Oliver, Scheuring-Wielgus Joanna, Schieder Andreas, Schilling Lena, Schnurrbusch Volker, Schwab Andreas, Scuderi Benedetta, Seekatz Ralf, Sell Alexander, Serrano Sierra Rosa, Serra Sánchez</w:t>
      </w:r>
      <w:r>
        <w:rPr>
          <w:lang w:val="de-DE"/>
        </w:rPr>
        <w:t xml:space="preserve"> Isabel, Sidl Günther, Sieper Lukas, Simon Sven, Singer Christine, Sippel Birgit, Sjöstedt Jonas, Śmiszek Krzysztof, Smith Anthony, Smit Sander, Sokol Tomislav, Solier Diego, Solís Pérez Susana, Sommen Liesbet, Sonneborn Martin, Sorel Malika, Sousa Silva Hélder, Søvndal Villy, Squarta Marco, Staķis Mārtiņš, Staněk Antonín, Ștefănuță Nicolae, Steger Petra, Stier Davor Ivo, Storm Kristoffer, Stoyanov Stanislav, Strack-Zimmermann Marie-Agnes, Strada Cecilia, Streit Joachim, Strik Tineke, Strolenberg Anna, Stur</w:t>
      </w:r>
      <w:r>
        <w:rPr>
          <w:lang w:val="de-DE"/>
        </w:rPr>
        <w:t>dza Şerban Dimitrie, Stürgkh Anna, Sypniewski Marcin, Szczerba Michał, Szydło Beata, Tamburrano Dario, Tânger Corrêa António, Tarquinio Marco, Târziu Claudiu-Richard, Tavares Carla, Tegethoff Kai, Teodorescu Georgiana, Teodorescu Måwe Alice, Ter Laak Ingeborg, Thionnet Pierre-Romain, Timgren Beatrice, Tinagli Irene, Tobback Bruno, Tobé Tomas, Tomaszewski Waldemar, Tomc Romana, Tonin Matej, Toom Jana, Topo Raffaele, Torselli Francesco, Tosi Flavio, Toussaint Marie, Tovaglieri Isabella, Toveri Pekka, Tramacer</w:t>
      </w:r>
      <w:r>
        <w:rPr>
          <w:lang w:val="de-DE"/>
        </w:rPr>
        <w:t xml:space="preserve">e Georgia, Tridico Pasquale, Trochu Laurence, Tsiodras Dimitris, Tudose Mihai, Tynkkynen Sebastian, Uhrík Milan, Ušakovs Nils, Vaidere Inese, Valchev Ivaylo, Vălean Adina, Valet Matthieu, Van Brug Anouk, van den Berg Brigitte, Vandendriessche Tom, Van Dijck Kris, Van Lanschot Reinier, van Leeuwen Jessika, Vannacci Roberto, Van Overtveldt Johan, Van Sparrentak Kim, Varaut Alexandre, Vasconcelos Ana, Vasile-Voiculescu Vlad, Vautmans Hilde, Ventola Francesco, Verheyen Sabine, Vešligaj Marko, Vicsek Annamária, </w:t>
      </w:r>
      <w:r>
        <w:rPr>
          <w:lang w:val="de-DE"/>
        </w:rPr>
        <w:t>Vieira Catarina, Vigenin Kristian, Vincze Loránt, Vivaldini Mariateresa, Volgin Petar, von der Schulenburg Michael, Vondra Alexandr, Voss Axel, Vozemberg-Vrionidi Elissavet, Vrecionová Veronika, Vázquez Lázara Adrián, Waitz Thomas, Walsmann Marion, Warborn Jörgen, Warnke Jan-Peter, Wąsik Maciej, Wawrykiewicz Michał, Wcisło Marta, Wechsler Andrea, Weimers Charlie, Weisz Viktor, Werbrouck Séverine, Wiezik Michal, Wilmès Sophie, Winkler Iuliu, Winzig Angelika, Wiseler-Lima Isabel, Wiśniewska Jadwiga, Wölken Ti</w:t>
      </w:r>
      <w:r>
        <w:rPr>
          <w:lang w:val="de-DE"/>
        </w:rPr>
        <w:t>emo, Wolters Lara, Yar Lucia, Yon-Courtin Stéphanie, Zacharia Maria, Zalewska Anna, Žalimas Dainius, Zan Alessandro, Zarzalejos Javier, Zdechovský Tomáš, Zdrojewski Bogdan Andrzej, Zīle Roberts, Złotowski Kosma, Zoido Álvarez Juan Ignacio, Zovko Željana, Zver Milan</w:t>
      </w:r>
    </w:p>
    <w:p w:rsidR="00347110">
      <w:pPr>
        <w:widowControl/>
        <w:spacing w:after="113"/>
      </w:pPr>
    </w:p>
    <w:p w:rsidR="00347110">
      <w:pPr>
        <w:jc w:val="both"/>
        <w:rPr>
          <w:lang w:val="de-DE"/>
        </w:rPr>
      </w:pPr>
      <w:r>
        <w:rPr>
          <w:lang w:val="de-DE"/>
        </w:rPr>
        <w:t>Entschuldigt:</w:t>
      </w:r>
    </w:p>
    <w:p w:rsidR="00347110">
      <w:r>
        <w:rPr>
          <w:lang w:val="de-DE"/>
        </w:rPr>
        <w:t>Peter-Hansen Kira Marie</w:t>
      </w:r>
    </w:p>
    <w:sectPr>
      <w:footerReference w:type="default" r:id="rId12"/>
      <w:footerReference w:type="first" r:id="rId13"/>
      <w:footnotePr>
        <w:pos w:val="beneathText"/>
      </w:footnotePr>
      <w:pgSz w:w="11906" w:h="16837"/>
      <w:pgMar w:top="567" w:right="1134" w:bottom="1134" w:left="1134"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swiss"/>
    <w:pitch w:val="variable"/>
    <w:sig w:usb0="20000287" w:usb1="00000003" w:usb2="00000000" w:usb3="00000000" w:csb0="0000019F" w:csb1="00000000"/>
  </w:font>
  <w:font w:name="HG Mincho Light J">
    <w:panose1 w:val="00000000000000000000"/>
    <w:charset w:val="00"/>
    <w:family w:val="auto"/>
    <w:pitch w:val="variable"/>
    <w:sig w:usb0="00000000" w:usb1="00000000" w:usb2="00000000" w:usb3="00000000" w:csb0="00000000" w:csb1="00000000"/>
  </w:font>
  <w:font w:name="Albany">
    <w:altName w:val="Arial"/>
    <w:panose1 w:val="00000000000000000000"/>
    <w:charset w:val="00"/>
    <w:family w:val="swiss"/>
    <w:pitch w:val="variable"/>
    <w:sig w:usb0="00000000" w:usb1="00000000" w:usb2="00000000" w:usb3="00000000" w:csb0="00000000" w:csb1="00000000"/>
  </w:font>
  <w:font w:name="Arial Unicode MS">
    <w:panose1 w:val="020B0604020202020204"/>
    <w:charset w:val="00"/>
    <w:family w:val="roman"/>
    <w:pitch w:val="variable"/>
    <w:sig w:usb0="00000003" w:usb1="00000000" w:usb2="00000000" w:usb3="00000000" w:csb0="00000001" w:csb1="00000000"/>
  </w:font>
  <w:font w:name="Aptos Display">
    <w:panose1 w:val="00000000000000000000"/>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10">
    <w:pPr>
      <w:suppressLineNumbers/>
      <w:pBdr>
        <w:bottom w:val="double" w:sz="1" w:space="0" w:color="000000"/>
      </w:pBdr>
      <w:rPr>
        <w:sz w:val="12"/>
        <w:szCs w:val="12"/>
      </w:rPr>
    </w:pPr>
  </w:p>
  <w:p w:rsidR="00347110">
    <w:pPr>
      <w:tabs>
        <w:tab w:val="right" w:pos="9637"/>
      </w:tabs>
      <w:rPr>
        <w:rFonts w:ascii="Arial" w:hAnsi="Arial"/>
        <w:b/>
        <w:sz w:val="36"/>
      </w:rPr>
    </w:pPr>
    <w:r>
      <w:t>P10_PV(2026)10-08</w:t>
      <w:tab/>
      <w:t xml:space="preserve">PE 796.718 - </w:t>
    </w: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instrText>ARABIC</w:instrText>
    </w:r>
    <w:r>
      <w:rPr>
        <w:rStyle w:val="PageNumber"/>
      </w:rPr>
      <w:instrText xml:space="preserve"> </w:instrText>
    </w:r>
    <w:r>
      <w:rPr>
        <w:rStyle w:val="PageNumber"/>
      </w:rPr>
      <w:fldChar w:fldCharType="separate"/>
    </w:r>
    <w:r>
      <w:rPr>
        <w:rStyle w:val="PageNumber"/>
      </w:rPr>
      <w:t>19</w:t>
    </w:r>
    <w:r>
      <w:rPr>
        <w:rStyle w:val="PageNumber"/>
      </w:rPr>
      <w:fldChar w:fldCharType="end"/>
    </w:r>
    <w:r>
      <w:br/>
      <w:tab/>
    </w:r>
    <w:r>
      <w:rPr>
        <w:rFonts w:ascii="Arial" w:hAnsi="Arial"/>
        <w:b/>
        <w:sz w:val="36"/>
      </w:rP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10">
    <w:pPr>
      <w:suppressLineNumbers/>
      <w:pBdr>
        <w:bottom w:val="double" w:sz="1" w:space="0" w:color="000000"/>
      </w:pBdr>
      <w:rPr>
        <w:sz w:val="12"/>
        <w:szCs w:val="12"/>
      </w:rPr>
    </w:pPr>
  </w:p>
  <w:p w:rsidR="00347110">
    <w:pPr>
      <w:tabs>
        <w:tab w:val="right" w:pos="9637"/>
      </w:tabs>
      <w:rPr>
        <w:rFonts w:ascii="Arial" w:hAnsi="Arial"/>
        <w:b/>
        <w:sz w:val="36"/>
      </w:rPr>
    </w:pPr>
    <w:r>
      <w:t>P10_PV(2026)10-08</w:t>
      <w:tab/>
      <w:t xml:space="preserve">PE 796.718 - </w:t>
    </w: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instrText>ARABIC</w:instrText>
    </w:r>
    <w:r>
      <w:rPr>
        <w:rStyle w:val="PageNumber"/>
      </w:rPr>
      <w:instrText xml:space="preserve"> </w:instrText>
    </w:r>
    <w:r>
      <w:rPr>
        <w:rStyle w:val="PageNumber"/>
      </w:rPr>
      <w:fldChar w:fldCharType="separate"/>
    </w:r>
    <w:r>
      <w:rPr>
        <w:rStyle w:val="PageNumber"/>
      </w:rPr>
      <w:t>21</w:t>
    </w:r>
    <w:r>
      <w:rPr>
        <w:rStyle w:val="PageNumber"/>
      </w:rPr>
      <w:fldChar w:fldCharType="end"/>
    </w:r>
    <w:r>
      <w:br/>
      <w:tab/>
    </w:r>
    <w:r>
      <w:rPr>
        <w:rFonts w:ascii="Arial" w:hAnsi="Arial"/>
        <w:b/>
        <w:sz w:val="36"/>
      </w:rP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10">
    <w:pPr>
      <w:suppressLineNumbers/>
      <w:pBdr>
        <w:bottom w:val="double" w:sz="1" w:space="0" w:color="000000"/>
      </w:pBdr>
      <w:rPr>
        <w:sz w:val="12"/>
        <w:szCs w:val="12"/>
      </w:rPr>
    </w:pPr>
  </w:p>
  <w:p w:rsidR="00347110">
    <w:pPr>
      <w:tabs>
        <w:tab w:val="right" w:pos="9637"/>
      </w:tabs>
      <w:rPr>
        <w:rFonts w:ascii="Arial" w:hAnsi="Arial"/>
        <w:b/>
        <w:sz w:val="36"/>
      </w:rPr>
    </w:pPr>
    <w:r>
      <w:t>P10_PV(2026)10-08</w:t>
      <w:tab/>
      <w:t xml:space="preserve">PE 796.718 - </w:t>
    </w: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instrText>ARABIC</w:instrText>
    </w:r>
    <w:r>
      <w:rPr>
        <w:rStyle w:val="PageNumber"/>
      </w:rPr>
      <w:instrText xml:space="preserve"> </w:instrText>
    </w:r>
    <w:r>
      <w:rPr>
        <w:rStyle w:val="PageNumber"/>
      </w:rPr>
      <w:fldChar w:fldCharType="separate"/>
    </w:r>
    <w:r>
      <w:rPr>
        <w:rStyle w:val="PageNumber"/>
      </w:rPr>
      <w:t>21</w:t>
    </w:r>
    <w:r>
      <w:rPr>
        <w:rStyle w:val="PageNumber"/>
      </w:rPr>
      <w:fldChar w:fldCharType="end"/>
    </w:r>
    <w:r>
      <w:br/>
      <w:tab/>
    </w:r>
    <w:r>
      <w:rPr>
        <w:rFonts w:ascii="Arial" w:hAnsi="Arial"/>
        <w:b/>
        <w:sz w:val="36"/>
      </w:rPr>
      <w:t>DE</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10">
    <w:pPr>
      <w:suppressLineNumbers/>
      <w:pBdr>
        <w:bottom w:val="double" w:sz="1" w:space="0" w:color="000000"/>
      </w:pBdr>
      <w:rPr>
        <w:sz w:val="12"/>
        <w:szCs w:val="12"/>
      </w:rPr>
    </w:pPr>
  </w:p>
  <w:p w:rsidR="00347110">
    <w:pPr>
      <w:tabs>
        <w:tab w:val="right" w:pos="9637"/>
      </w:tabs>
      <w:rPr>
        <w:rFonts w:ascii="Arial" w:hAnsi="Arial"/>
        <w:b/>
        <w:sz w:val="36"/>
      </w:rPr>
    </w:pPr>
    <w:r>
      <w:t>P10_PV(2026)10-08</w:t>
      <w:tab/>
      <w:t>PE 79</w:t>
    </w:r>
    <w:r>
      <w:t xml:space="preserve">6.718 - </w:t>
    </w: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instrText>ARABIC</w:instrText>
    </w:r>
    <w:r>
      <w:rPr>
        <w:rStyle w:val="PageNumber"/>
      </w:rPr>
      <w:instrText xml:space="preserve"> </w:instrText>
    </w:r>
    <w:r>
      <w:rPr>
        <w:rStyle w:val="PageNumber"/>
      </w:rPr>
      <w:fldChar w:fldCharType="separate"/>
    </w:r>
    <w:r>
      <w:rPr>
        <w:rStyle w:val="PageNumber"/>
      </w:rPr>
      <w:t>21</w:t>
    </w:r>
    <w:r>
      <w:rPr>
        <w:rStyle w:val="PageNumber"/>
      </w:rPr>
      <w:fldChar w:fldCharType="end"/>
    </w:r>
    <w:r>
      <w:br/>
      <w:tab/>
    </w:r>
    <w:r>
      <w:rPr>
        <w:rFonts w:ascii="Arial" w:hAnsi="Arial"/>
        <w:b/>
        <w:sz w:val="36"/>
      </w:rPr>
      <w:t>DE</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10">
    <w:pPr>
      <w:suppressLineNumbers/>
      <w:pBdr>
        <w:bottom w:val="double" w:sz="1" w:space="0" w:color="000000"/>
      </w:pBdr>
      <w:rPr>
        <w:sz w:val="12"/>
        <w:szCs w:val="12"/>
      </w:rPr>
    </w:pPr>
  </w:p>
  <w:p w:rsidR="00347110">
    <w:pPr>
      <w:tabs>
        <w:tab w:val="right" w:pos="9637"/>
      </w:tabs>
      <w:rPr>
        <w:rFonts w:ascii="Arial" w:hAnsi="Arial"/>
        <w:b/>
        <w:sz w:val="36"/>
      </w:rPr>
    </w:pPr>
    <w:r>
      <w:t>P10_PV(2026)10-08</w:t>
      <w:tab/>
      <w:t xml:space="preserve">PE 796.718 - </w:t>
    </w: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instrText>ARABIC</w:instrText>
    </w:r>
    <w:r>
      <w:rPr>
        <w:rStyle w:val="PageNumber"/>
      </w:rPr>
      <w:instrText xml:space="preserve"> </w:instrText>
    </w:r>
    <w:r>
      <w:rPr>
        <w:rStyle w:val="PageNumber"/>
      </w:rPr>
      <w:fldChar w:fldCharType="separate"/>
    </w:r>
    <w:r>
      <w:rPr>
        <w:rStyle w:val="PageNumber"/>
      </w:rPr>
      <w:t>21</w:t>
    </w:r>
    <w:r>
      <w:rPr>
        <w:rStyle w:val="PageNumber"/>
      </w:rPr>
      <w:fldChar w:fldCharType="end"/>
    </w:r>
    <w:r>
      <w:br/>
      <w:tab/>
    </w:r>
    <w:r>
      <w:rPr>
        <w:rFonts w:ascii="Arial" w:hAnsi="Arial"/>
        <w:b/>
        <w:sz w:val="36"/>
      </w:rPr>
      <w:t>DE</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10">
    <w:pPr>
      <w:suppressLineNumbers/>
      <w:pBdr>
        <w:bottom w:val="double" w:sz="1" w:space="0" w:color="000000"/>
      </w:pBdr>
      <w:rPr>
        <w:sz w:val="12"/>
        <w:szCs w:val="12"/>
      </w:rPr>
    </w:pPr>
  </w:p>
  <w:p w:rsidR="00347110">
    <w:pPr>
      <w:tabs>
        <w:tab w:val="right" w:pos="9637"/>
      </w:tabs>
      <w:rPr>
        <w:rFonts w:ascii="Arial" w:hAnsi="Arial"/>
        <w:b/>
        <w:sz w:val="36"/>
      </w:rPr>
    </w:pPr>
    <w:r>
      <w:t>P10_PV(2026)10-08</w:t>
      <w:tab/>
      <w:t xml:space="preserve">PE 796.718 - </w:t>
    </w: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instrText>ARABIC</w:instrText>
    </w:r>
    <w:r>
      <w:rPr>
        <w:rStyle w:val="PageNumber"/>
      </w:rPr>
      <w:instrText xml:space="preserve"> </w:instrText>
    </w:r>
    <w:r>
      <w:rPr>
        <w:rStyle w:val="PageNumber"/>
      </w:rPr>
      <w:fldChar w:fldCharType="separate"/>
    </w:r>
    <w:r>
      <w:rPr>
        <w:rStyle w:val="PageNumber"/>
      </w:rPr>
      <w:t>21</w:t>
    </w:r>
    <w:r>
      <w:rPr>
        <w:rStyle w:val="PageNumber"/>
      </w:rPr>
      <w:fldChar w:fldCharType="end"/>
    </w:r>
    <w:r>
      <w:br/>
      <w:tab/>
    </w:r>
    <w:r>
      <w:rPr>
        <w:rFonts w:ascii="Arial" w:hAnsi="Arial"/>
        <w:b/>
        <w:sz w:val="36"/>
      </w:rPr>
      <w:t>DE</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10">
    <w:pPr>
      <w:suppressLineNumbers/>
      <w:pBdr>
        <w:bottom w:val="double" w:sz="1" w:space="0" w:color="000000"/>
      </w:pBdr>
      <w:rPr>
        <w:sz w:val="12"/>
        <w:szCs w:val="12"/>
      </w:rPr>
    </w:pPr>
  </w:p>
  <w:p w:rsidR="00347110">
    <w:pPr>
      <w:tabs>
        <w:tab w:val="right" w:pos="9637"/>
      </w:tabs>
      <w:rPr>
        <w:rFonts w:ascii="Arial" w:hAnsi="Arial"/>
        <w:b/>
        <w:sz w:val="36"/>
      </w:rPr>
    </w:pPr>
    <w:r>
      <w:t>P10_PV(2026)10-08</w:t>
      <w:tab/>
      <w:t xml:space="preserve">PE 796.718 - </w:t>
    </w: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instrText>ARABIC</w:instrText>
    </w:r>
    <w:r>
      <w:rPr>
        <w:rStyle w:val="PageNumber"/>
      </w:rPr>
      <w:instrText xml:space="preserve"> </w:instrText>
    </w:r>
    <w:r>
      <w:rPr>
        <w:rStyle w:val="PageNumber"/>
      </w:rPr>
      <w:fldChar w:fldCharType="separate"/>
    </w:r>
    <w:r>
      <w:rPr>
        <w:rStyle w:val="PageNumber"/>
      </w:rPr>
      <w:t>21</w:t>
    </w:r>
    <w:r>
      <w:rPr>
        <w:rStyle w:val="PageNumber"/>
      </w:rPr>
      <w:fldChar w:fldCharType="end"/>
    </w:r>
    <w:r>
      <w:br/>
      <w:tab/>
    </w:r>
    <w:r>
      <w:rPr>
        <w:rFonts w:ascii="Arial" w:hAnsi="Arial"/>
        <w:b/>
        <w:sz w:val="36"/>
      </w:rPr>
      <w:t>DE</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10">
    <w:pPr>
      <w:suppressLineNumbers/>
      <w:pBdr>
        <w:bottom w:val="double" w:sz="1" w:space="0" w:color="000000"/>
      </w:pBdr>
      <w:rPr>
        <w:sz w:val="12"/>
        <w:szCs w:val="12"/>
      </w:rPr>
    </w:pPr>
  </w:p>
  <w:p w:rsidR="00347110">
    <w:pPr>
      <w:tabs>
        <w:tab w:val="right" w:pos="9637"/>
      </w:tabs>
      <w:rPr>
        <w:rFonts w:ascii="Arial" w:hAnsi="Arial"/>
        <w:b/>
        <w:sz w:val="36"/>
      </w:rPr>
    </w:pPr>
    <w:r>
      <w:t>P10_PV(2026)10-08</w:t>
      <w:tab/>
      <w:t xml:space="preserve">PE 796.718 - </w:t>
    </w: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instrText>ARABIC</w:instrText>
    </w:r>
    <w:r>
      <w:rPr>
        <w:rStyle w:val="PageNumber"/>
      </w:rPr>
      <w:instrText xml:space="preserve"> </w:instrText>
    </w:r>
    <w:r>
      <w:rPr>
        <w:rStyle w:val="PageNumber"/>
      </w:rPr>
      <w:fldChar w:fldCharType="separate"/>
    </w:r>
    <w:r>
      <w:rPr>
        <w:rStyle w:val="PageNumber"/>
      </w:rPr>
      <w:t>21</w:t>
    </w:r>
    <w:r>
      <w:rPr>
        <w:rStyle w:val="PageNumber"/>
      </w:rPr>
      <w:fldChar w:fldCharType="end"/>
    </w:r>
    <w:r>
      <w:br/>
      <w:tab/>
    </w:r>
    <w:r>
      <w:rPr>
        <w:rFonts w:ascii="Arial" w:hAnsi="Arial"/>
        <w:b/>
        <w:sz w:val="36"/>
      </w:rPr>
      <w:t>DE</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Jc w:val="left"/>
      <w:pPr>
        <w:tabs>
          <w:tab w:val="num" w:pos="0"/>
        </w:tabs>
        <w:ind w:left="0" w:firstLine="0"/>
      </w:pPr>
    </w:lvl>
    <w:lvl w:ilvl="1">
      <w:start w:val="1"/>
      <w:numFmt w:val="none"/>
      <w:lvlJc w:val="left"/>
      <w:pPr>
        <w:tabs>
          <w:tab w:val="num" w:pos="0"/>
        </w:tabs>
        <w:ind w:left="0" w:firstLine="0"/>
      </w:pPr>
    </w:lvl>
    <w:lvl w:ilvl="2">
      <w:start w:val="1"/>
      <w:numFmt w:val="none"/>
      <w:lvlJc w:val="left"/>
      <w:pPr>
        <w:tabs>
          <w:tab w:val="num" w:pos="0"/>
        </w:tabs>
        <w:ind w:left="0" w:firstLine="0"/>
      </w:pPr>
    </w:lvl>
    <w:lvl w:ilvl="3">
      <w:start w:val="1"/>
      <w:numFmt w:val="none"/>
      <w:lvlJc w:val="left"/>
      <w:pPr>
        <w:tabs>
          <w:tab w:val="num" w:pos="0"/>
        </w:tabs>
        <w:ind w:left="0" w:firstLine="0"/>
      </w:pPr>
    </w:lvl>
    <w:lvl w:ilvl="4">
      <w:start w:val="1"/>
      <w:numFmt w:val="none"/>
      <w:lvlJc w:val="left"/>
      <w:pPr>
        <w:tabs>
          <w:tab w:val="num" w:pos="0"/>
        </w:tabs>
        <w:ind w:left="0" w:firstLine="0"/>
      </w:pPr>
    </w:lvl>
    <w:lvl w:ilvl="5">
      <w:start w:val="1"/>
      <w:numFmt w:val="none"/>
      <w:lvlJc w:val="left"/>
      <w:pPr>
        <w:tabs>
          <w:tab w:val="num" w:pos="0"/>
        </w:tabs>
        <w:ind w:left="0" w:firstLine="0"/>
      </w:pPr>
    </w:lvl>
    <w:lvl w:ilvl="6">
      <w:start w:val="1"/>
      <w:numFmt w:val="none"/>
      <w:lvlJc w:val="left"/>
      <w:pPr>
        <w:tabs>
          <w:tab w:val="num" w:pos="0"/>
        </w:tabs>
        <w:ind w:left="0" w:firstLine="0"/>
      </w:pPr>
    </w:lvl>
    <w:lvl w:ilvl="7">
      <w:start w:val="1"/>
      <w:numFmt w:val="none"/>
      <w:lvlJc w:val="left"/>
      <w:pPr>
        <w:tabs>
          <w:tab w:val="num" w:pos="0"/>
        </w:tabs>
        <w:ind w:left="0" w:firstLine="0"/>
      </w:pPr>
    </w:lvl>
    <w:lvl w:ilvl="8">
      <w:start w:val="1"/>
      <w:numFmt w:val="none"/>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125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noLeading/>
    <w:spaceForUL/>
    <w:balanceSingleByteDoubleByteWidth/>
    <w:doNotLeaveBackslashAlone/>
    <w:ulTrailSpace/>
    <w:doNotExpandShiftReturn/>
    <w:usePrinterMetrics/>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0437D"/>
    <w:rsid w:val="00347110"/>
    <w:rsid w:val="0070437D"/>
    <w:rsid w:val="00C070DB"/>
    <w:rsid w:val="00E31E88"/>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pPr>
      <w:widowControl w:val="0"/>
      <w:suppressAutoHyphens/>
      <w:spacing w:after="283"/>
    </w:pPr>
    <w:rPr>
      <w:rFonts w:eastAsia="HG Mincho Light J"/>
      <w:color w:val="000000"/>
      <w:sz w:val="24"/>
      <w:szCs w:val="24"/>
      <w:lang w:val="fr-FR" w:bidi="ar-SA"/>
    </w:rPr>
  </w:style>
  <w:style w:type="paragraph" w:styleId="Heading1">
    <w:name w:val="heading 1"/>
    <w:basedOn w:val="Heading"/>
    <w:next w:val="BodyText"/>
    <w:qFormat/>
    <w:pPr>
      <w:numPr>
        <w:ilvl w:val="0"/>
        <w:numId w:val="1"/>
      </w:numPr>
      <w:outlineLvl w:val="0"/>
    </w:pPr>
    <w:rPr>
      <w:b/>
      <w:bCs/>
      <w:sz w:val="28"/>
      <w:szCs w:val="32"/>
    </w:rPr>
  </w:style>
  <w:style w:type="paragraph" w:styleId="Heading2">
    <w:name w:val="heading 2"/>
    <w:basedOn w:val="Heading"/>
    <w:next w:val="BodyText"/>
    <w:qFormat/>
    <w:pPr>
      <w:numPr>
        <w:ilvl w:val="1"/>
        <w:numId w:val="1"/>
      </w:numPr>
      <w:outlineLvl w:val="1"/>
    </w:pPr>
    <w:rPr>
      <w:b/>
      <w:bCs/>
      <w:i w:val="0"/>
      <w:iCs/>
      <w:sz w:val="26"/>
      <w:szCs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ial24B">
    <w:name w:val="Arial24B"/>
    <w:rPr>
      <w:rFonts w:ascii="Arial" w:hAnsi="Arial"/>
      <w:b/>
      <w:sz w:val="48"/>
    </w:rPr>
  </w:style>
  <w:style w:type="character" w:customStyle="1" w:styleId="Times16CoverPageItalic">
    <w:name w:val="Times16CoverPageItalic"/>
    <w:rPr>
      <w:rFonts w:ascii="Times New Roman" w:hAnsi="Times New Roman"/>
      <w:i/>
      <w:iCs/>
      <w:color w:val="696969"/>
      <w:sz w:val="32"/>
      <w:szCs w:val="32"/>
    </w:rPr>
  </w:style>
  <w:style w:type="character" w:styleId="PageNumber">
    <w:name w:val="page number"/>
    <w:semiHidden/>
  </w:style>
  <w:style w:type="paragraph" w:styleId="BodyText">
    <w:name w:val="Body Text"/>
    <w:basedOn w:val="Normal"/>
    <w:semiHidden/>
    <w:pPr>
      <w:spacing w:before="0" w:after="120"/>
    </w:pPr>
  </w:style>
  <w:style w:type="paragraph" w:customStyle="1" w:styleId="Heading">
    <w:name w:val="Heading"/>
    <w:basedOn w:val="Normal"/>
    <w:next w:val="BodyText"/>
    <w:pPr>
      <w:keepNext/>
      <w:spacing w:before="240" w:after="120"/>
    </w:pPr>
    <w:rPr>
      <w:rFonts w:ascii="Albany" w:eastAsia="HG Mincho Light J" w:hAnsi="Albany" w:cs="Arial Unicode MS"/>
      <w:sz w:val="28"/>
      <w:szCs w:val="28"/>
    </w:rPr>
  </w:style>
  <w:style w:type="paragraph" w:styleId="Footer">
    <w:name w:val="footer"/>
    <w:basedOn w:val="Normal"/>
    <w:semiHidden/>
    <w:pPr>
      <w:suppressLineNumbers/>
      <w:tabs>
        <w:tab w:val="center" w:pos="5385"/>
        <w:tab w:val="right" w:pos="10771"/>
      </w:tabs>
    </w:pPr>
  </w:style>
  <w:style w:type="paragraph" w:customStyle="1" w:styleId="TableContents">
    <w:name w:val="Table Contents"/>
    <w:basedOn w:val="BodyText"/>
    <w:pPr>
      <w:suppressLineNumbers/>
    </w:pPr>
  </w:style>
  <w:style w:type="paragraph" w:customStyle="1" w:styleId="Index">
    <w:name w:val="Index"/>
    <w:basedOn w:val="Normal"/>
    <w:pPr>
      <w:suppressLineNumbers/>
    </w:pPr>
  </w:style>
  <w:style w:type="paragraph" w:customStyle="1" w:styleId="ContentsHeading">
    <w:name w:val="Contents Heading"/>
    <w:basedOn w:val="Heading"/>
    <w:pPr>
      <w:suppressLineNumbers/>
      <w:ind w:left="0" w:right="0" w:firstLine="0"/>
      <w:jc w:val="center"/>
    </w:pPr>
    <w:rPr>
      <w:b/>
      <w:bCs/>
      <w:sz w:val="32"/>
      <w:szCs w:val="32"/>
    </w:rPr>
  </w:style>
  <w:style w:type="paragraph" w:styleId="TOC1">
    <w:name w:val="toc 1"/>
    <w:basedOn w:val="Index"/>
    <w:uiPriority w:val="39"/>
    <w:pPr>
      <w:tabs>
        <w:tab w:val="right" w:leader="dot" w:pos="9637"/>
      </w:tabs>
      <w:ind w:left="0" w:right="0" w:firstLine="0"/>
    </w:pPr>
  </w:style>
  <w:style w:type="paragraph" w:customStyle="1" w:styleId="HorizontalLine">
    <w:name w:val="Horizontal Line"/>
    <w:basedOn w:val="Normal"/>
    <w:next w:val="BodyText"/>
    <w:pPr>
      <w:suppressLineNumbers/>
      <w:pBdr>
        <w:top w:val="none" w:sz="0" w:space="0" w:color="auto"/>
        <w:left w:val="none" w:sz="0" w:space="0" w:color="auto"/>
        <w:bottom w:val="double" w:sz="1" w:space="0" w:color="808080"/>
        <w:right w:val="none" w:sz="0" w:space="0" w:color="auto"/>
      </w:pBdr>
      <w:spacing w:before="0" w:after="283"/>
    </w:pPr>
    <w:rPr>
      <w:sz w:val="12"/>
      <w:szCs w:val="12"/>
    </w:rPr>
  </w:style>
  <w:style w:type="paragraph" w:customStyle="1" w:styleId="DecisionHeading">
    <w:name w:val="DecisionHeading"/>
    <w:basedOn w:val="Normal"/>
    <w:next w:val="BodyText"/>
    <w:pPr>
      <w:keepNext/>
      <w:spacing w:before="240" w:after="120"/>
    </w:pPr>
    <w:rPr>
      <w:rFonts w:ascii="Times New Roman" w:eastAsia="HG Mincho Light J" w:hAnsi="Times New Roman" w:cs="Arial Unicode MS"/>
      <w:b/>
      <w:sz w:val="24"/>
      <w:szCs w:val="28"/>
    </w:rPr>
  </w:style>
  <w:style w:type="paragraph" w:customStyle="1" w:styleId="Arial11">
    <w:name w:val="Arial11"/>
    <w:pPr>
      <w:widowControl w:val="0"/>
      <w:suppressAutoHyphens/>
    </w:pPr>
    <w:rPr>
      <w:rFonts w:ascii="Arial" w:eastAsia="HG Mincho Light J" w:hAnsi="Arial"/>
      <w:color w:val="000000"/>
      <w:sz w:val="22"/>
      <w:szCs w:val="24"/>
      <w:lang w:val="fr-FR" w:bidi="ar-SA"/>
    </w:rPr>
  </w:style>
  <w:style w:type="paragraph" w:customStyle="1" w:styleId="Arial36">
    <w:name w:val="Arial36"/>
    <w:pPr>
      <w:widowControl w:val="0"/>
      <w:suppressAutoHyphens/>
      <w:jc w:val="center"/>
    </w:pPr>
    <w:rPr>
      <w:rFonts w:ascii="Arial" w:eastAsia="HG Mincho Light J" w:hAnsi="Arial"/>
      <w:color w:val="000000"/>
      <w:sz w:val="72"/>
      <w:szCs w:val="24"/>
      <w:lang w:val="fr-FR" w:bidi="ar-SA"/>
    </w:rPr>
  </w:style>
  <w:style w:type="paragraph" w:customStyle="1" w:styleId="Arial14">
    <w:name w:val="Arial14"/>
    <w:pPr>
      <w:widowControl w:val="0"/>
      <w:suppressAutoHyphens/>
      <w:jc w:val="center"/>
    </w:pPr>
    <w:rPr>
      <w:rFonts w:ascii="Arial" w:eastAsia="HG Mincho Light J" w:hAnsi="Arial"/>
      <w:color w:val="000000"/>
      <w:sz w:val="28"/>
      <w:szCs w:val="24"/>
      <w:lang w:val="fr-FR" w:bidi="ar-SA"/>
    </w:rPr>
  </w:style>
  <w:style w:type="paragraph" w:customStyle="1" w:styleId="Arial14B">
    <w:name w:val="Arial14B"/>
    <w:pPr>
      <w:widowControl w:val="0"/>
      <w:suppressAutoHyphens/>
      <w:jc w:val="center"/>
    </w:pPr>
    <w:rPr>
      <w:rFonts w:ascii="Arial" w:eastAsia="HG Mincho Light J" w:hAnsi="Arial"/>
      <w:b/>
      <w:color w:val="000000"/>
      <w:sz w:val="28"/>
      <w:szCs w:val="24"/>
      <w:lang w:val="fr-FR" w:bidi="ar-SA"/>
    </w:rPr>
  </w:style>
  <w:style w:type="paragraph" w:customStyle="1" w:styleId="Arial9">
    <w:name w:val="Arial9"/>
    <w:pPr>
      <w:widowControl w:val="0"/>
      <w:suppressAutoHyphens/>
    </w:pPr>
    <w:rPr>
      <w:rFonts w:ascii="Arial" w:eastAsia="HG Mincho Light J" w:hAnsi="Arial"/>
      <w:color w:val="000000"/>
      <w:sz w:val="18"/>
      <w:szCs w:val="24"/>
      <w:lang w:val="fr-FR" w:bidi="ar-SA"/>
    </w:rPr>
  </w:style>
  <w:style w:type="paragraph" w:customStyle="1" w:styleId="Arial9CoverPageReferences">
    <w:name w:val="Arial9CoverPageReferences"/>
    <w:basedOn w:val="Normal"/>
    <w:pPr>
      <w:tabs>
        <w:tab w:val="center" w:pos="4819"/>
        <w:tab w:val="right" w:pos="9637"/>
      </w:tabs>
    </w:pPr>
    <w:rPr>
      <w:rFonts w:ascii="Arial" w:hAnsi="Arial"/>
      <w:sz w:val="18"/>
    </w:rPr>
  </w:style>
  <w:style w:type="paragraph" w:customStyle="1" w:styleId="CoverPageLastLineSmall">
    <w:name w:val="CoverPageLastLineSmall"/>
    <w:basedOn w:val="Normal"/>
    <w:pPr>
      <w:tabs>
        <w:tab w:val="left" w:pos="2115"/>
        <w:tab w:val="left" w:pos="3390"/>
      </w:tabs>
      <w:jc w:val="center"/>
    </w:pPr>
    <w:rPr>
      <w:sz w:val="48"/>
    </w:rPr>
  </w:style>
  <w:style w:type="paragraph" w:customStyle="1" w:styleId="CoverPageLastLineLarge">
    <w:name w:val="CoverPageLastLineLarge"/>
    <w:basedOn w:val="Normal"/>
    <w:pPr>
      <w:tabs>
        <w:tab w:val="left" w:pos="1548"/>
        <w:tab w:val="left" w:pos="2823"/>
      </w:tabs>
      <w:jc w:val="center"/>
    </w:pPr>
    <w:rPr>
      <w:sz w:val="48"/>
    </w:rPr>
  </w:style>
  <w:style w:type="paragraph" w:customStyle="1" w:styleId="HorizontalLineSolid">
    <w:name w:val="Horizontal Line Solid"/>
    <w:basedOn w:val="HorizontalLine"/>
    <w:next w:val="BodyText"/>
    <w:pPr>
      <w:pBdr>
        <w:top w:val="none" w:sz="0" w:space="0" w:color="auto"/>
        <w:left w:val="none" w:sz="0" w:space="0" w:color="auto"/>
        <w:bottom w:val="single" w:sz="8" w:space="1" w:color="000000"/>
        <w:right w:val="none" w:sz="0" w:space="0" w:color="auto"/>
      </w:pBdr>
      <w:spacing w:before="0" w:after="57"/>
    </w:pPr>
  </w:style>
  <w:style w:type="paragraph" w:styleId="TOC2">
    <w:name w:val="toc 2"/>
    <w:basedOn w:val="Index"/>
    <w:uiPriority w:val="39"/>
    <w:pPr>
      <w:tabs>
        <w:tab w:val="right" w:leader="dot" w:pos="9638"/>
      </w:tabs>
      <w:ind w:left="283" w:right="0" w:firstLine="0"/>
    </w:p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7854</Words>
  <Characters>44774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52523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cp:lastPrinted>1601-01-01T00:06:31Z</cp:lastPrinted>
  <dcterms:created xsi:type="dcterms:W3CDTF">2026-10-09T10:33:00Z</dcterms:created>
  <dcterms:modified xsi:type="dcterms:W3CDTF">2026-10-09T10:33:00Z</dcterms:modified>
</cp:coreProperties>
</file>