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FootnoteReference"/>
        <w:tblW w:w="94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7655"/>
      </w:tblGrid>
      <w:tr w:rsidR="00401C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/>
        </w:trPr>
        <w:tc>
          <w:tcPr>
            <w:tcW w:w="1814" w:type="dxa"/>
          </w:tcPr>
          <w:p w:rsidR="00401C5A" w:rsidRDefault="00EB60F3">
            <w:pPr>
              <w:jc w:val="left"/>
              <w:rPr>
                <w:lang w:val="en-GB"/>
              </w:rPr>
            </w:pPr>
            <w:bookmarkStart w:id="0" w:name="_GoBack"/>
            <w:bookmarkEnd w:id="0"/>
            <w:r>
              <w:rPr>
                <w:noProof/>
                <w:sz w:val="20"/>
                <w:szCs w:val="20"/>
                <w:lang w:val="en-GB"/>
              </w:rPr>
              <w:drawing>
                <wp:inline distT="0" distB="0" distL="0" distR="0">
                  <wp:extent cx="1009650" cy="6718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7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401C5A" w:rsidRDefault="00401C5A">
            <w:pPr>
              <w:pStyle w:val="ZCom"/>
              <w:widowControl/>
              <w:rPr>
                <w:lang w:val="en-GB"/>
              </w:rPr>
            </w:pPr>
            <w:r>
              <w:rPr>
                <w:lang w:val="en-GB"/>
              </w:rPr>
              <w:t>EUROPEAN COMMISSION</w:t>
            </w:r>
          </w:p>
          <w:p w:rsidR="00401C5A" w:rsidRDefault="00401C5A">
            <w:pPr>
              <w:pStyle w:val="ZDGName"/>
              <w:widowControl/>
              <w:rPr>
                <w:lang w:val="en-GB"/>
              </w:rPr>
            </w:pPr>
            <w:r>
              <w:rPr>
                <w:lang w:val="en-GB"/>
              </w:rPr>
              <w:t>SECRETARIAT-GENERAL</w:t>
            </w:r>
          </w:p>
          <w:p w:rsidR="00401C5A" w:rsidRDefault="00401C5A">
            <w:pPr>
              <w:pStyle w:val="ZDGName"/>
              <w:widowControl/>
              <w:rPr>
                <w:lang w:val="en-GB"/>
              </w:rPr>
            </w:pPr>
            <w:r>
              <w:rPr>
                <w:lang w:val="en-GB"/>
              </w:rPr>
              <w:t>Directorate E</w:t>
            </w:r>
          </w:p>
          <w:p w:rsidR="00401C5A" w:rsidRDefault="00401C5A">
            <w:pPr>
              <w:pStyle w:val="ZDGName"/>
              <w:widowControl/>
              <w:rPr>
                <w:lang w:val="en-GB"/>
              </w:rPr>
            </w:pPr>
            <w:r>
              <w:rPr>
                <w:b/>
                <w:bCs/>
                <w:lang w:val="en-GB"/>
              </w:rPr>
              <w:t>Relations with the European Parliament, the European Ombudsman, the European Economic and Social Committee and the Committee of the Regions</w:t>
            </w:r>
          </w:p>
          <w:p w:rsidR="00401C5A" w:rsidRDefault="00401C5A">
            <w:pPr>
              <w:spacing w:after="0"/>
              <w:rPr>
                <w:lang w:val="en-GB"/>
              </w:rPr>
            </w:pPr>
          </w:p>
        </w:tc>
      </w:tr>
    </w:tbl>
    <w:p w:rsidR="00401C5A" w:rsidRDefault="00401C5A">
      <w:pPr>
        <w:pStyle w:val="Date"/>
        <w:rPr>
          <w:lang w:val="en-GB"/>
        </w:rPr>
      </w:pPr>
      <w:r>
        <w:rPr>
          <w:lang w:val="en-GB"/>
        </w:rPr>
        <w:t>Brussels, 11 November 2004</w:t>
      </w:r>
    </w:p>
    <w:p w:rsidR="00401C5A" w:rsidRDefault="00401C5A">
      <w:pPr>
        <w:pStyle w:val="References"/>
        <w:rPr>
          <w:lang w:val="en-GB"/>
        </w:rPr>
      </w:pPr>
    </w:p>
    <w:tbl>
      <w:tblPr>
        <w:tblStyle w:val="FootnoteReferenc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976"/>
        <w:gridCol w:w="786"/>
      </w:tblGrid>
      <w:tr w:rsidR="00401C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401C5A" w:rsidRDefault="00401C5A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SP(2004)2832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401C5A" w:rsidRDefault="00401C5A">
            <w:pPr>
              <w:spacing w:after="0"/>
              <w:rPr>
                <w:lang w:val="en-GB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01C5A" w:rsidRDefault="00401C5A">
            <w:pPr>
              <w:rPr>
                <w:lang w:val="en-GB"/>
              </w:rPr>
            </w:pPr>
          </w:p>
        </w:tc>
      </w:tr>
    </w:tbl>
    <w:p w:rsidR="00401C5A" w:rsidRDefault="00401C5A">
      <w:pPr>
        <w:spacing w:after="120"/>
        <w:rPr>
          <w:sz w:val="48"/>
          <w:szCs w:val="48"/>
          <w:lang w:val="en-GB"/>
        </w:rPr>
      </w:pPr>
    </w:p>
    <w:p w:rsidR="00401C5A" w:rsidRDefault="00401C5A">
      <w:pPr>
        <w:jc w:val="center"/>
        <w:rPr>
          <w:b/>
          <w:bCs/>
          <w:sz w:val="48"/>
          <w:szCs w:val="48"/>
          <w:lang w:val="en-GB"/>
        </w:rPr>
      </w:pPr>
    </w:p>
    <w:p w:rsidR="00401C5A" w:rsidRDefault="00401C5A">
      <w:pPr>
        <w:spacing w:after="0"/>
        <w:jc w:val="center"/>
        <w:rPr>
          <w:lang w:val="en-GB"/>
        </w:rPr>
      </w:pPr>
      <w:r>
        <w:rPr>
          <w:b/>
          <w:bCs/>
          <w:sz w:val="48"/>
          <w:szCs w:val="48"/>
          <w:lang w:val="en-GB"/>
        </w:rPr>
        <w:t>Communication from the Commission</w:t>
      </w:r>
    </w:p>
    <w:p w:rsidR="00401C5A" w:rsidRDefault="00401C5A">
      <w:pPr>
        <w:jc w:val="center"/>
        <w:rPr>
          <w:lang w:val="en-GB"/>
        </w:rPr>
      </w:pPr>
      <w:r>
        <w:rPr>
          <w:b/>
          <w:bCs/>
          <w:sz w:val="48"/>
          <w:szCs w:val="48"/>
          <w:lang w:val="en-GB"/>
        </w:rPr>
        <w:t>on the action taken on opinions and resolutions adopted by Parliament at the October 2004 I and II part-sessions</w:t>
      </w:r>
    </w:p>
    <w:p w:rsidR="00401C5A" w:rsidRDefault="00401C5A">
      <w:pPr>
        <w:rPr>
          <w:b/>
          <w:bCs/>
          <w:lang w:val="en-GB"/>
        </w:rPr>
      </w:pPr>
      <w:r>
        <w:rPr>
          <w:lang w:val="en-GB"/>
        </w:rPr>
        <w:br w:type="page"/>
      </w:r>
    </w:p>
    <w:p w:rsidR="00401C5A" w:rsidRDefault="00401C5A">
      <w:pPr>
        <w:rPr>
          <w:b/>
          <w:bCs/>
          <w:smallCaps/>
          <w:lang w:val="en-GB"/>
        </w:rPr>
      </w:pPr>
      <w:r>
        <w:rPr>
          <w:b/>
          <w:bCs/>
          <w:smallCaps/>
          <w:lang w:val="en-GB"/>
        </w:rPr>
        <w:lastRenderedPageBreak/>
        <w:t>The first part of this communication informs Parliament of the action taken by the Commission on amendments to proposed legislation adopted by Parliament during the October 2004 I and II part-sessions.</w:t>
      </w:r>
    </w:p>
    <w:p w:rsidR="00401C5A" w:rsidRDefault="00401C5A">
      <w:pPr>
        <w:rPr>
          <w:b/>
          <w:bCs/>
          <w:smallCaps/>
          <w:lang w:val="en-GB"/>
        </w:rPr>
      </w:pPr>
      <w:r>
        <w:rPr>
          <w:b/>
          <w:bCs/>
          <w:smallCaps/>
          <w:lang w:val="en-GB"/>
        </w:rPr>
        <w:t>In the second part, the Commission lists a number of non-legislative resolutions adopted by Parliament during the same part-sessions, with an explanation as to why it will not be responding formally.</w:t>
      </w:r>
    </w:p>
    <w:p w:rsidR="00401C5A" w:rsidRDefault="00401C5A">
      <w:pPr>
        <w:spacing w:after="0"/>
        <w:rPr>
          <w:b/>
          <w:bCs/>
          <w:smallCaps/>
          <w:lang w:val="en-GB"/>
        </w:rPr>
      </w:pPr>
      <w:r>
        <w:rPr>
          <w:b/>
          <w:bCs/>
          <w:smallCaps/>
          <w:lang w:val="en-GB"/>
        </w:rPr>
        <w:br w:type="page"/>
      </w:r>
    </w:p>
    <w:p w:rsidR="00401C5A" w:rsidRDefault="00401C5A">
      <w:pPr>
        <w:spacing w:after="0"/>
        <w:jc w:val="center"/>
        <w:rPr>
          <w:b/>
          <w:bCs/>
          <w:lang w:val="en-GB"/>
        </w:rPr>
      </w:pPr>
    </w:p>
    <w:p w:rsidR="00401C5A" w:rsidRDefault="00401C5A">
      <w:pPr>
        <w:spacing w:after="0"/>
        <w:jc w:val="center"/>
        <w:rPr>
          <w:b/>
          <w:bCs/>
          <w:lang w:val="en-GB"/>
        </w:rPr>
      </w:pPr>
      <w:r>
        <w:rPr>
          <w:b/>
          <w:bCs/>
          <w:lang w:val="en-GB"/>
        </w:rPr>
        <w:t>CONTENTS</w:t>
      </w:r>
    </w:p>
    <w:p w:rsidR="00401C5A" w:rsidRDefault="00401C5A">
      <w:pPr>
        <w:spacing w:after="0"/>
        <w:jc w:val="center"/>
        <w:rPr>
          <w:lang w:val="en-GB"/>
        </w:rPr>
      </w:pPr>
    </w:p>
    <w:p w:rsidR="00401C5A" w:rsidRDefault="00401C5A">
      <w:pPr>
        <w:spacing w:after="0"/>
        <w:jc w:val="center"/>
        <w:rPr>
          <w:lang w:val="en-GB"/>
        </w:rPr>
      </w:pPr>
    </w:p>
    <w:p w:rsidR="00401C5A" w:rsidRDefault="00401C5A">
      <w:pPr>
        <w:spacing w:after="0"/>
        <w:jc w:val="center"/>
        <w:rPr>
          <w:lang w:val="en-GB"/>
        </w:rPr>
      </w:pPr>
    </w:p>
    <w:p w:rsidR="00401C5A" w:rsidRDefault="00401C5A">
      <w:pPr>
        <w:spacing w:after="0"/>
        <w:jc w:val="center"/>
        <w:rPr>
          <w:lang w:val="en-GB"/>
        </w:rPr>
      </w:pPr>
    </w:p>
    <w:tbl>
      <w:tblPr>
        <w:tblStyle w:val="FootnoteReference"/>
        <w:tblW w:w="0" w:type="auto"/>
        <w:tblLayout w:type="fixed"/>
        <w:tblLook w:val="0000" w:firstRow="0" w:lastRow="0" w:firstColumn="0" w:lastColumn="0" w:noHBand="0" w:noVBand="0"/>
      </w:tblPr>
      <w:tblGrid>
        <w:gridCol w:w="7621"/>
        <w:gridCol w:w="1134"/>
      </w:tblGrid>
      <w:tr w:rsidR="00401C5A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401C5A" w:rsidRDefault="00401C5A">
            <w:pPr>
              <w:spacing w:after="0"/>
              <w:rPr>
                <w:b/>
                <w:bCs/>
                <w:lang w:val="en-GB"/>
              </w:rPr>
            </w:pPr>
          </w:p>
          <w:p w:rsidR="00401C5A" w:rsidRDefault="00401C5A">
            <w:pPr>
              <w:spacing w:after="0"/>
              <w:rPr>
                <w:b/>
                <w:bCs/>
                <w:lang w:val="en-GB"/>
              </w:rPr>
            </w:pPr>
          </w:p>
          <w:p w:rsidR="00401C5A" w:rsidRDefault="00401C5A">
            <w:pPr>
              <w:spacing w:after="0"/>
              <w:rPr>
                <w:b/>
                <w:bCs/>
                <w:smallCaps/>
                <w:lang w:val="en-GB"/>
              </w:rPr>
            </w:pPr>
            <w:r>
              <w:rPr>
                <w:b/>
                <w:bCs/>
                <w:lang w:val="en-GB"/>
              </w:rPr>
              <w:t>PART ONE - Legislative opinions</w:t>
            </w:r>
          </w:p>
          <w:p w:rsidR="00401C5A" w:rsidRDefault="00401C5A">
            <w:pPr>
              <w:spacing w:after="0"/>
              <w:rPr>
                <w:b/>
                <w:bCs/>
                <w:lang w:val="en-GB"/>
              </w:rPr>
            </w:pPr>
          </w:p>
        </w:tc>
        <w:tc>
          <w:tcPr>
            <w:tcW w:w="1134" w:type="dxa"/>
          </w:tcPr>
          <w:p w:rsidR="00401C5A" w:rsidRDefault="00401C5A">
            <w:pPr>
              <w:spacing w:after="0"/>
              <w:jc w:val="right"/>
              <w:rPr>
                <w:b/>
                <w:bCs/>
                <w:lang w:val="en-GB"/>
              </w:rPr>
            </w:pPr>
          </w:p>
          <w:p w:rsidR="00401C5A" w:rsidRDefault="00401C5A">
            <w:pPr>
              <w:spacing w:after="0"/>
              <w:jc w:val="right"/>
              <w:rPr>
                <w:b/>
                <w:bCs/>
                <w:lang w:val="en-GB"/>
              </w:rPr>
            </w:pPr>
          </w:p>
          <w:p w:rsidR="00401C5A" w:rsidRDefault="00401C5A">
            <w:pPr>
              <w:spacing w:after="0"/>
              <w:jc w:val="righ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4</w:t>
            </w:r>
          </w:p>
        </w:tc>
      </w:tr>
      <w:tr w:rsidR="00401C5A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401C5A" w:rsidRDefault="00401C5A">
            <w:pPr>
              <w:spacing w:after="0"/>
              <w:rPr>
                <w:b/>
                <w:bCs/>
                <w:smallCaps/>
                <w:lang w:val="en-GB"/>
              </w:rPr>
            </w:pPr>
          </w:p>
          <w:p w:rsidR="00401C5A" w:rsidRDefault="00401C5A">
            <w:pPr>
              <w:spacing w:after="0"/>
              <w:rPr>
                <w:b/>
                <w:bCs/>
                <w:smallCaps/>
                <w:lang w:val="en-GB"/>
              </w:rPr>
            </w:pPr>
          </w:p>
          <w:p w:rsidR="00401C5A" w:rsidRDefault="00401C5A">
            <w:pPr>
              <w:spacing w:after="0"/>
              <w:rPr>
                <w:b/>
                <w:bCs/>
                <w:smallCaps/>
                <w:lang w:val="en-GB"/>
              </w:rPr>
            </w:pPr>
            <w:r>
              <w:rPr>
                <w:b/>
                <w:bCs/>
                <w:smallCaps/>
                <w:lang w:val="en-GB"/>
              </w:rPr>
              <w:t>Codecision procedure - First reading</w:t>
            </w:r>
          </w:p>
          <w:p w:rsidR="00401C5A" w:rsidRDefault="00401C5A">
            <w:pPr>
              <w:spacing w:after="0"/>
              <w:rPr>
                <w:b/>
                <w:bCs/>
                <w:smallCaps/>
                <w:lang w:val="en-GB"/>
              </w:rPr>
            </w:pPr>
          </w:p>
        </w:tc>
        <w:tc>
          <w:tcPr>
            <w:tcW w:w="1134" w:type="dxa"/>
          </w:tcPr>
          <w:p w:rsidR="00401C5A" w:rsidRDefault="00401C5A">
            <w:pPr>
              <w:spacing w:after="0"/>
              <w:jc w:val="right"/>
              <w:rPr>
                <w:lang w:val="en-GB"/>
              </w:rPr>
            </w:pPr>
          </w:p>
        </w:tc>
      </w:tr>
      <w:tr w:rsidR="00401C5A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401C5A" w:rsidRDefault="00401C5A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Operations to aid uprooted people in Asian and Latin American developing countries</w:t>
            </w:r>
          </w:p>
          <w:p w:rsidR="00401C5A" w:rsidRDefault="00401C5A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Luisa MORGANTINI – A6-0018/2004</w:t>
            </w:r>
          </w:p>
          <w:p w:rsidR="00401C5A" w:rsidRDefault="00401C5A">
            <w:pPr>
              <w:spacing w:after="0"/>
              <w:rPr>
                <w:b/>
                <w:bCs/>
                <w:smallCaps/>
                <w:lang w:val="en-GB"/>
              </w:rPr>
            </w:pPr>
          </w:p>
        </w:tc>
        <w:tc>
          <w:tcPr>
            <w:tcW w:w="1134" w:type="dxa"/>
          </w:tcPr>
          <w:p w:rsidR="00401C5A" w:rsidRDefault="00401C5A">
            <w:pPr>
              <w:spacing w:after="0"/>
              <w:jc w:val="right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</w:tr>
      <w:tr w:rsidR="00401C5A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401C5A" w:rsidRDefault="00401C5A">
            <w:pPr>
              <w:spacing w:after="0"/>
              <w:rPr>
                <w:b/>
                <w:bCs/>
                <w:lang w:val="en-GB"/>
              </w:rPr>
            </w:pPr>
          </w:p>
          <w:p w:rsidR="00401C5A" w:rsidRDefault="00401C5A">
            <w:pPr>
              <w:spacing w:after="0"/>
              <w:rPr>
                <w:b/>
                <w:bCs/>
                <w:lang w:val="en-GB"/>
              </w:rPr>
            </w:pPr>
          </w:p>
          <w:p w:rsidR="00401C5A" w:rsidRDefault="00401C5A">
            <w:pPr>
              <w:spacing w:after="0"/>
              <w:rPr>
                <w:b/>
                <w:bCs/>
                <w:smallCaps/>
                <w:lang w:val="en-GB"/>
              </w:rPr>
            </w:pPr>
            <w:r>
              <w:rPr>
                <w:b/>
                <w:bCs/>
                <w:lang w:val="en-GB"/>
              </w:rPr>
              <w:t>PART TWO - Non-legislative resolutions</w:t>
            </w:r>
          </w:p>
          <w:p w:rsidR="00401C5A" w:rsidRDefault="00401C5A">
            <w:pPr>
              <w:spacing w:after="0"/>
              <w:rPr>
                <w:lang w:val="en-GB"/>
              </w:rPr>
            </w:pPr>
          </w:p>
        </w:tc>
        <w:tc>
          <w:tcPr>
            <w:tcW w:w="1134" w:type="dxa"/>
          </w:tcPr>
          <w:p w:rsidR="00401C5A" w:rsidRDefault="00401C5A">
            <w:pPr>
              <w:spacing w:after="0"/>
              <w:jc w:val="right"/>
              <w:rPr>
                <w:b/>
                <w:bCs/>
                <w:lang w:val="en-GB"/>
              </w:rPr>
            </w:pPr>
          </w:p>
          <w:p w:rsidR="00401C5A" w:rsidRDefault="00401C5A">
            <w:pPr>
              <w:spacing w:after="0"/>
              <w:jc w:val="right"/>
              <w:rPr>
                <w:b/>
                <w:bCs/>
                <w:lang w:val="en-GB"/>
              </w:rPr>
            </w:pPr>
          </w:p>
          <w:p w:rsidR="00401C5A" w:rsidRDefault="00401C5A">
            <w:pPr>
              <w:spacing w:after="0"/>
              <w:jc w:val="righ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6</w:t>
            </w:r>
          </w:p>
          <w:p w:rsidR="00401C5A" w:rsidRDefault="00401C5A">
            <w:pPr>
              <w:spacing w:after="0"/>
              <w:jc w:val="right"/>
              <w:rPr>
                <w:b/>
                <w:bCs/>
                <w:lang w:val="en-GB"/>
              </w:rPr>
            </w:pPr>
          </w:p>
        </w:tc>
      </w:tr>
    </w:tbl>
    <w:p w:rsidR="00401C5A" w:rsidRDefault="00401C5A">
      <w:pPr>
        <w:pStyle w:val="Initial"/>
        <w:tabs>
          <w:tab w:val="clear" w:pos="-720"/>
        </w:tabs>
        <w:spacing w:after="240"/>
        <w:rPr>
          <w:b/>
          <w:bCs/>
          <w:smallCaps/>
          <w:lang w:val="en-GB"/>
        </w:rPr>
      </w:pPr>
    </w:p>
    <w:p w:rsidR="00401C5A" w:rsidRDefault="00401C5A">
      <w:pPr>
        <w:rPr>
          <w:lang w:val="en-GB"/>
        </w:rPr>
      </w:pPr>
    </w:p>
    <w:p w:rsidR="00401C5A" w:rsidRDefault="00401C5A">
      <w:pPr>
        <w:jc w:val="left"/>
        <w:rPr>
          <w:lang w:val="en-GB"/>
        </w:rPr>
      </w:pPr>
      <w:r>
        <w:rPr>
          <w:lang w:val="en-GB"/>
        </w:rPr>
        <w:br w:type="page"/>
      </w:r>
    </w:p>
    <w:p w:rsidR="00401C5A" w:rsidRDefault="00401C5A">
      <w:pPr>
        <w:jc w:val="left"/>
        <w:rPr>
          <w:lang w:val="en-GB"/>
        </w:rPr>
      </w:pPr>
    </w:p>
    <w:p w:rsidR="00401C5A" w:rsidRDefault="00401C5A">
      <w:pPr>
        <w:jc w:val="center"/>
        <w:rPr>
          <w:sz w:val="48"/>
          <w:szCs w:val="48"/>
          <w:lang w:val="en-GB"/>
        </w:rPr>
      </w:pPr>
    </w:p>
    <w:p w:rsidR="00401C5A" w:rsidRDefault="00401C5A">
      <w:pPr>
        <w:jc w:val="center"/>
        <w:rPr>
          <w:b/>
          <w:bCs/>
          <w:smallCaps/>
          <w:sz w:val="48"/>
          <w:szCs w:val="48"/>
          <w:lang w:val="en-GB"/>
        </w:rPr>
      </w:pPr>
    </w:p>
    <w:p w:rsidR="00401C5A" w:rsidRDefault="00401C5A">
      <w:pPr>
        <w:jc w:val="center"/>
        <w:rPr>
          <w:b/>
          <w:bCs/>
          <w:smallCaps/>
          <w:sz w:val="48"/>
          <w:szCs w:val="48"/>
          <w:lang w:val="en-GB"/>
        </w:rPr>
      </w:pPr>
    </w:p>
    <w:p w:rsidR="00401C5A" w:rsidRDefault="00401C5A">
      <w:pPr>
        <w:jc w:val="center"/>
        <w:rPr>
          <w:b/>
          <w:bCs/>
          <w:smallCaps/>
          <w:sz w:val="48"/>
          <w:szCs w:val="48"/>
          <w:lang w:val="en-GB"/>
        </w:rPr>
      </w:pPr>
    </w:p>
    <w:p w:rsidR="00401C5A" w:rsidRDefault="00401C5A">
      <w:pPr>
        <w:jc w:val="center"/>
        <w:rPr>
          <w:b/>
          <w:bCs/>
          <w:smallCaps/>
          <w:sz w:val="48"/>
          <w:szCs w:val="48"/>
          <w:lang w:val="en-GB"/>
        </w:rPr>
      </w:pPr>
    </w:p>
    <w:p w:rsidR="00401C5A" w:rsidRDefault="00401C5A">
      <w:pPr>
        <w:spacing w:after="0"/>
        <w:jc w:val="center"/>
        <w:rPr>
          <w:lang w:val="en-GB"/>
        </w:rPr>
      </w:pPr>
      <w:r>
        <w:rPr>
          <w:b/>
          <w:bCs/>
          <w:sz w:val="48"/>
          <w:szCs w:val="48"/>
          <w:lang w:val="en-GB"/>
        </w:rPr>
        <w:t>Part One</w:t>
      </w:r>
    </w:p>
    <w:p w:rsidR="00401C5A" w:rsidRDefault="00401C5A">
      <w:pPr>
        <w:spacing w:after="0"/>
        <w:jc w:val="center"/>
        <w:rPr>
          <w:lang w:val="en-GB"/>
        </w:rPr>
      </w:pPr>
    </w:p>
    <w:p w:rsidR="00401C5A" w:rsidRDefault="00401C5A">
      <w:pPr>
        <w:jc w:val="center"/>
        <w:rPr>
          <w:lang w:val="en-GB"/>
        </w:rPr>
      </w:pPr>
      <w:r>
        <w:rPr>
          <w:b/>
          <w:bCs/>
          <w:sz w:val="48"/>
          <w:szCs w:val="48"/>
          <w:lang w:val="en-GB"/>
        </w:rPr>
        <w:t>Legislative opinions</w:t>
      </w:r>
    </w:p>
    <w:p w:rsidR="00401C5A" w:rsidRDefault="00401C5A">
      <w:pPr>
        <w:pStyle w:val="Initial"/>
        <w:tabs>
          <w:tab w:val="clear" w:pos="-720"/>
        </w:tabs>
        <w:spacing w:after="240"/>
        <w:jc w:val="center"/>
        <w:rPr>
          <w:lang w:val="en-GB"/>
        </w:rPr>
      </w:pPr>
      <w:r>
        <w:rPr>
          <w:lang w:val="en-GB"/>
        </w:rPr>
        <w:br w:type="page"/>
      </w:r>
    </w:p>
    <w:p w:rsidR="00401C5A" w:rsidRDefault="00401C5A">
      <w:pPr>
        <w:jc w:val="center"/>
        <w:rPr>
          <w:lang w:val="en-GB"/>
        </w:rPr>
      </w:pPr>
      <w:r>
        <w:rPr>
          <w:b/>
          <w:bCs/>
          <w:noProof/>
          <w:lang w:val="en-GB"/>
        </w:rPr>
        <w:t xml:space="preserve">CODECISION </w:t>
      </w:r>
      <w:r>
        <w:rPr>
          <w:b/>
          <w:bCs/>
          <w:caps/>
          <w:noProof/>
          <w:lang w:val="en-GB"/>
        </w:rPr>
        <w:t>procedure</w:t>
      </w:r>
      <w:r>
        <w:rPr>
          <w:b/>
          <w:bCs/>
          <w:noProof/>
          <w:lang w:val="en-GB"/>
        </w:rPr>
        <w:t xml:space="preserve"> - First reading</w:t>
      </w:r>
    </w:p>
    <w:p w:rsidR="00401C5A" w:rsidRDefault="00401C5A">
      <w:pPr>
        <w:jc w:val="center"/>
        <w:rPr>
          <w:b/>
          <w:bCs/>
          <w:lang w:val="en-GB"/>
        </w:rPr>
      </w:pPr>
      <w:r>
        <w:rPr>
          <w:b/>
          <w:bCs/>
          <w:noProof/>
          <w:lang w:val="en-GB"/>
        </w:rPr>
        <w:t>European Parliament and Council proposal for a regulation amending Regulation</w:t>
      </w:r>
      <w:r>
        <w:rPr>
          <w:b/>
          <w:bCs/>
          <w:noProof/>
          <w:lang w:val="en-GB"/>
        </w:rPr>
        <w:br/>
        <w:t>(EC) No 2130/2001 on operations to aid uprooted people in Asian and Latin American developing countries</w:t>
      </w:r>
    </w:p>
    <w:p w:rsidR="00401C5A" w:rsidRDefault="00401C5A">
      <w:pPr>
        <w:rPr>
          <w:lang w:val="en-GB"/>
        </w:rPr>
      </w:pPr>
    </w:p>
    <w:p w:rsidR="00401C5A" w:rsidRDefault="00401C5A">
      <w:pPr>
        <w:rPr>
          <w:b/>
          <w:bCs/>
          <w:lang w:val="en-GB"/>
        </w:rPr>
      </w:pPr>
    </w:p>
    <w:p w:rsidR="00401C5A" w:rsidRPr="00122EE4" w:rsidRDefault="00401C5A">
      <w:r w:rsidRPr="00122EE4">
        <w:rPr>
          <w:b/>
          <w:bCs/>
        </w:rPr>
        <w:t>1.</w:t>
      </w:r>
      <w:r w:rsidRPr="00122EE4">
        <w:rPr>
          <w:b/>
          <w:bCs/>
        </w:rPr>
        <w:tab/>
      </w:r>
      <w:r w:rsidRPr="00122EE4">
        <w:rPr>
          <w:b/>
          <w:bCs/>
          <w:noProof/>
        </w:rPr>
        <w:t xml:space="preserve">Rapporteur: </w:t>
      </w:r>
      <w:r w:rsidRPr="00122EE4">
        <w:rPr>
          <w:noProof/>
        </w:rPr>
        <w:t>Luisa Morgantini</w:t>
      </w:r>
    </w:p>
    <w:p w:rsidR="00401C5A" w:rsidRPr="00122EE4" w:rsidRDefault="00401C5A">
      <w:r w:rsidRPr="00122EE4">
        <w:rPr>
          <w:b/>
          <w:bCs/>
        </w:rPr>
        <w:t>2.</w:t>
      </w:r>
      <w:r w:rsidRPr="00122EE4">
        <w:rPr>
          <w:b/>
          <w:bCs/>
        </w:rPr>
        <w:tab/>
      </w:r>
      <w:r w:rsidRPr="00122EE4">
        <w:rPr>
          <w:b/>
          <w:bCs/>
          <w:noProof/>
        </w:rPr>
        <w:t xml:space="preserve">EP No: </w:t>
      </w:r>
      <w:r w:rsidRPr="00122EE4">
        <w:rPr>
          <w:noProof/>
        </w:rPr>
        <w:t>A6-0018/2004</w:t>
      </w:r>
    </w:p>
    <w:p w:rsidR="00401C5A" w:rsidRDefault="00401C5A">
      <w:pPr>
        <w:rPr>
          <w:lang w:val="en-GB"/>
        </w:rPr>
      </w:pPr>
      <w:r>
        <w:rPr>
          <w:b/>
          <w:bCs/>
          <w:lang w:val="en-GB"/>
        </w:rPr>
        <w:t>3.</w:t>
      </w:r>
      <w:r>
        <w:rPr>
          <w:b/>
          <w:bCs/>
          <w:lang w:val="en-GB"/>
        </w:rPr>
        <w:tab/>
      </w:r>
      <w:r>
        <w:rPr>
          <w:b/>
          <w:bCs/>
          <w:noProof/>
          <w:lang w:val="en-GB"/>
        </w:rPr>
        <w:t xml:space="preserve">Date of adoption of the report: </w:t>
      </w:r>
      <w:r>
        <w:rPr>
          <w:noProof/>
          <w:lang w:val="en-GB"/>
        </w:rPr>
        <w:t>26 October 2004</w:t>
      </w:r>
    </w:p>
    <w:p w:rsidR="00401C5A" w:rsidRDefault="00401C5A">
      <w:pPr>
        <w:rPr>
          <w:b/>
          <w:bCs/>
          <w:lang w:val="en-GB"/>
        </w:rPr>
      </w:pPr>
      <w:r>
        <w:rPr>
          <w:b/>
          <w:bCs/>
          <w:lang w:val="en-GB"/>
        </w:rPr>
        <w:t>4.</w:t>
      </w:r>
      <w:r>
        <w:rPr>
          <w:b/>
          <w:bCs/>
          <w:lang w:val="en-GB"/>
        </w:rPr>
        <w:tab/>
      </w:r>
      <w:r>
        <w:rPr>
          <w:b/>
          <w:bCs/>
          <w:noProof/>
          <w:lang w:val="en-GB"/>
        </w:rPr>
        <w:t>Subject:</w:t>
      </w:r>
    </w:p>
    <w:p w:rsidR="00401C5A" w:rsidRDefault="00401C5A">
      <w:pPr>
        <w:rPr>
          <w:lang w:val="en-GB"/>
        </w:rPr>
      </w:pPr>
      <w:r>
        <w:rPr>
          <w:noProof/>
          <w:lang w:val="en-GB"/>
        </w:rPr>
        <w:t>European Parliament and Council proposal for a regulation amending Regulation (EC) N</w:t>
      </w:r>
      <w:r w:rsidR="00E85C35">
        <w:rPr>
          <w:noProof/>
          <w:lang w:val="en-GB"/>
        </w:rPr>
        <w:t>o </w:t>
      </w:r>
      <w:r>
        <w:rPr>
          <w:noProof/>
          <w:lang w:val="en-GB"/>
        </w:rPr>
        <w:t>2130/2001 on operations to aid uprooted people in Asian and Latin American developing countries (COM(2004)0126)</w:t>
      </w:r>
    </w:p>
    <w:p w:rsidR="00401C5A" w:rsidRDefault="00401C5A">
      <w:pPr>
        <w:rPr>
          <w:lang w:val="en-GB"/>
        </w:rPr>
      </w:pPr>
      <w:r>
        <w:rPr>
          <w:b/>
          <w:bCs/>
          <w:lang w:val="en-GB"/>
        </w:rPr>
        <w:t>5.</w:t>
      </w:r>
      <w:r>
        <w:rPr>
          <w:b/>
          <w:bCs/>
          <w:lang w:val="en-GB"/>
        </w:rPr>
        <w:tab/>
      </w:r>
      <w:r>
        <w:rPr>
          <w:b/>
          <w:bCs/>
          <w:noProof/>
          <w:lang w:val="en-GB"/>
        </w:rPr>
        <w:t xml:space="preserve">Inter-institutional references: </w:t>
      </w:r>
      <w:r>
        <w:rPr>
          <w:noProof/>
          <w:lang w:val="en-GB"/>
        </w:rPr>
        <w:t>2004/0040(COD)</w:t>
      </w:r>
    </w:p>
    <w:p w:rsidR="00401C5A" w:rsidRDefault="00401C5A">
      <w:pPr>
        <w:rPr>
          <w:lang w:val="en-GB"/>
        </w:rPr>
      </w:pPr>
      <w:r>
        <w:rPr>
          <w:b/>
          <w:bCs/>
          <w:lang w:val="en-GB"/>
        </w:rPr>
        <w:t>6.</w:t>
      </w:r>
      <w:r>
        <w:rPr>
          <w:b/>
          <w:bCs/>
          <w:lang w:val="en-GB"/>
        </w:rPr>
        <w:tab/>
      </w:r>
      <w:r>
        <w:rPr>
          <w:b/>
          <w:bCs/>
          <w:noProof/>
          <w:lang w:val="en-GB"/>
        </w:rPr>
        <w:t xml:space="preserve">Legal basis: </w:t>
      </w:r>
      <w:r>
        <w:rPr>
          <w:noProof/>
          <w:lang w:val="en-GB"/>
        </w:rPr>
        <w:t>Regulation (EC) No 2130/2001</w:t>
      </w:r>
    </w:p>
    <w:p w:rsidR="00401C5A" w:rsidRDefault="00401C5A">
      <w:pPr>
        <w:rPr>
          <w:lang w:val="en-GB"/>
        </w:rPr>
      </w:pPr>
      <w:r>
        <w:rPr>
          <w:b/>
          <w:bCs/>
          <w:lang w:val="en-GB"/>
        </w:rPr>
        <w:t>7.</w:t>
      </w:r>
      <w:r>
        <w:rPr>
          <w:b/>
          <w:bCs/>
          <w:lang w:val="en-GB"/>
        </w:rPr>
        <w:tab/>
      </w:r>
      <w:r>
        <w:rPr>
          <w:b/>
          <w:bCs/>
          <w:noProof/>
          <w:lang w:val="en-GB"/>
        </w:rPr>
        <w:t xml:space="preserve">Competent parliamentary committee: </w:t>
      </w:r>
      <w:r>
        <w:rPr>
          <w:noProof/>
          <w:lang w:val="en-GB"/>
        </w:rPr>
        <w:t>Committee on Development</w:t>
      </w:r>
    </w:p>
    <w:p w:rsidR="00401C5A" w:rsidRDefault="00401C5A">
      <w:pPr>
        <w:rPr>
          <w:b/>
          <w:bCs/>
          <w:lang w:val="en-GB"/>
        </w:rPr>
      </w:pPr>
      <w:r>
        <w:rPr>
          <w:b/>
          <w:bCs/>
          <w:lang w:val="en-GB"/>
        </w:rPr>
        <w:t>8.</w:t>
      </w:r>
      <w:r>
        <w:rPr>
          <w:b/>
          <w:bCs/>
          <w:lang w:val="en-GB"/>
        </w:rPr>
        <w:tab/>
      </w:r>
      <w:r>
        <w:rPr>
          <w:b/>
          <w:bCs/>
          <w:noProof/>
          <w:lang w:val="en-GB"/>
        </w:rPr>
        <w:t>Commission</w:t>
      </w:r>
      <w:r w:rsidR="00E85C35">
        <w:rPr>
          <w:b/>
          <w:bCs/>
          <w:noProof/>
          <w:lang w:val="en-GB"/>
        </w:rPr>
        <w:t>’</w:t>
      </w:r>
      <w:r>
        <w:rPr>
          <w:b/>
          <w:bCs/>
          <w:noProof/>
          <w:lang w:val="en-GB"/>
        </w:rPr>
        <w:t>s position:</w:t>
      </w:r>
    </w:p>
    <w:p w:rsidR="00401C5A" w:rsidRDefault="00401C5A">
      <w:pPr>
        <w:rPr>
          <w:lang w:val="en-GB"/>
        </w:rPr>
      </w:pPr>
      <w:r>
        <w:rPr>
          <w:noProof/>
          <w:lang w:val="en-GB"/>
        </w:rPr>
        <w:t>The Commission can accept all the three amendments proposed by Parliament.</w:t>
      </w:r>
    </w:p>
    <w:p w:rsidR="00401C5A" w:rsidRDefault="00401C5A" w:rsidP="00EB60F3">
      <w:pPr>
        <w:pStyle w:val="ListDash"/>
        <w:numPr>
          <w:ilvl w:val="0"/>
          <w:numId w:val="20"/>
        </w:numPr>
        <w:rPr>
          <w:lang w:val="en-GB"/>
        </w:rPr>
      </w:pPr>
      <w:r>
        <w:rPr>
          <w:noProof/>
          <w:lang w:val="en-GB"/>
        </w:rPr>
        <w:t>Updated references to the Financial Regulation (amendment 1): While not strictly necessary, this amendment is welcome;</w:t>
      </w:r>
    </w:p>
    <w:p w:rsidR="00401C5A" w:rsidRDefault="00401C5A" w:rsidP="00EB60F3">
      <w:pPr>
        <w:pStyle w:val="ListDash"/>
        <w:numPr>
          <w:ilvl w:val="0"/>
          <w:numId w:val="20"/>
        </w:numPr>
        <w:rPr>
          <w:lang w:val="en-GB"/>
        </w:rPr>
      </w:pPr>
      <w:r>
        <w:rPr>
          <w:noProof/>
          <w:lang w:val="en-GB"/>
        </w:rPr>
        <w:t>Timing of the evaluation (amendment 2):</w:t>
      </w:r>
      <w:r w:rsidR="00E85C35">
        <w:rPr>
          <w:noProof/>
          <w:lang w:val="en-GB"/>
        </w:rPr>
        <w:t xml:space="preserve"> </w:t>
      </w:r>
      <w:r>
        <w:rPr>
          <w:noProof/>
          <w:lang w:val="en-GB"/>
        </w:rPr>
        <w:t>As the evaluation report is currently underway, the amendment is acceptable to the Commission;</w:t>
      </w:r>
    </w:p>
    <w:p w:rsidR="00401C5A" w:rsidRDefault="00401C5A" w:rsidP="00EB60F3">
      <w:pPr>
        <w:pStyle w:val="ListDash"/>
        <w:numPr>
          <w:ilvl w:val="0"/>
          <w:numId w:val="20"/>
        </w:numPr>
        <w:rPr>
          <w:lang w:val="en-GB"/>
        </w:rPr>
      </w:pPr>
      <w:r>
        <w:rPr>
          <w:noProof/>
          <w:lang w:val="en-GB"/>
        </w:rPr>
        <w:t>Period of application limited to two years (amendment 3): As the Development C</w:t>
      </w:r>
      <w:r w:rsidR="00E85C35">
        <w:rPr>
          <w:noProof/>
          <w:lang w:val="en-GB"/>
        </w:rPr>
        <w:t>oo</w:t>
      </w:r>
      <w:r>
        <w:rPr>
          <w:noProof/>
          <w:lang w:val="en-GB"/>
        </w:rPr>
        <w:t>peration and Economic C</w:t>
      </w:r>
      <w:r w:rsidR="00E85C35">
        <w:rPr>
          <w:noProof/>
          <w:lang w:val="en-GB"/>
        </w:rPr>
        <w:t>oo</w:t>
      </w:r>
      <w:r>
        <w:rPr>
          <w:noProof/>
          <w:lang w:val="en-GB"/>
        </w:rPr>
        <w:t>peration instrument should be adopted before the end 2006, this amendment is acceptable to the Commission.</w:t>
      </w:r>
    </w:p>
    <w:p w:rsidR="00401C5A" w:rsidRDefault="00401C5A">
      <w:pPr>
        <w:rPr>
          <w:b/>
          <w:bCs/>
          <w:lang w:val="en-GB"/>
        </w:rPr>
      </w:pPr>
      <w:r>
        <w:rPr>
          <w:b/>
          <w:bCs/>
          <w:lang w:val="en-GB"/>
        </w:rPr>
        <w:t>9.</w:t>
      </w:r>
      <w:r>
        <w:rPr>
          <w:b/>
          <w:bCs/>
          <w:lang w:val="en-GB"/>
        </w:rPr>
        <w:tab/>
      </w:r>
      <w:r>
        <w:rPr>
          <w:b/>
          <w:bCs/>
          <w:noProof/>
          <w:lang w:val="en-GB"/>
        </w:rPr>
        <w:t xml:space="preserve">Outlook for amendment of the proposal: </w:t>
      </w:r>
      <w:r>
        <w:rPr>
          <w:noProof/>
          <w:lang w:val="en-GB"/>
        </w:rPr>
        <w:t>not applicable</w:t>
      </w:r>
    </w:p>
    <w:p w:rsidR="00401C5A" w:rsidRDefault="00401C5A">
      <w:pPr>
        <w:rPr>
          <w:lang w:val="en-GB"/>
        </w:rPr>
      </w:pPr>
      <w:r>
        <w:rPr>
          <w:b/>
          <w:bCs/>
          <w:lang w:val="en-GB"/>
        </w:rPr>
        <w:t>10.</w:t>
      </w:r>
      <w:r>
        <w:rPr>
          <w:b/>
          <w:bCs/>
          <w:lang w:val="en-GB"/>
        </w:rPr>
        <w:tab/>
      </w:r>
      <w:r>
        <w:rPr>
          <w:b/>
          <w:bCs/>
          <w:noProof/>
          <w:lang w:val="en-GB"/>
        </w:rPr>
        <w:t xml:space="preserve">Outlook for the adoption of a common position: </w:t>
      </w:r>
      <w:r>
        <w:rPr>
          <w:noProof/>
          <w:lang w:val="en-GB"/>
        </w:rPr>
        <w:t>by 31 December 2004.</w:t>
      </w:r>
    </w:p>
    <w:p w:rsidR="00401C5A" w:rsidRDefault="00401C5A">
      <w:pPr>
        <w:spacing w:before="100" w:beforeAutospacing="1" w:after="100" w:afterAutospacing="1"/>
        <w:rPr>
          <w:lang w:val="en-GB"/>
        </w:rPr>
      </w:pPr>
    </w:p>
    <w:p w:rsidR="00401C5A" w:rsidRDefault="00401C5A">
      <w:pPr>
        <w:spacing w:before="100" w:beforeAutospacing="1" w:after="100" w:afterAutospacing="1"/>
        <w:rPr>
          <w:lang w:val="en-GB"/>
        </w:rPr>
      </w:pPr>
      <w:r>
        <w:rPr>
          <w:lang w:val="en-GB"/>
        </w:rPr>
        <w:br w:type="page"/>
      </w:r>
    </w:p>
    <w:p w:rsidR="00401C5A" w:rsidRDefault="00401C5A">
      <w:pPr>
        <w:rPr>
          <w:lang w:val="en-GB"/>
        </w:rPr>
      </w:pPr>
    </w:p>
    <w:p w:rsidR="00401C5A" w:rsidRDefault="00401C5A">
      <w:pPr>
        <w:jc w:val="center"/>
        <w:rPr>
          <w:b/>
          <w:bCs/>
          <w:sz w:val="48"/>
          <w:szCs w:val="48"/>
          <w:lang w:val="en-GB"/>
        </w:rPr>
      </w:pPr>
    </w:p>
    <w:p w:rsidR="00401C5A" w:rsidRDefault="00401C5A">
      <w:pPr>
        <w:jc w:val="center"/>
        <w:rPr>
          <w:b/>
          <w:bCs/>
          <w:sz w:val="48"/>
          <w:szCs w:val="48"/>
          <w:lang w:val="en-GB"/>
        </w:rPr>
      </w:pPr>
    </w:p>
    <w:p w:rsidR="00401C5A" w:rsidRDefault="00401C5A">
      <w:pPr>
        <w:jc w:val="center"/>
        <w:rPr>
          <w:b/>
          <w:bCs/>
          <w:sz w:val="48"/>
          <w:szCs w:val="48"/>
          <w:lang w:val="en-GB"/>
        </w:rPr>
      </w:pPr>
    </w:p>
    <w:p w:rsidR="00401C5A" w:rsidRDefault="00401C5A">
      <w:pPr>
        <w:jc w:val="center"/>
        <w:rPr>
          <w:b/>
          <w:bCs/>
          <w:sz w:val="48"/>
          <w:szCs w:val="48"/>
          <w:lang w:val="en-GB"/>
        </w:rPr>
      </w:pPr>
    </w:p>
    <w:p w:rsidR="00401C5A" w:rsidRDefault="00401C5A">
      <w:pPr>
        <w:jc w:val="center"/>
        <w:rPr>
          <w:b/>
          <w:bCs/>
          <w:sz w:val="48"/>
          <w:szCs w:val="48"/>
          <w:lang w:val="en-GB"/>
        </w:rPr>
      </w:pPr>
    </w:p>
    <w:p w:rsidR="00401C5A" w:rsidRDefault="00401C5A">
      <w:pPr>
        <w:jc w:val="center"/>
        <w:rPr>
          <w:rStyle w:val="tw4winMark"/>
          <w:lang w:val="en-GB"/>
        </w:rPr>
      </w:pPr>
      <w:r>
        <w:rPr>
          <w:b/>
          <w:bCs/>
          <w:sz w:val="48"/>
          <w:szCs w:val="48"/>
          <w:lang w:val="en-GB"/>
        </w:rPr>
        <w:t>Part Two</w:t>
      </w:r>
    </w:p>
    <w:p w:rsidR="00401C5A" w:rsidRDefault="00401C5A">
      <w:pPr>
        <w:spacing w:after="0"/>
        <w:jc w:val="center"/>
        <w:rPr>
          <w:lang w:val="en-GB"/>
        </w:rPr>
      </w:pPr>
    </w:p>
    <w:p w:rsidR="00401C5A" w:rsidRDefault="00401C5A">
      <w:pPr>
        <w:spacing w:after="0"/>
        <w:jc w:val="center"/>
        <w:rPr>
          <w:lang w:val="en-GB"/>
        </w:rPr>
      </w:pPr>
    </w:p>
    <w:p w:rsidR="00401C5A" w:rsidRDefault="00401C5A">
      <w:pPr>
        <w:jc w:val="center"/>
        <w:rPr>
          <w:lang w:val="en-GB"/>
        </w:rPr>
      </w:pPr>
      <w:r>
        <w:rPr>
          <w:b/>
          <w:bCs/>
          <w:sz w:val="48"/>
          <w:szCs w:val="48"/>
          <w:lang w:val="en-GB"/>
        </w:rPr>
        <w:t>Non-legislative resolutions</w:t>
      </w:r>
    </w:p>
    <w:p w:rsidR="00401C5A" w:rsidRDefault="00401C5A">
      <w:pPr>
        <w:spacing w:after="0"/>
        <w:jc w:val="center"/>
        <w:rPr>
          <w:sz w:val="22"/>
          <w:szCs w:val="22"/>
          <w:lang w:val="en-GB"/>
        </w:rPr>
      </w:pPr>
      <w:r>
        <w:rPr>
          <w:lang w:val="en-GB"/>
        </w:rPr>
        <w:br w:type="page"/>
      </w:r>
    </w:p>
    <w:p w:rsidR="00401C5A" w:rsidRDefault="00401C5A">
      <w:pPr>
        <w:spacing w:after="0"/>
        <w:jc w:val="center"/>
        <w:rPr>
          <w:b/>
          <w:bCs/>
          <w:sz w:val="22"/>
          <w:szCs w:val="22"/>
          <w:u w:val="single"/>
          <w:lang w:val="en-GB"/>
        </w:rPr>
      </w:pPr>
      <w:r>
        <w:rPr>
          <w:b/>
          <w:bCs/>
          <w:sz w:val="22"/>
          <w:szCs w:val="22"/>
          <w:lang w:val="en-GB"/>
        </w:rPr>
        <w:t xml:space="preserve">THE COMMISSION DOES NOT INTEND TO RESPOND FORMALLY TO THE FOLLOWING NON-LEGISLATIVE RESOLUTIONS ADOPTED BY THE EUROPEAN PARLIAMENT DURING THE </w:t>
      </w:r>
      <w:r w:rsidR="001C7011">
        <w:rPr>
          <w:b/>
          <w:bCs/>
          <w:sz w:val="22"/>
          <w:szCs w:val="22"/>
          <w:lang w:val="en-GB"/>
        </w:rPr>
        <w:t>OCTOBER</w:t>
      </w:r>
      <w:r>
        <w:rPr>
          <w:b/>
          <w:bCs/>
          <w:sz w:val="22"/>
          <w:szCs w:val="22"/>
          <w:lang w:val="en-GB"/>
        </w:rPr>
        <w:t xml:space="preserve"> 2004 I and II PART-SESSIONS</w:t>
      </w:r>
    </w:p>
    <w:p w:rsidR="00401C5A" w:rsidRDefault="00401C5A">
      <w:pPr>
        <w:spacing w:after="0"/>
        <w:rPr>
          <w:sz w:val="22"/>
          <w:szCs w:val="22"/>
          <w:lang w:val="en-GB"/>
        </w:rPr>
      </w:pPr>
    </w:p>
    <w:p w:rsidR="00401C5A" w:rsidRDefault="00401C5A">
      <w:pPr>
        <w:spacing w:after="0"/>
        <w:rPr>
          <w:sz w:val="22"/>
          <w:szCs w:val="22"/>
          <w:lang w:val="en-GB"/>
        </w:rPr>
      </w:pPr>
    </w:p>
    <w:p w:rsidR="00401C5A" w:rsidRDefault="00401C5A">
      <w:pPr>
        <w:spacing w:after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-</w:t>
      </w:r>
      <w:r>
        <w:rPr>
          <w:sz w:val="22"/>
          <w:szCs w:val="22"/>
          <w:lang w:val="en-GB"/>
        </w:rPr>
        <w:tab/>
        <w:t>European Parliament resolution on Georgia</w:t>
      </w:r>
    </w:p>
    <w:p w:rsidR="00401C5A" w:rsidRDefault="00401C5A">
      <w:pPr>
        <w:spacing w:after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(EP Nos: B6-0073/04, B6-0074/04, B6-0079/04, B6-0080/04, B6-0082/04)</w:t>
      </w:r>
    </w:p>
    <w:p w:rsidR="00401C5A" w:rsidRDefault="00401C5A">
      <w:pPr>
        <w:spacing w:after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Minutes, Part 2, 14 October 2004</w:t>
      </w:r>
    </w:p>
    <w:p w:rsidR="00401C5A" w:rsidRDefault="00401C5A">
      <w:pPr>
        <w:spacing w:after="0"/>
        <w:rPr>
          <w:lang w:val="en-GB"/>
        </w:rPr>
      </w:pPr>
      <w:r>
        <w:rPr>
          <w:sz w:val="22"/>
          <w:szCs w:val="22"/>
          <w:lang w:val="en-GB"/>
        </w:rPr>
        <w:t xml:space="preserve">Competence: </w:t>
      </w:r>
      <w:r>
        <w:rPr>
          <w:sz w:val="22"/>
          <w:szCs w:val="22"/>
          <w:lang w:val="en-GB"/>
        </w:rPr>
        <w:tab/>
        <w:t>Chris PATTEN</w:t>
      </w:r>
    </w:p>
    <w:p w:rsidR="00401C5A" w:rsidRDefault="00401C5A">
      <w:pPr>
        <w:spacing w:after="0"/>
        <w:rPr>
          <w:sz w:val="20"/>
          <w:szCs w:val="20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External Relations DG</w:t>
      </w:r>
    </w:p>
    <w:p w:rsidR="00401C5A" w:rsidRDefault="00401C5A">
      <w:pPr>
        <w:spacing w:after="0"/>
        <w:rPr>
          <w:sz w:val="22"/>
          <w:szCs w:val="22"/>
          <w:lang w:val="en-GB"/>
        </w:rPr>
      </w:pPr>
      <w:r>
        <w:rPr>
          <w:b/>
          <w:bCs/>
          <w:sz w:val="22"/>
          <w:szCs w:val="22"/>
          <w:u w:val="single"/>
          <w:lang w:val="en-GB"/>
        </w:rPr>
        <w:t>Explanation</w:t>
      </w:r>
      <w:r>
        <w:rPr>
          <w:sz w:val="22"/>
          <w:szCs w:val="22"/>
          <w:lang w:val="en-GB"/>
        </w:rPr>
        <w:t>: The Commission will not be responding formally, given that Commissioner Patten has already replied in plenary to the requests contained in the resolution.</w:t>
      </w:r>
    </w:p>
    <w:p w:rsidR="00401C5A" w:rsidRDefault="00401C5A">
      <w:pPr>
        <w:spacing w:after="0"/>
        <w:rPr>
          <w:sz w:val="22"/>
          <w:szCs w:val="22"/>
          <w:lang w:val="en-GB"/>
        </w:rPr>
      </w:pPr>
    </w:p>
    <w:p w:rsidR="00401C5A" w:rsidRDefault="00401C5A">
      <w:pPr>
        <w:spacing w:after="0"/>
        <w:rPr>
          <w:sz w:val="22"/>
          <w:szCs w:val="22"/>
          <w:lang w:val="en-GB"/>
        </w:rPr>
      </w:pPr>
    </w:p>
    <w:p w:rsidR="00401C5A" w:rsidRDefault="00401C5A">
      <w:pPr>
        <w:spacing w:after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-</w:t>
      </w:r>
      <w:r>
        <w:rPr>
          <w:sz w:val="22"/>
          <w:szCs w:val="22"/>
          <w:lang w:val="en-GB"/>
        </w:rPr>
        <w:tab/>
        <w:t>European Parliament Resolution on the political situation in Belarus after the legislative elections and referendum of 17 October 2004</w:t>
      </w:r>
    </w:p>
    <w:p w:rsidR="00401C5A" w:rsidRDefault="00401C5A">
      <w:pPr>
        <w:spacing w:after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(EP Nos: B6-0094/04, B6-0097/04, B6-0101/04, B6-0104/04, B6-0110/04)</w:t>
      </w:r>
    </w:p>
    <w:p w:rsidR="00401C5A" w:rsidRDefault="00401C5A">
      <w:pPr>
        <w:spacing w:after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Minutes, Part 2, 28 October 2004</w:t>
      </w:r>
    </w:p>
    <w:p w:rsidR="00401C5A" w:rsidRDefault="00401C5A">
      <w:pPr>
        <w:spacing w:after="0"/>
        <w:rPr>
          <w:lang w:val="en-GB"/>
        </w:rPr>
      </w:pPr>
      <w:r>
        <w:rPr>
          <w:sz w:val="22"/>
          <w:szCs w:val="22"/>
          <w:lang w:val="en-GB"/>
        </w:rPr>
        <w:t xml:space="preserve">Competence: </w:t>
      </w:r>
      <w:r>
        <w:rPr>
          <w:sz w:val="22"/>
          <w:szCs w:val="22"/>
          <w:lang w:val="en-GB"/>
        </w:rPr>
        <w:tab/>
        <w:t>Chris PATTEN</w:t>
      </w:r>
    </w:p>
    <w:p w:rsidR="00401C5A" w:rsidRDefault="00401C5A">
      <w:pPr>
        <w:spacing w:after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External Relations DG</w:t>
      </w:r>
    </w:p>
    <w:p w:rsidR="00401C5A" w:rsidRDefault="00401C5A">
      <w:pPr>
        <w:spacing w:after="0"/>
        <w:rPr>
          <w:sz w:val="22"/>
          <w:szCs w:val="22"/>
          <w:lang w:val="en-GB"/>
        </w:rPr>
      </w:pPr>
      <w:r>
        <w:rPr>
          <w:b/>
          <w:bCs/>
          <w:sz w:val="22"/>
          <w:szCs w:val="22"/>
          <w:u w:val="single"/>
          <w:lang w:val="en-GB"/>
        </w:rPr>
        <w:t>Explanation</w:t>
      </w:r>
      <w:r>
        <w:rPr>
          <w:sz w:val="22"/>
          <w:szCs w:val="22"/>
          <w:lang w:val="en-GB"/>
        </w:rPr>
        <w:t>: The Commission will not be responding formally, given that Commissioner Verheugen has already replied in plenary to the requests contained in the resolution.</w:t>
      </w:r>
    </w:p>
    <w:p w:rsidR="00401C5A" w:rsidRDefault="00401C5A">
      <w:pPr>
        <w:spacing w:after="0"/>
        <w:rPr>
          <w:sz w:val="22"/>
          <w:szCs w:val="22"/>
          <w:lang w:val="en-GB"/>
        </w:rPr>
      </w:pPr>
    </w:p>
    <w:p w:rsidR="00401C5A" w:rsidRDefault="00401C5A">
      <w:pPr>
        <w:spacing w:after="0"/>
        <w:rPr>
          <w:sz w:val="22"/>
          <w:szCs w:val="22"/>
          <w:lang w:val="en-GB"/>
        </w:rPr>
      </w:pPr>
    </w:p>
    <w:p w:rsidR="00401C5A" w:rsidRDefault="00401C5A">
      <w:pPr>
        <w:spacing w:after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-</w:t>
      </w:r>
      <w:r>
        <w:rPr>
          <w:sz w:val="22"/>
          <w:szCs w:val="22"/>
          <w:lang w:val="en-GB"/>
        </w:rPr>
        <w:tab/>
      </w:r>
      <w:r w:rsidR="00BB17C7">
        <w:rPr>
          <w:sz w:val="22"/>
          <w:szCs w:val="22"/>
          <w:lang w:val="en-GB"/>
        </w:rPr>
        <w:t xml:space="preserve">European </w:t>
      </w:r>
      <w:r>
        <w:rPr>
          <w:sz w:val="22"/>
          <w:szCs w:val="22"/>
          <w:lang w:val="en-GB"/>
        </w:rPr>
        <w:t>Parliament resolution on the forthcoming elections in Ukraine</w:t>
      </w:r>
    </w:p>
    <w:p w:rsidR="00401C5A" w:rsidRDefault="00401C5A">
      <w:pPr>
        <w:spacing w:after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(EP</w:t>
      </w:r>
      <w:r w:rsidR="00BB17C7">
        <w:rPr>
          <w:sz w:val="22"/>
          <w:szCs w:val="22"/>
          <w:lang w:val="en-GB"/>
        </w:rPr>
        <w:t xml:space="preserve"> Nos</w:t>
      </w:r>
      <w:r>
        <w:rPr>
          <w:sz w:val="22"/>
          <w:szCs w:val="22"/>
          <w:lang w:val="en-GB"/>
        </w:rPr>
        <w:t>: B6- 0095/04, B6- 0096/04, B6- 0102/04, B6- 0103/04, B6- 0106/04, B6- 0109/04)</w:t>
      </w:r>
    </w:p>
    <w:p w:rsidR="00401C5A" w:rsidRDefault="00401C5A">
      <w:pPr>
        <w:spacing w:after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Minutes, Part 2, 28 October 2004</w:t>
      </w:r>
    </w:p>
    <w:p w:rsidR="00401C5A" w:rsidRDefault="00401C5A">
      <w:pPr>
        <w:spacing w:after="0"/>
        <w:rPr>
          <w:lang w:val="en-GB"/>
        </w:rPr>
      </w:pPr>
      <w:r>
        <w:rPr>
          <w:sz w:val="22"/>
          <w:szCs w:val="22"/>
          <w:lang w:val="en-GB"/>
        </w:rPr>
        <w:t xml:space="preserve">Competence: </w:t>
      </w:r>
      <w:r>
        <w:rPr>
          <w:sz w:val="22"/>
          <w:szCs w:val="22"/>
          <w:lang w:val="en-GB"/>
        </w:rPr>
        <w:tab/>
        <w:t>Chris PATTEN</w:t>
      </w:r>
    </w:p>
    <w:p w:rsidR="00401C5A" w:rsidRDefault="00401C5A">
      <w:pPr>
        <w:spacing w:after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External Relations DG</w:t>
      </w:r>
    </w:p>
    <w:p w:rsidR="00401C5A" w:rsidRDefault="00401C5A">
      <w:pPr>
        <w:spacing w:after="0"/>
        <w:rPr>
          <w:sz w:val="22"/>
          <w:szCs w:val="22"/>
          <w:lang w:val="en-GB"/>
        </w:rPr>
      </w:pPr>
      <w:r>
        <w:rPr>
          <w:b/>
          <w:bCs/>
          <w:sz w:val="22"/>
          <w:szCs w:val="22"/>
          <w:u w:val="single"/>
          <w:lang w:val="en-GB"/>
        </w:rPr>
        <w:t>Explanation</w:t>
      </w:r>
      <w:r>
        <w:rPr>
          <w:sz w:val="22"/>
          <w:szCs w:val="22"/>
          <w:lang w:val="en-GB"/>
        </w:rPr>
        <w:t>: The Commission will not be responding formally, given that Commissioner Verheugen has already replied in plenary to the requests contained in the resolution.</w:t>
      </w:r>
    </w:p>
    <w:p w:rsidR="00401C5A" w:rsidRDefault="00401C5A">
      <w:pPr>
        <w:spacing w:after="0"/>
        <w:rPr>
          <w:sz w:val="22"/>
          <w:szCs w:val="22"/>
          <w:lang w:val="en-GB"/>
        </w:rPr>
      </w:pPr>
    </w:p>
    <w:p w:rsidR="00401C5A" w:rsidRDefault="00401C5A">
      <w:pPr>
        <w:spacing w:after="0"/>
        <w:rPr>
          <w:sz w:val="22"/>
          <w:szCs w:val="22"/>
          <w:lang w:val="en-GB"/>
        </w:rPr>
      </w:pPr>
    </w:p>
    <w:p w:rsidR="00401C5A" w:rsidRDefault="00401C5A">
      <w:pPr>
        <w:spacing w:after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-</w:t>
      </w:r>
      <w:r>
        <w:rPr>
          <w:sz w:val="22"/>
          <w:szCs w:val="22"/>
          <w:lang w:val="en-GB"/>
        </w:rPr>
        <w:tab/>
        <w:t>European Parliament resolution on cluster munitions</w:t>
      </w:r>
    </w:p>
    <w:p w:rsidR="00401C5A" w:rsidRDefault="00401C5A">
      <w:pPr>
        <w:spacing w:after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(EP Nos: B6-0108/04, B6-0111/04, B6-0112/04, B6-0120/04)</w:t>
      </w:r>
    </w:p>
    <w:p w:rsidR="00401C5A" w:rsidRDefault="00401C5A">
      <w:pPr>
        <w:spacing w:after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Minutes, Part 2, 28 October 2004</w:t>
      </w:r>
    </w:p>
    <w:p w:rsidR="00401C5A" w:rsidRDefault="00401C5A">
      <w:pPr>
        <w:spacing w:after="0"/>
        <w:rPr>
          <w:lang w:val="en-GB"/>
        </w:rPr>
      </w:pPr>
      <w:r>
        <w:rPr>
          <w:sz w:val="22"/>
          <w:szCs w:val="22"/>
          <w:lang w:val="en-GB"/>
        </w:rPr>
        <w:t xml:space="preserve">Competence: </w:t>
      </w:r>
      <w:r>
        <w:rPr>
          <w:sz w:val="22"/>
          <w:szCs w:val="22"/>
          <w:lang w:val="en-GB"/>
        </w:rPr>
        <w:tab/>
        <w:t>Chris PATTEN</w:t>
      </w:r>
    </w:p>
    <w:p w:rsidR="00401C5A" w:rsidRDefault="00401C5A">
      <w:pPr>
        <w:spacing w:after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External Relations DG</w:t>
      </w:r>
    </w:p>
    <w:p w:rsidR="00401C5A" w:rsidRDefault="00401C5A">
      <w:pPr>
        <w:spacing w:after="0"/>
        <w:rPr>
          <w:sz w:val="22"/>
          <w:szCs w:val="22"/>
          <w:lang w:val="en-GB"/>
        </w:rPr>
      </w:pPr>
      <w:r>
        <w:rPr>
          <w:b/>
          <w:bCs/>
          <w:sz w:val="22"/>
          <w:szCs w:val="22"/>
          <w:u w:val="single"/>
          <w:lang w:val="en-GB"/>
        </w:rPr>
        <w:t>Explanation</w:t>
      </w:r>
      <w:r>
        <w:rPr>
          <w:sz w:val="22"/>
          <w:szCs w:val="22"/>
          <w:lang w:val="en-GB"/>
        </w:rPr>
        <w:t>: The Commission will not be responding formally, given that Commissioner Lamy has already replied in plenary to the requests contained in the resolution.</w:t>
      </w:r>
    </w:p>
    <w:p w:rsidR="00401C5A" w:rsidRDefault="00401C5A">
      <w:pPr>
        <w:spacing w:after="0"/>
        <w:rPr>
          <w:sz w:val="22"/>
          <w:szCs w:val="22"/>
          <w:lang w:val="en-GB"/>
        </w:rPr>
      </w:pPr>
    </w:p>
    <w:p w:rsidR="00401C5A" w:rsidRDefault="00401C5A">
      <w:pPr>
        <w:spacing w:after="0"/>
        <w:rPr>
          <w:sz w:val="22"/>
          <w:szCs w:val="22"/>
          <w:lang w:val="en-GB"/>
        </w:rPr>
      </w:pPr>
    </w:p>
    <w:p w:rsidR="00401C5A" w:rsidRDefault="00401C5A">
      <w:pPr>
        <w:spacing w:after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-</w:t>
      </w:r>
      <w:r>
        <w:rPr>
          <w:sz w:val="22"/>
          <w:szCs w:val="22"/>
          <w:lang w:val="en-GB"/>
        </w:rPr>
        <w:tab/>
        <w:t>European Parliament</w:t>
      </w:r>
      <w:r w:rsidR="00E85C35">
        <w:rPr>
          <w:sz w:val="22"/>
          <w:szCs w:val="22"/>
          <w:lang w:val="en-GB"/>
        </w:rPr>
        <w:t xml:space="preserve"> resolution on Iran</w:t>
      </w:r>
    </w:p>
    <w:p w:rsidR="00401C5A" w:rsidRDefault="00401C5A">
      <w:pPr>
        <w:spacing w:after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(EP Nos: B6-0107/04, B6-0113/04, B6-0116/04, B6-0118/04, B6-0121/04)</w:t>
      </w:r>
    </w:p>
    <w:p w:rsidR="00401C5A" w:rsidRDefault="00401C5A">
      <w:pPr>
        <w:spacing w:after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Minutes, Part 2, 28 October 2004</w:t>
      </w:r>
    </w:p>
    <w:p w:rsidR="00401C5A" w:rsidRDefault="00401C5A">
      <w:pPr>
        <w:spacing w:after="0"/>
        <w:rPr>
          <w:lang w:val="en-GB"/>
        </w:rPr>
      </w:pPr>
      <w:r>
        <w:rPr>
          <w:sz w:val="22"/>
          <w:szCs w:val="22"/>
          <w:lang w:val="en-GB"/>
        </w:rPr>
        <w:t xml:space="preserve">Competence: </w:t>
      </w:r>
      <w:r>
        <w:rPr>
          <w:sz w:val="22"/>
          <w:szCs w:val="22"/>
          <w:lang w:val="en-GB"/>
        </w:rPr>
        <w:tab/>
        <w:t>Chris PATTEN</w:t>
      </w:r>
    </w:p>
    <w:p w:rsidR="00401C5A" w:rsidRDefault="00401C5A">
      <w:pPr>
        <w:spacing w:after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External Relations DG</w:t>
      </w:r>
    </w:p>
    <w:p w:rsidR="00401C5A" w:rsidRDefault="00401C5A">
      <w:pPr>
        <w:spacing w:after="0"/>
        <w:rPr>
          <w:sz w:val="22"/>
          <w:szCs w:val="22"/>
          <w:lang w:val="en-GB"/>
        </w:rPr>
      </w:pPr>
      <w:r>
        <w:rPr>
          <w:b/>
          <w:bCs/>
          <w:sz w:val="22"/>
          <w:szCs w:val="22"/>
          <w:u w:val="single"/>
          <w:lang w:val="en-GB"/>
        </w:rPr>
        <w:t>Explanation</w:t>
      </w:r>
      <w:r>
        <w:rPr>
          <w:sz w:val="22"/>
          <w:szCs w:val="22"/>
          <w:lang w:val="en-GB"/>
        </w:rPr>
        <w:t>: The Commission will not be responding formally, given that Commissioner Lamy has already replied in plenary to the requests contained in the resolution.</w:t>
      </w:r>
    </w:p>
    <w:p w:rsidR="00401C5A" w:rsidRDefault="00401C5A">
      <w:pPr>
        <w:spacing w:after="0"/>
        <w:rPr>
          <w:sz w:val="22"/>
          <w:szCs w:val="22"/>
          <w:lang w:val="en-GB"/>
        </w:rPr>
      </w:pPr>
    </w:p>
    <w:p w:rsidR="00401C5A" w:rsidRDefault="00401C5A">
      <w:pPr>
        <w:spacing w:after="0"/>
        <w:rPr>
          <w:sz w:val="22"/>
          <w:szCs w:val="22"/>
          <w:lang w:val="en-GB"/>
        </w:rPr>
      </w:pPr>
    </w:p>
    <w:p w:rsidR="00401C5A" w:rsidRDefault="00401C5A">
      <w:pPr>
        <w:spacing w:after="0"/>
        <w:jc w:val="center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-------------</w:t>
      </w:r>
    </w:p>
    <w:sectPr w:rsidR="00401C5A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B60F3">
      <w:pPr>
        <w:spacing w:after="0"/>
      </w:pPr>
      <w:r>
        <w:separator/>
      </w:r>
    </w:p>
  </w:endnote>
  <w:endnote w:type="continuationSeparator" w:id="0">
    <w:p w:rsidR="00000000" w:rsidRDefault="00EB60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F77" w:rsidRDefault="00E95F77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EB60F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F77" w:rsidRDefault="00E95F77">
    <w:pPr>
      <w:pStyle w:val="Footer"/>
      <w:rPr>
        <w:sz w:val="24"/>
        <w:szCs w:val="24"/>
      </w:rPr>
    </w:pPr>
  </w:p>
  <w:p w:rsidR="00E95F77" w:rsidRDefault="00E95F77">
    <w:pPr>
      <w:pStyle w:val="Footer"/>
      <w:rPr>
        <w:lang w:val="en-GB"/>
      </w:rPr>
    </w:pPr>
    <w:r>
      <w:rPr>
        <w:noProof/>
        <w:lang w:val="en-GB"/>
      </w:rPr>
      <w:t>European Commission , B-1049 Brussels – Belgium, Telephone: (32-2) 299 11 11.</w:t>
    </w:r>
  </w:p>
  <w:p w:rsidR="00E95F77" w:rsidRDefault="00E95F77">
    <w:pPr>
      <w:pStyle w:val="Footer"/>
      <w:rPr>
        <w:lang w:val="en-GB"/>
      </w:rPr>
    </w:pPr>
    <w:r>
      <w:rPr>
        <w:noProof/>
        <w:lang w:val="en-GB"/>
      </w:rPr>
      <w:t>Office: BERL 7/358, Telephone: direct line (32-2) 295 07 46, Fax: (32-2) 296 59 57.</w:t>
    </w:r>
    <w:r>
      <w:rPr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B60F3">
      <w:pPr>
        <w:spacing w:after="0"/>
      </w:pPr>
      <w:r>
        <w:separator/>
      </w:r>
    </w:p>
  </w:footnote>
  <w:footnote w:type="continuationSeparator" w:id="0">
    <w:p w:rsidR="00000000" w:rsidRDefault="00EB60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F77" w:rsidRDefault="00E95F77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4C060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AD21BB"/>
    <w:multiLevelType w:val="hybridMultilevel"/>
    <w:tmpl w:val="3132C5A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52A49E8"/>
    <w:multiLevelType w:val="multilevel"/>
    <w:tmpl w:val="C0146F52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7C2A59"/>
    <w:multiLevelType w:val="multilevel"/>
    <w:tmpl w:val="708048B4"/>
    <w:lvl w:ilvl="0">
      <w:start w:val="1"/>
      <w:numFmt w:val="decimal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4751"/>
        </w:tabs>
        <w:ind w:left="4751" w:hanging="709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00664F6"/>
    <w:multiLevelType w:val="multilevel"/>
    <w:tmpl w:val="908859F8"/>
    <w:lvl w:ilvl="0">
      <w:start w:val="1"/>
      <w:numFmt w:val="decimal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5715"/>
        </w:tabs>
        <w:ind w:left="5715" w:hanging="709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262685D"/>
    <w:multiLevelType w:val="multilevel"/>
    <w:tmpl w:val="D96C95A2"/>
    <w:lvl w:ilvl="0">
      <w:start w:val="1"/>
      <w:numFmt w:val="bullet"/>
      <w:lvlText w:val=""/>
      <w:lvlJc w:val="left"/>
      <w:pPr>
        <w:tabs>
          <w:tab w:val="num" w:pos="3163"/>
        </w:tabs>
        <w:ind w:left="3163" w:hanging="283"/>
      </w:pPr>
      <w:rPr>
        <w:rFonts w:ascii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3D0A16"/>
    <w:multiLevelType w:val="multilevel"/>
    <w:tmpl w:val="01FA5668"/>
    <w:lvl w:ilvl="0">
      <w:start w:val="1"/>
      <w:numFmt w:val="bullet"/>
      <w:lvlText w:val=""/>
      <w:lvlJc w:val="left"/>
      <w:pPr>
        <w:tabs>
          <w:tab w:val="num" w:pos="2199"/>
        </w:tabs>
        <w:ind w:left="2199" w:hanging="283"/>
      </w:pPr>
      <w:rPr>
        <w:rFonts w:ascii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C656DE"/>
    <w:multiLevelType w:val="multilevel"/>
    <w:tmpl w:val="F600061E"/>
    <w:lvl w:ilvl="0">
      <w:start w:val="1"/>
      <w:numFmt w:val="decimal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3912"/>
        </w:tabs>
        <w:ind w:left="3912" w:hanging="709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B24696A"/>
    <w:multiLevelType w:val="multilevel"/>
    <w:tmpl w:val="BD6687F8"/>
    <w:lvl w:ilvl="0">
      <w:start w:val="1"/>
      <w:numFmt w:val="bullet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8D5AD3"/>
    <w:multiLevelType w:val="multilevel"/>
    <w:tmpl w:val="82EE6B70"/>
    <w:lvl w:ilvl="0">
      <w:start w:val="1"/>
      <w:numFmt w:val="bullet"/>
      <w:lvlText w:val=""/>
      <w:lvlJc w:val="left"/>
      <w:pPr>
        <w:tabs>
          <w:tab w:val="num" w:pos="1360"/>
        </w:tabs>
        <w:ind w:left="1360" w:hanging="283"/>
      </w:pPr>
      <w:rPr>
        <w:rFonts w:ascii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7730C4"/>
    <w:multiLevelType w:val="multilevel"/>
    <w:tmpl w:val="456C96DE"/>
    <w:lvl w:ilvl="0">
      <w:start w:val="1"/>
      <w:numFmt w:val="bullet"/>
      <w:lvlText w:val=""/>
      <w:lvlJc w:val="left"/>
      <w:pPr>
        <w:tabs>
          <w:tab w:val="num" w:pos="765"/>
        </w:tabs>
        <w:ind w:left="765" w:hanging="283"/>
      </w:pPr>
      <w:rPr>
        <w:rFonts w:ascii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9D40D4F"/>
    <w:multiLevelType w:val="multilevel"/>
    <w:tmpl w:val="EB440EE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A432656"/>
    <w:multiLevelType w:val="multilevel"/>
    <w:tmpl w:val="AC885D7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D3A5F21"/>
    <w:multiLevelType w:val="multilevel"/>
    <w:tmpl w:val="6F742C8E"/>
    <w:lvl w:ilvl="0">
      <w:start w:val="1"/>
      <w:numFmt w:val="bullet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EF00622"/>
    <w:multiLevelType w:val="multilevel"/>
    <w:tmpl w:val="A82AE51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0260B70"/>
    <w:multiLevelType w:val="multilevel"/>
    <w:tmpl w:val="F7BC8650"/>
    <w:lvl w:ilvl="0">
      <w:start w:val="1"/>
      <w:numFmt w:val="bullet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4BD0BEC"/>
    <w:multiLevelType w:val="multilevel"/>
    <w:tmpl w:val="72D6F37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FD1F3C"/>
    <w:multiLevelType w:val="hybridMultilevel"/>
    <w:tmpl w:val="F3F46C6A"/>
    <w:lvl w:ilvl="0" w:tplc="40D2097A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68D864F3"/>
    <w:multiLevelType w:val="multilevel"/>
    <w:tmpl w:val="D8365152"/>
    <w:lvl w:ilvl="0">
      <w:start w:val="1"/>
      <w:numFmt w:val="bullet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EC528FF"/>
    <w:multiLevelType w:val="multilevel"/>
    <w:tmpl w:val="4DD8D4A6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15"/>
  </w:num>
  <w:num w:numId="5">
    <w:abstractNumId w:val="8"/>
  </w:num>
  <w:num w:numId="6">
    <w:abstractNumId w:val="13"/>
  </w:num>
  <w:num w:numId="7">
    <w:abstractNumId w:val="18"/>
  </w:num>
  <w:num w:numId="8">
    <w:abstractNumId w:val="19"/>
  </w:num>
  <w:num w:numId="9">
    <w:abstractNumId w:val="7"/>
  </w:num>
  <w:num w:numId="10">
    <w:abstractNumId w:val="3"/>
  </w:num>
  <w:num w:numId="11">
    <w:abstractNumId w:val="4"/>
  </w:num>
  <w:num w:numId="12">
    <w:abstractNumId w:val="12"/>
  </w:num>
  <w:num w:numId="13">
    <w:abstractNumId w:val="16"/>
  </w:num>
  <w:num w:numId="14">
    <w:abstractNumId w:val="10"/>
  </w:num>
  <w:num w:numId="15">
    <w:abstractNumId w:val="9"/>
  </w:num>
  <w:num w:numId="16">
    <w:abstractNumId w:val="6"/>
  </w:num>
  <w:num w:numId="17">
    <w:abstractNumId w:val="5"/>
  </w:num>
  <w:num w:numId="18">
    <w:abstractNumId w:val="11"/>
  </w:num>
  <w:num w:numId="19">
    <w:abstractNumId w:val="1"/>
  </w:num>
  <w:num w:numId="20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T"/>
  </w:docVars>
  <w:rsids>
    <w:rsidRoot w:val="001349AB"/>
    <w:rsid w:val="0000667C"/>
    <w:rsid w:val="00011606"/>
    <w:rsid w:val="00013033"/>
    <w:rsid w:val="00014B1E"/>
    <w:rsid w:val="00015253"/>
    <w:rsid w:val="000220C0"/>
    <w:rsid w:val="00023F29"/>
    <w:rsid w:val="0002436D"/>
    <w:rsid w:val="0002480C"/>
    <w:rsid w:val="00027C0D"/>
    <w:rsid w:val="00031F91"/>
    <w:rsid w:val="00032328"/>
    <w:rsid w:val="0005458A"/>
    <w:rsid w:val="00055E41"/>
    <w:rsid w:val="00057A61"/>
    <w:rsid w:val="000615D6"/>
    <w:rsid w:val="00075B85"/>
    <w:rsid w:val="0007606A"/>
    <w:rsid w:val="0007618B"/>
    <w:rsid w:val="000824B1"/>
    <w:rsid w:val="00082834"/>
    <w:rsid w:val="00084252"/>
    <w:rsid w:val="000852E0"/>
    <w:rsid w:val="000906D0"/>
    <w:rsid w:val="00093C24"/>
    <w:rsid w:val="000A05CA"/>
    <w:rsid w:val="000A302C"/>
    <w:rsid w:val="000B02B4"/>
    <w:rsid w:val="000B3530"/>
    <w:rsid w:val="000B3C53"/>
    <w:rsid w:val="000B51FE"/>
    <w:rsid w:val="000C0530"/>
    <w:rsid w:val="000C5046"/>
    <w:rsid w:val="000C5DB2"/>
    <w:rsid w:val="000D2864"/>
    <w:rsid w:val="000D5C5C"/>
    <w:rsid w:val="000E1D72"/>
    <w:rsid w:val="000E3AC2"/>
    <w:rsid w:val="000E5696"/>
    <w:rsid w:val="000E718D"/>
    <w:rsid w:val="000F2152"/>
    <w:rsid w:val="000F29ED"/>
    <w:rsid w:val="000F3185"/>
    <w:rsid w:val="001007C5"/>
    <w:rsid w:val="001022DD"/>
    <w:rsid w:val="001050C6"/>
    <w:rsid w:val="00107E13"/>
    <w:rsid w:val="00107ED1"/>
    <w:rsid w:val="00112673"/>
    <w:rsid w:val="00116919"/>
    <w:rsid w:val="00116AEB"/>
    <w:rsid w:val="00116BA5"/>
    <w:rsid w:val="001207A7"/>
    <w:rsid w:val="00122EE4"/>
    <w:rsid w:val="001277A5"/>
    <w:rsid w:val="00132221"/>
    <w:rsid w:val="001324FF"/>
    <w:rsid w:val="001349AB"/>
    <w:rsid w:val="0014173C"/>
    <w:rsid w:val="00142430"/>
    <w:rsid w:val="0014269F"/>
    <w:rsid w:val="00142EDF"/>
    <w:rsid w:val="00145833"/>
    <w:rsid w:val="00146EEB"/>
    <w:rsid w:val="0015044B"/>
    <w:rsid w:val="00153009"/>
    <w:rsid w:val="00154C1C"/>
    <w:rsid w:val="00156FAD"/>
    <w:rsid w:val="001618F9"/>
    <w:rsid w:val="00164179"/>
    <w:rsid w:val="001662D7"/>
    <w:rsid w:val="00167044"/>
    <w:rsid w:val="001748C0"/>
    <w:rsid w:val="00175EF9"/>
    <w:rsid w:val="001820A2"/>
    <w:rsid w:val="0019299D"/>
    <w:rsid w:val="0019373F"/>
    <w:rsid w:val="001A6A34"/>
    <w:rsid w:val="001A75CD"/>
    <w:rsid w:val="001B632E"/>
    <w:rsid w:val="001C64BB"/>
    <w:rsid w:val="001C7011"/>
    <w:rsid w:val="001D3C86"/>
    <w:rsid w:val="001D4689"/>
    <w:rsid w:val="001D55E9"/>
    <w:rsid w:val="001E1F96"/>
    <w:rsid w:val="001E3693"/>
    <w:rsid w:val="001E36F5"/>
    <w:rsid w:val="001E3D07"/>
    <w:rsid w:val="001E4A5E"/>
    <w:rsid w:val="001E684C"/>
    <w:rsid w:val="001E7740"/>
    <w:rsid w:val="001F129E"/>
    <w:rsid w:val="001F1383"/>
    <w:rsid w:val="001F29DE"/>
    <w:rsid w:val="001F351F"/>
    <w:rsid w:val="001F3923"/>
    <w:rsid w:val="001F4CBB"/>
    <w:rsid w:val="001F7346"/>
    <w:rsid w:val="00200C6F"/>
    <w:rsid w:val="00205A3B"/>
    <w:rsid w:val="00206CE0"/>
    <w:rsid w:val="002100D7"/>
    <w:rsid w:val="00213823"/>
    <w:rsid w:val="00214AEF"/>
    <w:rsid w:val="002225CB"/>
    <w:rsid w:val="00235499"/>
    <w:rsid w:val="00235AF4"/>
    <w:rsid w:val="00237A4F"/>
    <w:rsid w:val="00237CB9"/>
    <w:rsid w:val="002557CF"/>
    <w:rsid w:val="002566F1"/>
    <w:rsid w:val="00283FEE"/>
    <w:rsid w:val="002862E0"/>
    <w:rsid w:val="00293BD1"/>
    <w:rsid w:val="00295FEF"/>
    <w:rsid w:val="002A0400"/>
    <w:rsid w:val="002B1AAB"/>
    <w:rsid w:val="002B3E66"/>
    <w:rsid w:val="002B444A"/>
    <w:rsid w:val="002B48CA"/>
    <w:rsid w:val="002C39AF"/>
    <w:rsid w:val="002C49FF"/>
    <w:rsid w:val="002C6D0D"/>
    <w:rsid w:val="002D25DE"/>
    <w:rsid w:val="002E719B"/>
    <w:rsid w:val="002F1C67"/>
    <w:rsid w:val="002F407A"/>
    <w:rsid w:val="002F48B6"/>
    <w:rsid w:val="00301619"/>
    <w:rsid w:val="00302786"/>
    <w:rsid w:val="003038A8"/>
    <w:rsid w:val="00311BA5"/>
    <w:rsid w:val="00314013"/>
    <w:rsid w:val="00320D78"/>
    <w:rsid w:val="0032113A"/>
    <w:rsid w:val="003255A2"/>
    <w:rsid w:val="0032746F"/>
    <w:rsid w:val="003343BF"/>
    <w:rsid w:val="003346A2"/>
    <w:rsid w:val="00344180"/>
    <w:rsid w:val="0035454A"/>
    <w:rsid w:val="00356D8C"/>
    <w:rsid w:val="0036572D"/>
    <w:rsid w:val="00365E6D"/>
    <w:rsid w:val="0037700B"/>
    <w:rsid w:val="0038412B"/>
    <w:rsid w:val="00384FCE"/>
    <w:rsid w:val="00390AA1"/>
    <w:rsid w:val="003A6BCE"/>
    <w:rsid w:val="003B0B1E"/>
    <w:rsid w:val="003B1AD7"/>
    <w:rsid w:val="003B5B81"/>
    <w:rsid w:val="003B5D47"/>
    <w:rsid w:val="003C275D"/>
    <w:rsid w:val="003C41E7"/>
    <w:rsid w:val="003C5C41"/>
    <w:rsid w:val="003C7681"/>
    <w:rsid w:val="003D1339"/>
    <w:rsid w:val="003D2CBF"/>
    <w:rsid w:val="003D319B"/>
    <w:rsid w:val="003D3ED4"/>
    <w:rsid w:val="003E11BD"/>
    <w:rsid w:val="003E2343"/>
    <w:rsid w:val="003F2BEB"/>
    <w:rsid w:val="003F384B"/>
    <w:rsid w:val="003F4263"/>
    <w:rsid w:val="003F79CE"/>
    <w:rsid w:val="0040083A"/>
    <w:rsid w:val="00400CB5"/>
    <w:rsid w:val="00401C5A"/>
    <w:rsid w:val="00403672"/>
    <w:rsid w:val="00406812"/>
    <w:rsid w:val="004122AF"/>
    <w:rsid w:val="00412739"/>
    <w:rsid w:val="00413678"/>
    <w:rsid w:val="00421610"/>
    <w:rsid w:val="004424D2"/>
    <w:rsid w:val="004439E0"/>
    <w:rsid w:val="00443B16"/>
    <w:rsid w:val="0044781C"/>
    <w:rsid w:val="00454101"/>
    <w:rsid w:val="00455A57"/>
    <w:rsid w:val="00457863"/>
    <w:rsid w:val="004705C6"/>
    <w:rsid w:val="00474BA1"/>
    <w:rsid w:val="00476B0A"/>
    <w:rsid w:val="00485544"/>
    <w:rsid w:val="00485FE2"/>
    <w:rsid w:val="00494449"/>
    <w:rsid w:val="004A0A8E"/>
    <w:rsid w:val="004A58DF"/>
    <w:rsid w:val="004A70B9"/>
    <w:rsid w:val="004B41D6"/>
    <w:rsid w:val="004D19F0"/>
    <w:rsid w:val="004D797A"/>
    <w:rsid w:val="004D7E15"/>
    <w:rsid w:val="004E631D"/>
    <w:rsid w:val="004F0BE3"/>
    <w:rsid w:val="004F1C83"/>
    <w:rsid w:val="00506AC9"/>
    <w:rsid w:val="00507E3A"/>
    <w:rsid w:val="00507F2D"/>
    <w:rsid w:val="00520490"/>
    <w:rsid w:val="00523C54"/>
    <w:rsid w:val="005265A9"/>
    <w:rsid w:val="00527812"/>
    <w:rsid w:val="0053306B"/>
    <w:rsid w:val="00535554"/>
    <w:rsid w:val="005422BE"/>
    <w:rsid w:val="0054480B"/>
    <w:rsid w:val="00545509"/>
    <w:rsid w:val="00545B84"/>
    <w:rsid w:val="00546E0C"/>
    <w:rsid w:val="00547AE2"/>
    <w:rsid w:val="005504AC"/>
    <w:rsid w:val="00553308"/>
    <w:rsid w:val="00557DE1"/>
    <w:rsid w:val="00565F48"/>
    <w:rsid w:val="00567FB7"/>
    <w:rsid w:val="00574375"/>
    <w:rsid w:val="005768CE"/>
    <w:rsid w:val="005772D4"/>
    <w:rsid w:val="005809D6"/>
    <w:rsid w:val="00580C69"/>
    <w:rsid w:val="00582919"/>
    <w:rsid w:val="00586ACF"/>
    <w:rsid w:val="00586D98"/>
    <w:rsid w:val="00590DBE"/>
    <w:rsid w:val="00595E96"/>
    <w:rsid w:val="0059662D"/>
    <w:rsid w:val="005A2B3D"/>
    <w:rsid w:val="005A418A"/>
    <w:rsid w:val="005A5ABF"/>
    <w:rsid w:val="005B2B0F"/>
    <w:rsid w:val="005B2B96"/>
    <w:rsid w:val="005B4B46"/>
    <w:rsid w:val="005B77DA"/>
    <w:rsid w:val="005C0B71"/>
    <w:rsid w:val="005C0D9C"/>
    <w:rsid w:val="005C11CF"/>
    <w:rsid w:val="005C25E7"/>
    <w:rsid w:val="005C28A9"/>
    <w:rsid w:val="005C3B7A"/>
    <w:rsid w:val="005C6297"/>
    <w:rsid w:val="005C6A7E"/>
    <w:rsid w:val="005C6CA2"/>
    <w:rsid w:val="005C6D15"/>
    <w:rsid w:val="005D42ED"/>
    <w:rsid w:val="005D7FF5"/>
    <w:rsid w:val="005F30D8"/>
    <w:rsid w:val="005F5937"/>
    <w:rsid w:val="00602BF4"/>
    <w:rsid w:val="00604036"/>
    <w:rsid w:val="0060770B"/>
    <w:rsid w:val="00625D15"/>
    <w:rsid w:val="00626B5D"/>
    <w:rsid w:val="0063420F"/>
    <w:rsid w:val="00635E7C"/>
    <w:rsid w:val="00636CEE"/>
    <w:rsid w:val="00637F49"/>
    <w:rsid w:val="00641627"/>
    <w:rsid w:val="00645AA6"/>
    <w:rsid w:val="006477F4"/>
    <w:rsid w:val="00651579"/>
    <w:rsid w:val="00654626"/>
    <w:rsid w:val="006566A3"/>
    <w:rsid w:val="00675B62"/>
    <w:rsid w:val="006808A0"/>
    <w:rsid w:val="00683C6D"/>
    <w:rsid w:val="0068414B"/>
    <w:rsid w:val="00695C86"/>
    <w:rsid w:val="006B01A2"/>
    <w:rsid w:val="006B6642"/>
    <w:rsid w:val="006C4B8C"/>
    <w:rsid w:val="006D0546"/>
    <w:rsid w:val="006D088D"/>
    <w:rsid w:val="006D4531"/>
    <w:rsid w:val="006D7A86"/>
    <w:rsid w:val="006E5850"/>
    <w:rsid w:val="006F1F98"/>
    <w:rsid w:val="006F5399"/>
    <w:rsid w:val="006F6834"/>
    <w:rsid w:val="006F74F1"/>
    <w:rsid w:val="00701BBD"/>
    <w:rsid w:val="00705F01"/>
    <w:rsid w:val="00706FF2"/>
    <w:rsid w:val="00707E99"/>
    <w:rsid w:val="007102E5"/>
    <w:rsid w:val="007162AA"/>
    <w:rsid w:val="00717E22"/>
    <w:rsid w:val="0072434A"/>
    <w:rsid w:val="00730499"/>
    <w:rsid w:val="007371C6"/>
    <w:rsid w:val="00737E83"/>
    <w:rsid w:val="00743AD7"/>
    <w:rsid w:val="00751682"/>
    <w:rsid w:val="00751F13"/>
    <w:rsid w:val="00753D4A"/>
    <w:rsid w:val="0075530D"/>
    <w:rsid w:val="00760F58"/>
    <w:rsid w:val="0076601A"/>
    <w:rsid w:val="00771534"/>
    <w:rsid w:val="007722BC"/>
    <w:rsid w:val="0077331E"/>
    <w:rsid w:val="0077480B"/>
    <w:rsid w:val="007838F7"/>
    <w:rsid w:val="0079166B"/>
    <w:rsid w:val="0079487F"/>
    <w:rsid w:val="0079696E"/>
    <w:rsid w:val="00796E41"/>
    <w:rsid w:val="00797538"/>
    <w:rsid w:val="007A2746"/>
    <w:rsid w:val="007A3084"/>
    <w:rsid w:val="007A59B2"/>
    <w:rsid w:val="007A6120"/>
    <w:rsid w:val="007B08F7"/>
    <w:rsid w:val="007B32C0"/>
    <w:rsid w:val="007B38D0"/>
    <w:rsid w:val="007C5198"/>
    <w:rsid w:val="007E26BF"/>
    <w:rsid w:val="007E3EF1"/>
    <w:rsid w:val="007E46A3"/>
    <w:rsid w:val="007F01CF"/>
    <w:rsid w:val="007F1038"/>
    <w:rsid w:val="007F5629"/>
    <w:rsid w:val="007F5E16"/>
    <w:rsid w:val="007F77F2"/>
    <w:rsid w:val="00802592"/>
    <w:rsid w:val="008029FE"/>
    <w:rsid w:val="0080352D"/>
    <w:rsid w:val="00803AE3"/>
    <w:rsid w:val="00804DA6"/>
    <w:rsid w:val="00804EA0"/>
    <w:rsid w:val="00806B7E"/>
    <w:rsid w:val="00813192"/>
    <w:rsid w:val="00814199"/>
    <w:rsid w:val="0082394F"/>
    <w:rsid w:val="00823FDA"/>
    <w:rsid w:val="0082435E"/>
    <w:rsid w:val="00830E80"/>
    <w:rsid w:val="0083323D"/>
    <w:rsid w:val="00835B17"/>
    <w:rsid w:val="00841F7E"/>
    <w:rsid w:val="00862D47"/>
    <w:rsid w:val="008707DD"/>
    <w:rsid w:val="00874A6F"/>
    <w:rsid w:val="00874BA2"/>
    <w:rsid w:val="00875AFA"/>
    <w:rsid w:val="00880156"/>
    <w:rsid w:val="008852A3"/>
    <w:rsid w:val="00885372"/>
    <w:rsid w:val="008853D9"/>
    <w:rsid w:val="008933E8"/>
    <w:rsid w:val="00894376"/>
    <w:rsid w:val="0089577C"/>
    <w:rsid w:val="00897CB3"/>
    <w:rsid w:val="008B1A39"/>
    <w:rsid w:val="008B5623"/>
    <w:rsid w:val="008C4BFF"/>
    <w:rsid w:val="008D27CC"/>
    <w:rsid w:val="008D4E7D"/>
    <w:rsid w:val="008D57F0"/>
    <w:rsid w:val="008E050D"/>
    <w:rsid w:val="008E7E6C"/>
    <w:rsid w:val="008F4CCA"/>
    <w:rsid w:val="00905757"/>
    <w:rsid w:val="00911750"/>
    <w:rsid w:val="0091324E"/>
    <w:rsid w:val="00915503"/>
    <w:rsid w:val="00917BF0"/>
    <w:rsid w:val="00920172"/>
    <w:rsid w:val="00921385"/>
    <w:rsid w:val="009220A3"/>
    <w:rsid w:val="00925856"/>
    <w:rsid w:val="0092760A"/>
    <w:rsid w:val="009354AA"/>
    <w:rsid w:val="00942FAB"/>
    <w:rsid w:val="00943705"/>
    <w:rsid w:val="0094677C"/>
    <w:rsid w:val="00947CF6"/>
    <w:rsid w:val="00955F51"/>
    <w:rsid w:val="0096181E"/>
    <w:rsid w:val="00971FBC"/>
    <w:rsid w:val="009726D6"/>
    <w:rsid w:val="00975656"/>
    <w:rsid w:val="009766FD"/>
    <w:rsid w:val="00976850"/>
    <w:rsid w:val="0098379D"/>
    <w:rsid w:val="009847DD"/>
    <w:rsid w:val="00991F58"/>
    <w:rsid w:val="009945BA"/>
    <w:rsid w:val="00996BA1"/>
    <w:rsid w:val="009A2677"/>
    <w:rsid w:val="009A3F0F"/>
    <w:rsid w:val="009A3FCE"/>
    <w:rsid w:val="009A746F"/>
    <w:rsid w:val="009B44D7"/>
    <w:rsid w:val="009B6C9C"/>
    <w:rsid w:val="009B788F"/>
    <w:rsid w:val="009C039C"/>
    <w:rsid w:val="009C297C"/>
    <w:rsid w:val="009C3EBF"/>
    <w:rsid w:val="009D03A5"/>
    <w:rsid w:val="009D3F0C"/>
    <w:rsid w:val="009D6AAC"/>
    <w:rsid w:val="009E0299"/>
    <w:rsid w:val="009E2BA7"/>
    <w:rsid w:val="009F040B"/>
    <w:rsid w:val="009F0B22"/>
    <w:rsid w:val="009F724A"/>
    <w:rsid w:val="009F746A"/>
    <w:rsid w:val="00A00BE5"/>
    <w:rsid w:val="00A07DFF"/>
    <w:rsid w:val="00A10B55"/>
    <w:rsid w:val="00A12F2B"/>
    <w:rsid w:val="00A16C9F"/>
    <w:rsid w:val="00A22D0E"/>
    <w:rsid w:val="00A3180C"/>
    <w:rsid w:val="00A33ECD"/>
    <w:rsid w:val="00A37C97"/>
    <w:rsid w:val="00A40DD0"/>
    <w:rsid w:val="00A43284"/>
    <w:rsid w:val="00A53DE2"/>
    <w:rsid w:val="00A54FCE"/>
    <w:rsid w:val="00A65A2F"/>
    <w:rsid w:val="00A664EE"/>
    <w:rsid w:val="00A677CB"/>
    <w:rsid w:val="00A74531"/>
    <w:rsid w:val="00A837C1"/>
    <w:rsid w:val="00A850A9"/>
    <w:rsid w:val="00A86312"/>
    <w:rsid w:val="00A935FA"/>
    <w:rsid w:val="00A94225"/>
    <w:rsid w:val="00A957A6"/>
    <w:rsid w:val="00AA32A1"/>
    <w:rsid w:val="00AA6295"/>
    <w:rsid w:val="00AA7AAA"/>
    <w:rsid w:val="00AB06C8"/>
    <w:rsid w:val="00AC16F6"/>
    <w:rsid w:val="00AC648E"/>
    <w:rsid w:val="00AC6C03"/>
    <w:rsid w:val="00AC6C4E"/>
    <w:rsid w:val="00AC6E35"/>
    <w:rsid w:val="00AC7ABA"/>
    <w:rsid w:val="00AD16BB"/>
    <w:rsid w:val="00AD2537"/>
    <w:rsid w:val="00AE4821"/>
    <w:rsid w:val="00AF4F59"/>
    <w:rsid w:val="00AF537D"/>
    <w:rsid w:val="00B12F35"/>
    <w:rsid w:val="00B22A62"/>
    <w:rsid w:val="00B24A40"/>
    <w:rsid w:val="00B33E99"/>
    <w:rsid w:val="00B353E4"/>
    <w:rsid w:val="00B542AA"/>
    <w:rsid w:val="00B57D9E"/>
    <w:rsid w:val="00B6689B"/>
    <w:rsid w:val="00B66FBE"/>
    <w:rsid w:val="00B67572"/>
    <w:rsid w:val="00B7287D"/>
    <w:rsid w:val="00B730CB"/>
    <w:rsid w:val="00B81E1B"/>
    <w:rsid w:val="00B838AE"/>
    <w:rsid w:val="00B83C28"/>
    <w:rsid w:val="00B858AE"/>
    <w:rsid w:val="00B90AEC"/>
    <w:rsid w:val="00B946DD"/>
    <w:rsid w:val="00B9781E"/>
    <w:rsid w:val="00BA28EC"/>
    <w:rsid w:val="00BA7C54"/>
    <w:rsid w:val="00BB17C7"/>
    <w:rsid w:val="00BB4300"/>
    <w:rsid w:val="00BB5F59"/>
    <w:rsid w:val="00BC17C5"/>
    <w:rsid w:val="00BC74F4"/>
    <w:rsid w:val="00BC7896"/>
    <w:rsid w:val="00BC7F76"/>
    <w:rsid w:val="00BE0809"/>
    <w:rsid w:val="00BE1659"/>
    <w:rsid w:val="00BE3CBC"/>
    <w:rsid w:val="00BF4F1B"/>
    <w:rsid w:val="00BF6529"/>
    <w:rsid w:val="00C13944"/>
    <w:rsid w:val="00C13EEE"/>
    <w:rsid w:val="00C20969"/>
    <w:rsid w:val="00C2097A"/>
    <w:rsid w:val="00C2202D"/>
    <w:rsid w:val="00C250DF"/>
    <w:rsid w:val="00C26E0F"/>
    <w:rsid w:val="00C32768"/>
    <w:rsid w:val="00C345D1"/>
    <w:rsid w:val="00C347AC"/>
    <w:rsid w:val="00C43DC7"/>
    <w:rsid w:val="00C50024"/>
    <w:rsid w:val="00C51FA2"/>
    <w:rsid w:val="00C53A48"/>
    <w:rsid w:val="00C576BF"/>
    <w:rsid w:val="00C605F4"/>
    <w:rsid w:val="00C6385B"/>
    <w:rsid w:val="00C6652B"/>
    <w:rsid w:val="00C71B8A"/>
    <w:rsid w:val="00C7422B"/>
    <w:rsid w:val="00C76EC0"/>
    <w:rsid w:val="00C80AE5"/>
    <w:rsid w:val="00C81097"/>
    <w:rsid w:val="00C816AA"/>
    <w:rsid w:val="00C831F6"/>
    <w:rsid w:val="00C86F86"/>
    <w:rsid w:val="00C8770A"/>
    <w:rsid w:val="00CA0125"/>
    <w:rsid w:val="00CA2957"/>
    <w:rsid w:val="00CB0B7B"/>
    <w:rsid w:val="00CB0E97"/>
    <w:rsid w:val="00CB1533"/>
    <w:rsid w:val="00CB34C1"/>
    <w:rsid w:val="00CB4A8F"/>
    <w:rsid w:val="00CB4E8B"/>
    <w:rsid w:val="00CB5EBA"/>
    <w:rsid w:val="00CB6982"/>
    <w:rsid w:val="00CC7214"/>
    <w:rsid w:val="00CC7D01"/>
    <w:rsid w:val="00CD1D08"/>
    <w:rsid w:val="00CD3267"/>
    <w:rsid w:val="00CD3E64"/>
    <w:rsid w:val="00CD502A"/>
    <w:rsid w:val="00CD7D65"/>
    <w:rsid w:val="00CE0367"/>
    <w:rsid w:val="00CE2276"/>
    <w:rsid w:val="00CE6E3F"/>
    <w:rsid w:val="00CF2F80"/>
    <w:rsid w:val="00D00063"/>
    <w:rsid w:val="00D0120D"/>
    <w:rsid w:val="00D06F57"/>
    <w:rsid w:val="00D07A60"/>
    <w:rsid w:val="00D11D9E"/>
    <w:rsid w:val="00D14B7D"/>
    <w:rsid w:val="00D223B1"/>
    <w:rsid w:val="00D33A51"/>
    <w:rsid w:val="00D34773"/>
    <w:rsid w:val="00D357C9"/>
    <w:rsid w:val="00D35D01"/>
    <w:rsid w:val="00D41DC0"/>
    <w:rsid w:val="00D43B31"/>
    <w:rsid w:val="00D4443A"/>
    <w:rsid w:val="00D478B3"/>
    <w:rsid w:val="00D51442"/>
    <w:rsid w:val="00D5509F"/>
    <w:rsid w:val="00D55771"/>
    <w:rsid w:val="00D5752C"/>
    <w:rsid w:val="00D6418B"/>
    <w:rsid w:val="00D66908"/>
    <w:rsid w:val="00D72DDE"/>
    <w:rsid w:val="00D7693A"/>
    <w:rsid w:val="00D83021"/>
    <w:rsid w:val="00D83AB1"/>
    <w:rsid w:val="00D83DBB"/>
    <w:rsid w:val="00D8475E"/>
    <w:rsid w:val="00D85E9E"/>
    <w:rsid w:val="00D877B5"/>
    <w:rsid w:val="00D96FE9"/>
    <w:rsid w:val="00D974F4"/>
    <w:rsid w:val="00DA1469"/>
    <w:rsid w:val="00DA1501"/>
    <w:rsid w:val="00DA152B"/>
    <w:rsid w:val="00DA1CA4"/>
    <w:rsid w:val="00DA2C52"/>
    <w:rsid w:val="00DB15E0"/>
    <w:rsid w:val="00DB4258"/>
    <w:rsid w:val="00DB5AF6"/>
    <w:rsid w:val="00DC0394"/>
    <w:rsid w:val="00DC0892"/>
    <w:rsid w:val="00DC6B89"/>
    <w:rsid w:val="00DD0A2E"/>
    <w:rsid w:val="00DD4452"/>
    <w:rsid w:val="00DE077E"/>
    <w:rsid w:val="00DE15EB"/>
    <w:rsid w:val="00DE4989"/>
    <w:rsid w:val="00DF1E34"/>
    <w:rsid w:val="00DF2E37"/>
    <w:rsid w:val="00DF2FC7"/>
    <w:rsid w:val="00DF4D78"/>
    <w:rsid w:val="00DF5EF2"/>
    <w:rsid w:val="00DF6BB7"/>
    <w:rsid w:val="00E00734"/>
    <w:rsid w:val="00E03E46"/>
    <w:rsid w:val="00E05587"/>
    <w:rsid w:val="00E07C66"/>
    <w:rsid w:val="00E103E8"/>
    <w:rsid w:val="00E1275A"/>
    <w:rsid w:val="00E16540"/>
    <w:rsid w:val="00E20AB2"/>
    <w:rsid w:val="00E2505E"/>
    <w:rsid w:val="00E314C2"/>
    <w:rsid w:val="00E330BC"/>
    <w:rsid w:val="00E3617B"/>
    <w:rsid w:val="00E432DD"/>
    <w:rsid w:val="00E43ECD"/>
    <w:rsid w:val="00E4451D"/>
    <w:rsid w:val="00E45042"/>
    <w:rsid w:val="00E45AE6"/>
    <w:rsid w:val="00E464AE"/>
    <w:rsid w:val="00E47FB9"/>
    <w:rsid w:val="00E50C15"/>
    <w:rsid w:val="00E55C5F"/>
    <w:rsid w:val="00E577C6"/>
    <w:rsid w:val="00E6019A"/>
    <w:rsid w:val="00E62760"/>
    <w:rsid w:val="00E63E0A"/>
    <w:rsid w:val="00E671DC"/>
    <w:rsid w:val="00E67A1D"/>
    <w:rsid w:val="00E70C8A"/>
    <w:rsid w:val="00E7313F"/>
    <w:rsid w:val="00E815A8"/>
    <w:rsid w:val="00E85C35"/>
    <w:rsid w:val="00E91513"/>
    <w:rsid w:val="00E95F77"/>
    <w:rsid w:val="00E976BF"/>
    <w:rsid w:val="00E9774E"/>
    <w:rsid w:val="00EA4588"/>
    <w:rsid w:val="00EA4AD3"/>
    <w:rsid w:val="00EA7328"/>
    <w:rsid w:val="00EB0353"/>
    <w:rsid w:val="00EB2BFF"/>
    <w:rsid w:val="00EB3A99"/>
    <w:rsid w:val="00EB60F3"/>
    <w:rsid w:val="00EC1C29"/>
    <w:rsid w:val="00EC5B35"/>
    <w:rsid w:val="00EC606A"/>
    <w:rsid w:val="00ED1612"/>
    <w:rsid w:val="00ED1D88"/>
    <w:rsid w:val="00EE0096"/>
    <w:rsid w:val="00EE0F2D"/>
    <w:rsid w:val="00EE74AA"/>
    <w:rsid w:val="00EF273A"/>
    <w:rsid w:val="00F06A19"/>
    <w:rsid w:val="00F104F1"/>
    <w:rsid w:val="00F12147"/>
    <w:rsid w:val="00F13FE1"/>
    <w:rsid w:val="00F15A51"/>
    <w:rsid w:val="00F17099"/>
    <w:rsid w:val="00F218CE"/>
    <w:rsid w:val="00F21F65"/>
    <w:rsid w:val="00F23C34"/>
    <w:rsid w:val="00F343D0"/>
    <w:rsid w:val="00F35C15"/>
    <w:rsid w:val="00F36320"/>
    <w:rsid w:val="00F367B8"/>
    <w:rsid w:val="00F5153A"/>
    <w:rsid w:val="00F53085"/>
    <w:rsid w:val="00F53A90"/>
    <w:rsid w:val="00F55611"/>
    <w:rsid w:val="00F55C2C"/>
    <w:rsid w:val="00F623C4"/>
    <w:rsid w:val="00F65928"/>
    <w:rsid w:val="00F65A72"/>
    <w:rsid w:val="00F66ADB"/>
    <w:rsid w:val="00F676F9"/>
    <w:rsid w:val="00F67FD7"/>
    <w:rsid w:val="00F70154"/>
    <w:rsid w:val="00F70411"/>
    <w:rsid w:val="00F70F00"/>
    <w:rsid w:val="00F71F53"/>
    <w:rsid w:val="00F7267C"/>
    <w:rsid w:val="00F75450"/>
    <w:rsid w:val="00F77D99"/>
    <w:rsid w:val="00F81139"/>
    <w:rsid w:val="00F82C5C"/>
    <w:rsid w:val="00F83CDD"/>
    <w:rsid w:val="00F849A2"/>
    <w:rsid w:val="00F95EE1"/>
    <w:rsid w:val="00F96494"/>
    <w:rsid w:val="00FA3B63"/>
    <w:rsid w:val="00FA7B55"/>
    <w:rsid w:val="00FB0143"/>
    <w:rsid w:val="00FB4192"/>
    <w:rsid w:val="00FB79AE"/>
    <w:rsid w:val="00FC455E"/>
    <w:rsid w:val="00FC77CC"/>
    <w:rsid w:val="00FD1F53"/>
    <w:rsid w:val="00FD722C"/>
    <w:rsid w:val="00FE1B06"/>
    <w:rsid w:val="00FE2471"/>
    <w:rsid w:val="00FE69E7"/>
    <w:rsid w:val="00FF642E"/>
    <w:rsid w:val="00FF6652"/>
    <w:rsid w:val="00FF7377"/>
    <w:rsid w:val="00F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D846A4C1-B439-4C49-B846-ACFC4885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0"/>
      <w:jc w:val="both"/>
    </w:pPr>
    <w:rPr>
      <w:snapToGrid w:val="0"/>
      <w:sz w:val="24"/>
      <w:szCs w:val="24"/>
      <w:lang w:val="fr-FR"/>
    </w:rPr>
  </w:style>
  <w:style w:type="paragraph" w:styleId="Heading1">
    <w:name w:val="heading 1"/>
    <w:basedOn w:val="Normal"/>
    <w:next w:val="Text1"/>
    <w:qFormat/>
    <w:pPr>
      <w:keepNext/>
      <w:numPr>
        <w:numId w:val="3"/>
      </w:numPr>
      <w:tabs>
        <w:tab w:val="num" w:pos="480"/>
      </w:tabs>
      <w:spacing w:before="240"/>
      <w:ind w:left="480" w:hanging="480"/>
      <w:outlineLvl w:val="0"/>
    </w:pPr>
    <w:rPr>
      <w:b/>
      <w:bCs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tabs>
        <w:tab w:val="num" w:pos="1080"/>
      </w:tabs>
      <w:ind w:left="1080" w:hanging="600"/>
      <w:outlineLvl w:val="1"/>
    </w:pPr>
    <w:rPr>
      <w:b/>
      <w:bCs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3"/>
      </w:numPr>
      <w:tabs>
        <w:tab w:val="num" w:pos="1920"/>
      </w:tabs>
      <w:ind w:left="1920" w:hanging="840"/>
      <w:outlineLvl w:val="2"/>
    </w:pPr>
    <w:rPr>
      <w:i/>
      <w:iCs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tabs>
        <w:tab w:val="num" w:pos="2880"/>
      </w:tabs>
      <w:ind w:left="2880" w:hanging="960"/>
      <w:outlineLvl w:val="3"/>
    </w:pPr>
  </w:style>
  <w:style w:type="paragraph" w:styleId="Heading5">
    <w:name w:val="heading 5"/>
    <w:basedOn w:val="Normal"/>
    <w:next w:val="Normal"/>
    <w:qFormat/>
    <w:pPr>
      <w:spacing w:before="240" w:after="60"/>
      <w:ind w:left="3332" w:hanging="708"/>
      <w:outlineLvl w:val="4"/>
    </w:pPr>
    <w:rPr>
      <w:rFonts w:ascii="Arial" w:hAnsi="Arial" w:cs="Arial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ind w:left="4040" w:hanging="708"/>
      <w:outlineLvl w:val="5"/>
    </w:pPr>
    <w:rPr>
      <w:rFonts w:ascii="Arial" w:hAnsi="Arial" w:cs="Arial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ind w:left="4748" w:hanging="708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ind w:left="5456" w:hanging="708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ind w:left="6164" w:hanging="708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0"/>
      </w:tabs>
      <w:ind w:left="1077"/>
    </w:pPr>
  </w:style>
  <w:style w:type="paragraph" w:customStyle="1" w:styleId="Text3">
    <w:name w:val="Text 3"/>
    <w:basedOn w:val="Normal"/>
    <w:pPr>
      <w:tabs>
        <w:tab w:val="left" w:pos="2302"/>
      </w:tabs>
      <w:ind w:left="1916"/>
    </w:pPr>
  </w:style>
  <w:style w:type="paragraph" w:customStyle="1" w:styleId="Text4">
    <w:name w:val="Text 4"/>
    <w:basedOn w:val="Normal"/>
    <w:pPr>
      <w:ind w:left="2880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Closing">
    <w:name w:val="Closing"/>
    <w:basedOn w:val="Normal"/>
    <w:next w:val="Signature"/>
    <w:pPr>
      <w:tabs>
        <w:tab w:val="left" w:pos="5103"/>
      </w:tabs>
      <w:spacing w:before="240"/>
      <w:ind w:left="5103"/>
      <w:jc w:val="left"/>
    </w:pPr>
  </w:style>
  <w:style w:type="paragraph" w:styleId="Signature">
    <w:name w:val="Signature"/>
    <w:basedOn w:val="Normal"/>
    <w:next w:val="Contact"/>
    <w:pPr>
      <w:tabs>
        <w:tab w:val="left" w:pos="5103"/>
      </w:tabs>
      <w:spacing w:before="1200" w:after="0"/>
      <w:ind w:left="5103"/>
      <w:jc w:val="center"/>
    </w:pPr>
    <w:rPr>
      <w:lang w:val="de-DE"/>
    </w:rPr>
  </w:style>
  <w:style w:type="paragraph" w:customStyle="1" w:styleId="Contact">
    <w:name w:val="Contact"/>
    <w:basedOn w:val="Normal"/>
    <w:next w:val="Enclosures"/>
    <w:pPr>
      <w:spacing w:before="480" w:after="0"/>
      <w:ind w:left="567" w:hanging="567"/>
      <w:jc w:val="left"/>
    </w:pPr>
  </w:style>
  <w:style w:type="paragraph" w:customStyle="1" w:styleId="Enclosures">
    <w:name w:val="Enclosures"/>
    <w:basedOn w:val="Normal"/>
    <w:next w:val="Participants"/>
    <w:pPr>
      <w:keepNext/>
      <w:keepLines/>
      <w:tabs>
        <w:tab w:val="left" w:pos="5642"/>
      </w:tabs>
      <w:spacing w:before="480" w:after="0"/>
      <w:ind w:left="1792" w:hanging="1792"/>
      <w:jc w:val="left"/>
    </w:pPr>
  </w:style>
  <w:style w:type="paragraph" w:customStyle="1" w:styleId="Participants">
    <w:name w:val="Participants"/>
    <w:basedOn w:val="Normal"/>
    <w:next w:val="Copies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customStyle="1" w:styleId="Copies">
    <w:name w:val="Copies"/>
    <w:basedOn w:val="Normal"/>
    <w:next w:val="Normal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</w:style>
  <w:style w:type="paragraph" w:customStyle="1" w:styleId="DoubSign">
    <w:name w:val="DoubSign"/>
    <w:basedOn w:val="Normal"/>
    <w:next w:val="Contact"/>
    <w:pPr>
      <w:tabs>
        <w:tab w:val="left" w:pos="5103"/>
      </w:tabs>
      <w:spacing w:before="1200" w:after="0"/>
      <w:jc w:val="left"/>
    </w:pPr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  <w:szCs w:val="20"/>
    </w:rPr>
  </w:style>
  <w:style w:type="paragraph" w:styleId="Footer">
    <w:name w:val="footer"/>
    <w:basedOn w:val="Normal"/>
    <w:pPr>
      <w:spacing w:after="0"/>
      <w:ind w:right="-567"/>
      <w:jc w:val="left"/>
    </w:pPr>
    <w:rPr>
      <w:rFonts w:ascii="Arial" w:hAnsi="Arial" w:cs="Arial"/>
      <w:sz w:val="16"/>
      <w:szCs w:val="16"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4"/>
      </w:numPr>
      <w:tabs>
        <w:tab w:val="num" w:pos="283"/>
      </w:tabs>
      <w:ind w:left="283"/>
    </w:pPr>
  </w:style>
  <w:style w:type="paragraph" w:styleId="ListBullet2">
    <w:name w:val="List Bullet 2"/>
    <w:basedOn w:val="Text2"/>
    <w:autoRedefine/>
    <w:pPr>
      <w:numPr>
        <w:numId w:val="6"/>
      </w:numPr>
      <w:tabs>
        <w:tab w:val="clear" w:pos="2160"/>
        <w:tab w:val="num" w:pos="1360"/>
      </w:tabs>
      <w:ind w:left="1360"/>
    </w:pPr>
  </w:style>
  <w:style w:type="paragraph" w:styleId="ListBullet3">
    <w:name w:val="List Bullet 3"/>
    <w:basedOn w:val="Text3"/>
    <w:autoRedefine/>
    <w:pPr>
      <w:numPr>
        <w:numId w:val="7"/>
      </w:numPr>
      <w:tabs>
        <w:tab w:val="clear" w:pos="2302"/>
        <w:tab w:val="num" w:pos="2199"/>
      </w:tabs>
      <w:ind w:left="2199"/>
    </w:pPr>
  </w:style>
  <w:style w:type="paragraph" w:styleId="ListBullet4">
    <w:name w:val="List Bullet 4"/>
    <w:basedOn w:val="Text4"/>
    <w:autoRedefine/>
    <w:pPr>
      <w:numPr>
        <w:numId w:val="8"/>
      </w:numPr>
      <w:tabs>
        <w:tab w:val="num" w:pos="3163"/>
      </w:tabs>
      <w:ind w:left="3163" w:hanging="283"/>
    </w:pPr>
  </w:style>
  <w:style w:type="paragraph" w:styleId="ListBullet5">
    <w:name w:val="List Bullet 5"/>
    <w:basedOn w:val="Normal"/>
    <w:autoRedefine/>
    <w:pPr>
      <w:numPr>
        <w:numId w:val="1"/>
      </w:numPr>
      <w:tabs>
        <w:tab w:val="clear" w:pos="360"/>
        <w:tab w:val="num" w:pos="1492"/>
      </w:tabs>
      <w:ind w:left="1492"/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3"/>
      </w:numPr>
      <w:tabs>
        <w:tab w:val="num" w:pos="709"/>
      </w:tabs>
      <w:ind w:left="709" w:hanging="709"/>
    </w:pPr>
  </w:style>
  <w:style w:type="paragraph" w:styleId="ListNumber2">
    <w:name w:val="List Number 2"/>
    <w:basedOn w:val="Text2"/>
    <w:pPr>
      <w:numPr>
        <w:numId w:val="15"/>
      </w:numPr>
      <w:tabs>
        <w:tab w:val="clear" w:pos="2160"/>
        <w:tab w:val="num" w:pos="1786"/>
      </w:tabs>
      <w:ind w:left="1786" w:hanging="709"/>
    </w:pPr>
  </w:style>
  <w:style w:type="paragraph" w:styleId="ListNumber3">
    <w:name w:val="List Number 3"/>
    <w:basedOn w:val="Text3"/>
    <w:pPr>
      <w:numPr>
        <w:numId w:val="16"/>
      </w:numPr>
      <w:tabs>
        <w:tab w:val="clear" w:pos="2302"/>
        <w:tab w:val="num" w:pos="2625"/>
      </w:tabs>
      <w:ind w:left="2625" w:hanging="709"/>
    </w:pPr>
  </w:style>
  <w:style w:type="paragraph" w:styleId="ListNumber4">
    <w:name w:val="List Number 4"/>
    <w:basedOn w:val="Text4"/>
    <w:pPr>
      <w:numPr>
        <w:numId w:val="17"/>
      </w:numPr>
      <w:tabs>
        <w:tab w:val="num" w:pos="3589"/>
      </w:tabs>
      <w:ind w:left="3589" w:hanging="709"/>
    </w:pPr>
  </w:style>
  <w:style w:type="paragraph" w:styleId="ListNumber5">
    <w:name w:val="List Number 5"/>
    <w:basedOn w:val="Normal"/>
    <w:pPr>
      <w:numPr>
        <w:numId w:val="2"/>
      </w:numPr>
      <w:tabs>
        <w:tab w:val="num" w:pos="1492"/>
      </w:tabs>
      <w:ind w:left="1492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snapToGrid w:val="0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bCs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  <w:jc w:val="left"/>
    </w:pPr>
    <w:rPr>
      <w:b/>
      <w:bCs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bCs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bCs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  <w:bCs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  <w:iCs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paragraph" w:customStyle="1" w:styleId="ListBullet1">
    <w:name w:val="List Bullet 1"/>
    <w:basedOn w:val="Text1"/>
    <w:pPr>
      <w:numPr>
        <w:numId w:val="5"/>
      </w:numPr>
      <w:tabs>
        <w:tab w:val="num" w:pos="765"/>
      </w:tabs>
      <w:ind w:left="765"/>
    </w:pPr>
  </w:style>
  <w:style w:type="paragraph" w:customStyle="1" w:styleId="ListDash">
    <w:name w:val="List Dash"/>
    <w:basedOn w:val="Normal"/>
    <w:pPr>
      <w:numPr>
        <w:numId w:val="19"/>
      </w:numPr>
      <w:tabs>
        <w:tab w:val="clear" w:pos="360"/>
        <w:tab w:val="num" w:pos="283"/>
      </w:tabs>
      <w:ind w:left="283" w:hanging="283"/>
    </w:pPr>
  </w:style>
  <w:style w:type="paragraph" w:customStyle="1" w:styleId="ListDash1">
    <w:name w:val="List Dash 1"/>
    <w:basedOn w:val="Text1"/>
    <w:pPr>
      <w:numPr>
        <w:numId w:val="9"/>
      </w:numPr>
      <w:tabs>
        <w:tab w:val="num" w:pos="765"/>
      </w:tabs>
      <w:ind w:left="765" w:hanging="283"/>
    </w:pPr>
  </w:style>
  <w:style w:type="paragraph" w:customStyle="1" w:styleId="ListDash2">
    <w:name w:val="List Dash 2"/>
    <w:basedOn w:val="Text2"/>
    <w:pPr>
      <w:numPr>
        <w:numId w:val="10"/>
      </w:numPr>
      <w:tabs>
        <w:tab w:val="clear" w:pos="2160"/>
        <w:tab w:val="num" w:pos="1360"/>
      </w:tabs>
      <w:ind w:left="1360" w:hanging="283"/>
    </w:pPr>
  </w:style>
  <w:style w:type="paragraph" w:customStyle="1" w:styleId="ListDash3">
    <w:name w:val="List Dash 3"/>
    <w:basedOn w:val="Text3"/>
    <w:pPr>
      <w:numPr>
        <w:numId w:val="11"/>
      </w:numPr>
      <w:tabs>
        <w:tab w:val="clear" w:pos="2302"/>
        <w:tab w:val="num" w:pos="2199"/>
      </w:tabs>
      <w:ind w:left="2199" w:hanging="283"/>
    </w:pPr>
  </w:style>
  <w:style w:type="paragraph" w:customStyle="1" w:styleId="ListDash4">
    <w:name w:val="List Dash 4"/>
    <w:basedOn w:val="Text4"/>
    <w:pPr>
      <w:numPr>
        <w:numId w:val="12"/>
      </w:numPr>
      <w:tabs>
        <w:tab w:val="num" w:pos="3163"/>
      </w:tabs>
      <w:ind w:left="3163" w:hanging="283"/>
    </w:pPr>
  </w:style>
  <w:style w:type="paragraph" w:customStyle="1" w:styleId="ListNumberLevel2">
    <w:name w:val="List Number (Level 2)"/>
    <w:basedOn w:val="Normal"/>
    <w:pPr>
      <w:numPr>
        <w:ilvl w:val="1"/>
        <w:numId w:val="13"/>
      </w:numPr>
      <w:tabs>
        <w:tab w:val="num" w:pos="1417"/>
      </w:tabs>
      <w:ind w:left="1417" w:hanging="708"/>
    </w:pPr>
  </w:style>
  <w:style w:type="paragraph" w:customStyle="1" w:styleId="ListNumberLevel3">
    <w:name w:val="List Number (Level 3)"/>
    <w:basedOn w:val="Normal"/>
    <w:pPr>
      <w:numPr>
        <w:ilvl w:val="2"/>
        <w:numId w:val="13"/>
      </w:numPr>
      <w:tabs>
        <w:tab w:val="num" w:pos="2126"/>
      </w:tabs>
      <w:ind w:left="2126" w:hanging="709"/>
    </w:pPr>
  </w:style>
  <w:style w:type="paragraph" w:customStyle="1" w:styleId="ListNumberLevel4">
    <w:name w:val="List Number (Level 4)"/>
    <w:basedOn w:val="Normal"/>
    <w:pPr>
      <w:numPr>
        <w:ilvl w:val="3"/>
        <w:numId w:val="13"/>
      </w:numPr>
      <w:tabs>
        <w:tab w:val="num" w:pos="2835"/>
      </w:tabs>
      <w:ind w:left="2835" w:hanging="709"/>
    </w:pPr>
  </w:style>
  <w:style w:type="paragraph" w:customStyle="1" w:styleId="ListNumber1">
    <w:name w:val="List Number 1"/>
    <w:basedOn w:val="Text1"/>
    <w:pPr>
      <w:numPr>
        <w:numId w:val="14"/>
      </w:numPr>
      <w:tabs>
        <w:tab w:val="num" w:pos="1191"/>
      </w:tabs>
      <w:ind w:left="1191" w:hanging="709"/>
    </w:pPr>
  </w:style>
  <w:style w:type="paragraph" w:customStyle="1" w:styleId="ListNumber1Level2">
    <w:name w:val="List Number 1 (Level 2)"/>
    <w:basedOn w:val="Text1"/>
    <w:pPr>
      <w:numPr>
        <w:ilvl w:val="1"/>
        <w:numId w:val="14"/>
      </w:numPr>
      <w:tabs>
        <w:tab w:val="num" w:pos="1899"/>
      </w:tabs>
      <w:ind w:left="1899" w:hanging="708"/>
    </w:pPr>
  </w:style>
  <w:style w:type="paragraph" w:customStyle="1" w:styleId="ListNumber1Level3">
    <w:name w:val="List Number 1 (Level 3)"/>
    <w:basedOn w:val="Text1"/>
    <w:pPr>
      <w:numPr>
        <w:ilvl w:val="2"/>
        <w:numId w:val="14"/>
      </w:numPr>
      <w:tabs>
        <w:tab w:val="num" w:pos="2608"/>
      </w:tabs>
      <w:ind w:left="2608" w:hanging="709"/>
    </w:pPr>
  </w:style>
  <w:style w:type="paragraph" w:customStyle="1" w:styleId="ListNumber1Level4">
    <w:name w:val="List Number 1 (Level 4)"/>
    <w:basedOn w:val="Text1"/>
    <w:pPr>
      <w:numPr>
        <w:ilvl w:val="3"/>
        <w:numId w:val="14"/>
      </w:numPr>
      <w:tabs>
        <w:tab w:val="num" w:pos="3317"/>
      </w:tabs>
      <w:ind w:left="3317" w:hanging="709"/>
    </w:pPr>
  </w:style>
  <w:style w:type="paragraph" w:customStyle="1" w:styleId="ListNumber2Level2">
    <w:name w:val="List Number 2 (Level 2)"/>
    <w:basedOn w:val="Text2"/>
    <w:pPr>
      <w:numPr>
        <w:ilvl w:val="1"/>
        <w:numId w:val="15"/>
      </w:numPr>
      <w:tabs>
        <w:tab w:val="clear" w:pos="2160"/>
        <w:tab w:val="num" w:pos="2494"/>
      </w:tabs>
      <w:ind w:left="2494" w:hanging="708"/>
    </w:pPr>
  </w:style>
  <w:style w:type="paragraph" w:customStyle="1" w:styleId="ListNumber2Level3">
    <w:name w:val="List Number 2 (Level 3)"/>
    <w:basedOn w:val="Text2"/>
    <w:pPr>
      <w:numPr>
        <w:ilvl w:val="2"/>
        <w:numId w:val="15"/>
      </w:numPr>
      <w:tabs>
        <w:tab w:val="clear" w:pos="2160"/>
        <w:tab w:val="num" w:pos="3203"/>
      </w:tabs>
      <w:ind w:left="3203" w:hanging="709"/>
    </w:pPr>
  </w:style>
  <w:style w:type="paragraph" w:customStyle="1" w:styleId="ListNumber2Level4">
    <w:name w:val="List Number 2 (Level 4)"/>
    <w:basedOn w:val="Text2"/>
    <w:pPr>
      <w:numPr>
        <w:ilvl w:val="3"/>
        <w:numId w:val="15"/>
      </w:numPr>
      <w:tabs>
        <w:tab w:val="clear" w:pos="2160"/>
        <w:tab w:val="num" w:pos="3912"/>
      </w:tabs>
      <w:ind w:left="3912" w:hanging="709"/>
    </w:pPr>
  </w:style>
  <w:style w:type="paragraph" w:customStyle="1" w:styleId="ListNumber3Level2">
    <w:name w:val="List Number 3 (Level 2)"/>
    <w:basedOn w:val="Text3"/>
    <w:pPr>
      <w:numPr>
        <w:ilvl w:val="1"/>
        <w:numId w:val="16"/>
      </w:numPr>
      <w:tabs>
        <w:tab w:val="clear" w:pos="2302"/>
        <w:tab w:val="num" w:pos="3333"/>
      </w:tabs>
      <w:ind w:left="3333" w:hanging="708"/>
    </w:pPr>
  </w:style>
  <w:style w:type="paragraph" w:customStyle="1" w:styleId="ListNumber3Level3">
    <w:name w:val="List Number 3 (Level 3)"/>
    <w:basedOn w:val="Text3"/>
    <w:pPr>
      <w:numPr>
        <w:ilvl w:val="2"/>
        <w:numId w:val="16"/>
      </w:numPr>
      <w:tabs>
        <w:tab w:val="clear" w:pos="2302"/>
        <w:tab w:val="num" w:pos="4042"/>
      </w:tabs>
      <w:ind w:left="4042" w:hanging="709"/>
    </w:pPr>
  </w:style>
  <w:style w:type="paragraph" w:customStyle="1" w:styleId="ListNumber3Level4">
    <w:name w:val="List Number 3 (Level 4)"/>
    <w:basedOn w:val="Text3"/>
    <w:pPr>
      <w:numPr>
        <w:ilvl w:val="3"/>
        <w:numId w:val="16"/>
      </w:numPr>
      <w:tabs>
        <w:tab w:val="clear" w:pos="2302"/>
        <w:tab w:val="num" w:pos="4751"/>
      </w:tabs>
      <w:ind w:left="4751" w:hanging="709"/>
    </w:pPr>
  </w:style>
  <w:style w:type="paragraph" w:customStyle="1" w:styleId="ListNumber4Level2">
    <w:name w:val="List Number 4 (Level 2)"/>
    <w:basedOn w:val="Text4"/>
    <w:pPr>
      <w:numPr>
        <w:ilvl w:val="1"/>
        <w:numId w:val="17"/>
      </w:numPr>
      <w:tabs>
        <w:tab w:val="num" w:pos="4297"/>
      </w:tabs>
      <w:ind w:left="4297" w:hanging="708"/>
    </w:pPr>
  </w:style>
  <w:style w:type="paragraph" w:customStyle="1" w:styleId="ListNumber4Level3">
    <w:name w:val="List Number 4 (Level 3)"/>
    <w:basedOn w:val="Text4"/>
    <w:pPr>
      <w:numPr>
        <w:ilvl w:val="2"/>
        <w:numId w:val="17"/>
      </w:numPr>
      <w:tabs>
        <w:tab w:val="num" w:pos="5006"/>
      </w:tabs>
      <w:ind w:left="5006" w:hanging="709"/>
    </w:pPr>
  </w:style>
  <w:style w:type="paragraph" w:customStyle="1" w:styleId="ListNumber4Level4">
    <w:name w:val="List Number 4 (Level 4)"/>
    <w:basedOn w:val="Text4"/>
    <w:pPr>
      <w:numPr>
        <w:ilvl w:val="3"/>
        <w:numId w:val="17"/>
      </w:numPr>
      <w:tabs>
        <w:tab w:val="num" w:pos="5715"/>
      </w:tabs>
      <w:ind w:left="5715" w:hanging="709"/>
    </w:pPr>
  </w:style>
  <w:style w:type="paragraph" w:styleId="TOCHeading">
    <w:name w:val="TOC Heading"/>
    <w:basedOn w:val="Normal"/>
    <w:next w:val="Normal"/>
    <w:qFormat/>
    <w:pPr>
      <w:keepNext/>
      <w:spacing w:before="240"/>
      <w:jc w:val="center"/>
    </w:pPr>
    <w:rPr>
      <w:b/>
      <w:bCs/>
    </w:rPr>
  </w:style>
  <w:style w:type="paragraph" w:customStyle="1" w:styleId="ZCom">
    <w:name w:val="Z_Com"/>
    <w:basedOn w:val="Normal"/>
    <w:next w:val="ZDGName"/>
    <w:pPr>
      <w:widowControl w:val="0"/>
      <w:spacing w:after="0"/>
      <w:ind w:right="85"/>
    </w:pPr>
    <w:rPr>
      <w:rFonts w:ascii="Arial" w:hAnsi="Arial" w:cs="Arial"/>
      <w:snapToGrid/>
    </w:rPr>
  </w:style>
  <w:style w:type="paragraph" w:customStyle="1" w:styleId="ZDGName">
    <w:name w:val="Z_DGName"/>
    <w:basedOn w:val="Normal"/>
    <w:pPr>
      <w:widowControl w:val="0"/>
      <w:spacing w:after="0"/>
      <w:ind w:right="85"/>
      <w:jc w:val="left"/>
    </w:pPr>
    <w:rPr>
      <w:rFonts w:ascii="Arial" w:hAnsi="Arial" w:cs="Arial"/>
      <w:snapToGrid/>
      <w:sz w:val="16"/>
      <w:szCs w:val="16"/>
    </w:rPr>
  </w:style>
  <w:style w:type="paragraph" w:customStyle="1" w:styleId="Disclaimer">
    <w:name w:val="Disclaimer"/>
    <w:basedOn w:val="Normal"/>
    <w:pPr>
      <w:keepLines/>
      <w:pBdr>
        <w:top w:val="single" w:sz="4" w:space="1" w:color="auto"/>
      </w:pBdr>
      <w:spacing w:before="480" w:after="0"/>
    </w:pPr>
    <w:rPr>
      <w:i/>
      <w:iCs/>
    </w:rPr>
  </w:style>
  <w:style w:type="character" w:customStyle="1" w:styleId="DefaultMargins">
    <w:name w:val="DefaultMargins"/>
    <w:basedOn w:val="DefaultParagraphFont"/>
    <w:rPr>
      <w:rFonts w:ascii="Courier New" w:hAnsi="Courier New" w:cs="Courier New"/>
      <w:sz w:val="20"/>
      <w:szCs w:val="20"/>
      <w:lang w:val="en-US"/>
    </w:rPr>
  </w:style>
  <w:style w:type="paragraph" w:customStyle="1" w:styleId="Initial">
    <w:name w:val="Initial"/>
    <w:pPr>
      <w:tabs>
        <w:tab w:val="left" w:pos="-720"/>
      </w:tabs>
      <w:suppressAutoHyphens/>
      <w:jc w:val="both"/>
    </w:pPr>
    <w:rPr>
      <w:snapToGrid w:val="0"/>
      <w:spacing w:val="-3"/>
      <w:sz w:val="24"/>
      <w:szCs w:val="24"/>
      <w:lang w:val="en-US"/>
    </w:rPr>
  </w:style>
  <w:style w:type="paragraph" w:customStyle="1" w:styleId="Statut">
    <w:name w:val="Statut"/>
    <w:basedOn w:val="Normal"/>
    <w:next w:val="Normal"/>
    <w:pPr>
      <w:spacing w:before="360" w:after="0"/>
      <w:jc w:val="center"/>
    </w:pPr>
    <w:rPr>
      <w:lang w:val="en-GB"/>
    </w:rPr>
  </w:style>
  <w:style w:type="paragraph" w:customStyle="1" w:styleId="Dput">
    <w:name w:val="Député"/>
    <w:basedOn w:val="Normal"/>
    <w:pPr>
      <w:widowControl w:val="0"/>
      <w:ind w:left="1418"/>
      <w:jc w:val="left"/>
    </w:pPr>
    <w:rPr>
      <w:snapToGrid/>
      <w:lang w:val="en-GB"/>
    </w:rPr>
  </w:style>
  <w:style w:type="paragraph" w:customStyle="1" w:styleId="Rfrencesproposition">
    <w:name w:val="Références proposition"/>
    <w:basedOn w:val="Normal"/>
    <w:next w:val="Normal"/>
    <w:pPr>
      <w:widowControl w:val="0"/>
      <w:spacing w:after="480"/>
      <w:ind w:left="1418"/>
      <w:jc w:val="left"/>
    </w:pPr>
    <w:rPr>
      <w:snapToGrid/>
      <w:lang w:val="en-GB"/>
    </w:rPr>
  </w:style>
  <w:style w:type="paragraph" w:customStyle="1" w:styleId="Typedudocument">
    <w:name w:val="Type du document"/>
    <w:basedOn w:val="Normal"/>
    <w:next w:val="Normal"/>
    <w:pPr>
      <w:spacing w:before="360" w:after="0"/>
      <w:jc w:val="center"/>
    </w:pPr>
    <w:rPr>
      <w:b/>
      <w:bCs/>
      <w:lang w:val="en-GB"/>
    </w:rPr>
  </w:style>
  <w:style w:type="paragraph" w:customStyle="1" w:styleId="Titreobjet">
    <w:name w:val="Titre objet"/>
    <w:basedOn w:val="Normal"/>
    <w:next w:val="Normal"/>
    <w:pPr>
      <w:spacing w:before="360" w:after="360"/>
      <w:jc w:val="center"/>
    </w:pPr>
    <w:rPr>
      <w:b/>
      <w:bCs/>
      <w:lang w:val="en-GB"/>
    </w:rPr>
  </w:style>
  <w:style w:type="character" w:customStyle="1" w:styleId="Marker">
    <w:name w:val="Marker"/>
    <w:basedOn w:val="DefaultParagraphFont"/>
    <w:rPr>
      <w:color w:val="0000FF"/>
      <w:lang w:val="en-GB"/>
    </w:rPr>
  </w:style>
  <w:style w:type="paragraph" w:customStyle="1" w:styleId="Rfrenceinstitutionelle">
    <w:name w:val="Référence institutionelle"/>
    <w:basedOn w:val="Normal"/>
    <w:next w:val="Normal"/>
    <w:pPr>
      <w:ind w:left="5103"/>
      <w:jc w:val="left"/>
    </w:pPr>
    <w:rPr>
      <w:lang w:val="en-GB"/>
    </w:rPr>
  </w:style>
  <w:style w:type="paragraph" w:customStyle="1" w:styleId="PointDouble0">
    <w:name w:val="PointDouble 0"/>
    <w:basedOn w:val="Normal"/>
    <w:pPr>
      <w:tabs>
        <w:tab w:val="left" w:pos="851"/>
      </w:tabs>
      <w:spacing w:before="120" w:after="120"/>
      <w:ind w:left="1418" w:hanging="1418"/>
    </w:pPr>
    <w:rPr>
      <w:lang w:val="de-DE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HideTWBExt">
    <w:name w:val="HideTWBExt"/>
    <w:basedOn w:val="DefaultParagraphFont"/>
    <w:rPr>
      <w:rFonts w:ascii="Arial" w:hAnsi="Arial" w:cs="Arial"/>
      <w:noProof/>
      <w:vanish/>
      <w:color w:val="000080"/>
      <w:sz w:val="16"/>
      <w:szCs w:val="16"/>
    </w:rPr>
  </w:style>
  <w:style w:type="paragraph" w:customStyle="1" w:styleId="TextToAmendAM">
    <w:name w:val="Text To Amend AM"/>
    <w:basedOn w:val="Normal"/>
    <w:pPr>
      <w:tabs>
        <w:tab w:val="left" w:pos="-720"/>
      </w:tabs>
      <w:spacing w:after="480"/>
      <w:jc w:val="left"/>
    </w:pPr>
    <w:rPr>
      <w:lang w:val="en-GB"/>
    </w:rPr>
  </w:style>
  <w:style w:type="character" w:customStyle="1" w:styleId="HideTWBInt">
    <w:name w:val="HideTWBInt"/>
    <w:basedOn w:val="DefaultParagraphFont"/>
    <w:rPr>
      <w:vanish/>
      <w:color w:val="808080"/>
    </w:rPr>
  </w:style>
  <w:style w:type="paragraph" w:customStyle="1" w:styleId="ManualHeading2">
    <w:name w:val="Manual Heading 2"/>
    <w:basedOn w:val="Heading2"/>
    <w:next w:val="Text2"/>
    <w:pPr>
      <w:tabs>
        <w:tab w:val="num" w:pos="480"/>
        <w:tab w:val="num" w:pos="851"/>
      </w:tabs>
      <w:spacing w:before="120" w:after="120"/>
      <w:ind w:left="851" w:hanging="851"/>
    </w:pPr>
    <w:rPr>
      <w:lang w:val="en-GB"/>
    </w:rPr>
  </w:style>
  <w:style w:type="character" w:styleId="Emphasis">
    <w:name w:val="Emphasis"/>
    <w:basedOn w:val="DefaultParagraphFont"/>
    <w:qFormat/>
    <w:rPr>
      <w:i/>
      <w:iCs/>
    </w:rPr>
  </w:style>
  <w:style w:type="paragraph" w:customStyle="1" w:styleId="Tiret0">
    <w:name w:val="Tiret 0"/>
    <w:basedOn w:val="Normal"/>
    <w:pPr>
      <w:spacing w:before="120" w:after="120"/>
      <w:ind w:left="851" w:hanging="851"/>
    </w:pPr>
    <w:rPr>
      <w:lang w:val="en-GB"/>
    </w:rPr>
  </w:style>
  <w:style w:type="paragraph" w:customStyle="1" w:styleId="ATHeading3">
    <w:name w:val="AT Heading 3"/>
    <w:basedOn w:val="Normal"/>
    <w:next w:val="Normal"/>
    <w:pPr>
      <w:keepNext/>
      <w:keepLines/>
      <w:spacing w:before="120" w:after="120"/>
      <w:jc w:val="left"/>
      <w:outlineLvl w:val="2"/>
    </w:pPr>
    <w:rPr>
      <w:b/>
      <w:bCs/>
      <w:noProof/>
      <w:lang w:val="en-GB"/>
    </w:rPr>
  </w:style>
  <w:style w:type="paragraph" w:customStyle="1" w:styleId="Prliminairetitre">
    <w:name w:val="Préliminaire titre"/>
    <w:basedOn w:val="Normal"/>
    <w:next w:val="Normal"/>
    <w:pPr>
      <w:spacing w:before="360" w:after="360"/>
      <w:jc w:val="center"/>
    </w:pPr>
    <w:rPr>
      <w:b/>
      <w:bCs/>
      <w:lang w:val="en-GB"/>
    </w:rPr>
  </w:style>
  <w:style w:type="paragraph" w:customStyle="1" w:styleId="Par-dash">
    <w:name w:val="Par-dash"/>
    <w:basedOn w:val="Normal"/>
    <w:next w:val="Normal"/>
    <w:pPr>
      <w:widowControl w:val="0"/>
      <w:numPr>
        <w:numId w:val="18"/>
      </w:numPr>
      <w:tabs>
        <w:tab w:val="clear" w:pos="360"/>
        <w:tab w:val="num" w:pos="567"/>
      </w:tabs>
      <w:spacing w:after="0" w:line="360" w:lineRule="auto"/>
      <w:ind w:left="567" w:hanging="567"/>
      <w:jc w:val="left"/>
    </w:pPr>
    <w:rPr>
      <w:lang w:val="en-GB"/>
    </w:rPr>
  </w:style>
  <w:style w:type="paragraph" w:customStyle="1" w:styleId="Rfrencestatut">
    <w:name w:val="Référence statut"/>
    <w:basedOn w:val="Normal"/>
    <w:next w:val="Normal"/>
    <w:pPr>
      <w:keepNext/>
      <w:keepLines/>
      <w:widowControl w:val="0"/>
      <w:spacing w:after="0"/>
      <w:jc w:val="right"/>
    </w:pPr>
    <w:rPr>
      <w:rFonts w:ascii="Arial" w:hAnsi="Arial" w:cs="Arial"/>
      <w:snapToGrid/>
      <w:lang w:val="en-GB"/>
    </w:rPr>
  </w:style>
  <w:style w:type="character" w:customStyle="1" w:styleId="Point0Char">
    <w:name w:val="Point 0 Char"/>
    <w:basedOn w:val="DefaultParagraphFont"/>
    <w:rPr>
      <w:sz w:val="24"/>
      <w:szCs w:val="24"/>
      <w:lang w:val="fr-FR"/>
    </w:rPr>
  </w:style>
  <w:style w:type="paragraph" w:customStyle="1" w:styleId="ManualHeading3">
    <w:name w:val="Manual Heading 3"/>
    <w:basedOn w:val="Heading3"/>
    <w:next w:val="Text3"/>
    <w:pPr>
      <w:tabs>
        <w:tab w:val="num" w:pos="480"/>
        <w:tab w:val="num" w:pos="851"/>
      </w:tabs>
      <w:spacing w:before="120" w:after="120"/>
      <w:ind w:left="850" w:hanging="850"/>
    </w:pPr>
    <w:rPr>
      <w:lang w:val="en-GB"/>
    </w:rPr>
  </w:style>
  <w:style w:type="paragraph" w:customStyle="1" w:styleId="titreobjet0">
    <w:name w:val="titreobjet"/>
    <w:basedOn w:val="Normal"/>
    <w:pPr>
      <w:snapToGrid w:val="0"/>
      <w:spacing w:after="0"/>
      <w:ind w:left="1418"/>
      <w:jc w:val="left"/>
    </w:pPr>
    <w:rPr>
      <w:lang w:val="en-GB"/>
    </w:rPr>
  </w:style>
  <w:style w:type="paragraph" w:customStyle="1" w:styleId="text10">
    <w:name w:val="text1"/>
    <w:basedOn w:val="Normal"/>
    <w:pPr>
      <w:ind w:left="482"/>
    </w:pPr>
    <w:rPr>
      <w:lang w:val="en-GB"/>
    </w:rPr>
  </w:style>
  <w:style w:type="paragraph" w:customStyle="1" w:styleId="notehead0">
    <w:name w:val="notehead"/>
    <w:basedOn w:val="Normal"/>
    <w:pPr>
      <w:spacing w:before="720" w:after="720"/>
      <w:jc w:val="center"/>
    </w:pPr>
    <w:rPr>
      <w:b/>
      <w:bCs/>
      <w:smallCaps/>
      <w:lang w:val="en-GB"/>
    </w:rPr>
  </w:style>
  <w:style w:type="paragraph" w:customStyle="1" w:styleId="numpar10">
    <w:name w:val="numpar1"/>
    <w:basedOn w:val="Normal"/>
    <w:pPr>
      <w:ind w:left="480" w:hanging="480"/>
    </w:pPr>
    <w:rPr>
      <w:lang w:val="en-GB"/>
    </w:rPr>
  </w:style>
  <w:style w:type="paragraph" w:customStyle="1" w:styleId="Point0">
    <w:name w:val="Point 0"/>
    <w:basedOn w:val="Normal"/>
    <w:pPr>
      <w:spacing w:before="120" w:after="120"/>
      <w:ind w:left="850" w:hanging="850"/>
    </w:pPr>
    <w:rPr>
      <w:lang w:val="en-GB"/>
    </w:rPr>
  </w:style>
  <w:style w:type="paragraph" w:customStyle="1" w:styleId="Rfrenceinterinstitutionelle">
    <w:name w:val="Référence interinstitutionelle"/>
    <w:basedOn w:val="Normal"/>
    <w:next w:val="Normal"/>
    <w:pPr>
      <w:spacing w:after="0"/>
      <w:ind w:left="5103"/>
      <w:jc w:val="left"/>
    </w:pPr>
    <w:rPr>
      <w:lang w:val="en-GB"/>
    </w:rPr>
  </w:style>
  <w:style w:type="paragraph" w:customStyle="1" w:styleId="5Normal">
    <w:name w:val="5 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jc w:val="both"/>
    </w:pPr>
    <w:rPr>
      <w:snapToGrid w:val="0"/>
      <w:spacing w:val="-2"/>
      <w:sz w:val="24"/>
      <w:szCs w:val="24"/>
    </w:rPr>
  </w:style>
  <w:style w:type="paragraph" w:customStyle="1" w:styleId="normal0">
    <w:name w:val="normal"/>
    <w:pPr>
      <w:spacing w:after="170"/>
      <w:jc w:val="both"/>
    </w:pPr>
    <w:rPr>
      <w:color w:val="000000"/>
    </w:rPr>
  </w:style>
  <w:style w:type="paragraph" w:customStyle="1" w:styleId="paragraphe1">
    <w:name w:val="paragraphe1"/>
    <w:basedOn w:val="normal0"/>
    <w:pPr>
      <w:tabs>
        <w:tab w:val="left" w:pos="283"/>
      </w:tabs>
      <w:ind w:left="283" w:hanging="283"/>
    </w:pPr>
    <w:rPr>
      <w:color w:val="auto"/>
    </w:rPr>
  </w:style>
  <w:style w:type="paragraph" w:customStyle="1" w:styleId="Normal12Centre">
    <w:name w:val="Normal12Centre"/>
    <w:basedOn w:val="Normal"/>
    <w:pPr>
      <w:widowControl w:val="0"/>
      <w:jc w:val="center"/>
    </w:pPr>
    <w:rPr>
      <w:lang w:val="en-GB"/>
    </w:rPr>
  </w:style>
  <w:style w:type="paragraph" w:customStyle="1" w:styleId="Normal12Italic">
    <w:name w:val="Normal12Italic"/>
    <w:basedOn w:val="Normal"/>
    <w:pPr>
      <w:widowControl w:val="0"/>
      <w:jc w:val="left"/>
    </w:pPr>
    <w:rPr>
      <w:i/>
      <w:iCs/>
      <w:lang w:val="en-GB"/>
    </w:rPr>
  </w:style>
  <w:style w:type="paragraph" w:customStyle="1" w:styleId="Normal12Center">
    <w:name w:val="Normal12Center"/>
    <w:basedOn w:val="Normal"/>
    <w:pPr>
      <w:widowControl w:val="0"/>
      <w:jc w:val="center"/>
    </w:pPr>
    <w:rPr>
      <w:lang w:val="en-GB"/>
    </w:rPr>
  </w:style>
  <w:style w:type="table" w:styleId="TableGrid">
    <w:name w:val="Table Grid"/>
    <w:basedOn w:val="TableNormal"/>
    <w:pPr>
      <w:spacing w:after="240"/>
      <w:jc w:val="both"/>
    </w:pPr>
    <w:rPr>
      <w:snapToGrid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ualNumPar1">
    <w:name w:val="Manual NumPar 1"/>
    <w:basedOn w:val="Normal"/>
    <w:next w:val="Normal"/>
    <w:pPr>
      <w:spacing w:before="120" w:after="120"/>
      <w:ind w:left="851" w:hanging="851"/>
    </w:pPr>
    <w:rPr>
      <w:lang w:val="en-GB"/>
    </w:rPr>
  </w:style>
  <w:style w:type="paragraph" w:customStyle="1" w:styleId="ManualNumPar2">
    <w:name w:val="Manual NumPar 2"/>
    <w:basedOn w:val="Normal"/>
    <w:next w:val="Normal"/>
    <w:pPr>
      <w:spacing w:before="120" w:after="120"/>
      <w:ind w:left="851" w:hanging="851"/>
    </w:pPr>
    <w:rPr>
      <w:lang w:val="en-GB"/>
    </w:rPr>
  </w:style>
  <w:style w:type="paragraph" w:customStyle="1" w:styleId="CoverNormal">
    <w:name w:val="CoverNormal"/>
    <w:basedOn w:val="Normal"/>
    <w:pPr>
      <w:widowControl w:val="0"/>
      <w:spacing w:after="0"/>
      <w:ind w:left="1418"/>
      <w:jc w:val="left"/>
    </w:pPr>
    <w:rPr>
      <w:lang w:val="en-GB"/>
    </w:rPr>
  </w:style>
  <w:style w:type="paragraph" w:customStyle="1" w:styleId="RefStatus">
    <w:name w:val="RefStatus"/>
    <w:basedOn w:val="Normal"/>
    <w:pPr>
      <w:widowControl w:val="0"/>
      <w:spacing w:after="0"/>
      <w:jc w:val="right"/>
    </w:pPr>
    <w:rPr>
      <w:rFonts w:ascii="Arial" w:hAnsi="Arial" w:cs="Arial"/>
      <w:caps/>
      <w:lang w:val="en-GB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lang w:val="en-GB"/>
    </w:rPr>
  </w:style>
  <w:style w:type="character" w:customStyle="1" w:styleId="tw4winMark">
    <w:name w:val="tw4winMark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BalloonText">
    <w:name w:val="Balloon Text"/>
    <w:basedOn w:val="Normal"/>
    <w:semiHidden/>
    <w:rPr>
      <w:sz w:val="16"/>
      <w:szCs w:val="16"/>
    </w:rPr>
  </w:style>
  <w:style w:type="character" w:customStyle="1" w:styleId="tw4winError">
    <w:name w:val="tw4winError"/>
    <w:rPr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noProof/>
      <w:color w:val="008000"/>
    </w:rPr>
  </w:style>
  <w:style w:type="character" w:customStyle="1" w:styleId="tw4winJump">
    <w:name w:val="tw4winJump"/>
    <w:rPr>
      <w:noProof/>
      <w:color w:val="008080"/>
    </w:rPr>
  </w:style>
  <w:style w:type="character" w:customStyle="1" w:styleId="tw4winExternal">
    <w:name w:val="tw4winExternal"/>
    <w:rPr>
      <w:noProof/>
      <w:color w:val="808080"/>
    </w:rPr>
  </w:style>
  <w:style w:type="character" w:customStyle="1" w:styleId="tw4winInternal">
    <w:name w:val="tw4winInternal"/>
    <w:rPr>
      <w:noProof/>
      <w:color w:val="FF0000"/>
    </w:rPr>
  </w:style>
  <w:style w:type="character" w:customStyle="1" w:styleId="DONOTTRANSLATE">
    <w:name w:val="DO_NOT_TRANSLATE"/>
    <w:rPr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Templates\no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not.dot</Template>
  <TotalTime>0</TotalTime>
  <Pages>7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European Commission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M. WERKER</dc:creator>
  <cp:keywords>EL4</cp:keywords>
  <dc:description/>
  <cp:lastModifiedBy>GALLONE Frederic</cp:lastModifiedBy>
  <cp:revision>2</cp:revision>
  <cp:lastPrinted>2004-12-09T17:13:00Z</cp:lastPrinted>
  <dcterms:created xsi:type="dcterms:W3CDTF">2024-10-17T15:51:00Z</dcterms:created>
  <dcterms:modified xsi:type="dcterms:W3CDTF">2024-10-17T15:51:00Z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4.1.3.4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 [20010706]</vt:lpwstr>
  </property>
  <property fmtid="{D5CDD505-2E9C-101B-9397-08002B2CF9AE}" pid="6" name="Last edited using">
    <vt:lpwstr>EL 4.1eTp XP1 [20020325]</vt:lpwstr>
  </property>
  <property fmtid="{D5CDD505-2E9C-101B-9397-08002B2CF9AE}" pid="7" name="EL_Author">
    <vt:lpwstr>M. WERKER</vt:lpwstr>
  </property>
  <property fmtid="{D5CDD505-2E9C-101B-9397-08002B2CF9AE}" pid="8" name="Type">
    <vt:lpwstr>Eurolook Note &amp; Letter</vt:lpwstr>
  </property>
  <property fmtid="{D5CDD505-2E9C-101B-9397-08002B2CF9AE}" pid="9" name="Language">
    <vt:lpwstr>FR</vt:lpwstr>
  </property>
  <property fmtid="{D5CDD505-2E9C-101B-9397-08002B2CF9AE}" pid="10" name="EL_Language">
    <vt:lpwstr>FR</vt:lpwstr>
  </property>
  <property fmtid="{D5CDD505-2E9C-101B-9397-08002B2CF9AE}" pid="11" name="Formatting">
    <vt:lpwstr>4.1</vt:lpwstr>
  </property>
  <property fmtid="{D5CDD505-2E9C-101B-9397-08002B2CF9AE}" pid="12" name="_AdHocReviewCycleID">
    <vt:i4>-2015135424</vt:i4>
  </property>
  <property fmtid="{D5CDD505-2E9C-101B-9397-08002B2CF9AE}" pid="13" name="_EmailSubject">
    <vt:lpwstr>SP(2004)316 Communication de la Commission sur les suite données aux avis et résolutions adoptées par le PE - sessions DEC I et II 2003</vt:lpwstr>
  </property>
  <property fmtid="{D5CDD505-2E9C-101B-9397-08002B2CF9AE}" pid="14" name="_AuthorEmail">
    <vt:lpwstr>Phillip.Roberts@cec.eu.int</vt:lpwstr>
  </property>
  <property fmtid="{D5CDD505-2E9C-101B-9397-08002B2CF9AE}" pid="15" name="_AuthorEmailDisplayName">
    <vt:lpwstr>ROBERTS Phillip (SG)</vt:lpwstr>
  </property>
  <property fmtid="{D5CDD505-2E9C-101B-9397-08002B2CF9AE}" pid="16" name="_ReviewingToolsShownOnce">
    <vt:lpwstr/>
  </property>
</Properties>
</file>