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7655"/>
      </w:tblGrid>
      <w:tr w:rsidR="00000000" w:rsidRPr="006F2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/>
        </w:trPr>
        <w:tc>
          <w:tcPr>
            <w:tcW w:w="1814" w:type="dxa"/>
          </w:tcPr>
          <w:p w:rsidR="00000000" w:rsidRDefault="006F2E0B">
            <w:bookmarkStart w:id="0" w:name="_GoBack"/>
            <w:bookmarkEnd w:id="0"/>
            <w:r>
              <w:rPr>
                <w:noProof/>
                <w:sz w:val="20"/>
                <w:lang w:eastAsia="en-GB"/>
              </w:rPr>
              <w:drawing>
                <wp:inline distT="0" distB="0" distL="0" distR="0">
                  <wp:extent cx="1009650" cy="67183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67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000000" w:rsidRPr="006F2E0B" w:rsidRDefault="006F2E0B">
            <w:pPr>
              <w:pStyle w:val="ZCom"/>
              <w:widowControl/>
              <w:rPr>
                <w:lang w:val="fr-FR"/>
              </w:rPr>
            </w:pPr>
            <w:r w:rsidRPr="006F2E0B">
              <w:rPr>
                <w:lang w:val="fr-FR"/>
              </w:rPr>
              <w:t>COMMISSION EUROPÉENNE</w:t>
            </w:r>
          </w:p>
          <w:p w:rsidR="00000000" w:rsidRPr="006F2E0B" w:rsidRDefault="006F2E0B">
            <w:pPr>
              <w:pStyle w:val="ZDGName"/>
              <w:widowControl/>
              <w:rPr>
                <w:lang w:val="fr-FR"/>
              </w:rPr>
            </w:pPr>
            <w:r w:rsidRPr="006F2E0B">
              <w:rPr>
                <w:lang w:val="fr-FR"/>
              </w:rPr>
              <w:t>SECRÉTARIAT GÉNÉRAL</w:t>
            </w:r>
          </w:p>
          <w:p w:rsidR="00000000" w:rsidRPr="006F2E0B" w:rsidRDefault="006F2E0B">
            <w:pPr>
              <w:pStyle w:val="ZDGName"/>
              <w:widowControl/>
              <w:rPr>
                <w:lang w:val="fr-FR"/>
              </w:rPr>
            </w:pPr>
            <w:r w:rsidRPr="006F2E0B">
              <w:rPr>
                <w:lang w:val="fr-FR"/>
              </w:rPr>
              <w:t>Direction E</w:t>
            </w:r>
          </w:p>
          <w:p w:rsidR="00000000" w:rsidRPr="006F2E0B" w:rsidRDefault="006F2E0B">
            <w:pPr>
              <w:pStyle w:val="ZDGName"/>
              <w:widowControl/>
              <w:rPr>
                <w:lang w:val="fr-FR"/>
              </w:rPr>
            </w:pPr>
            <w:r w:rsidRPr="006F2E0B">
              <w:rPr>
                <w:b/>
                <w:lang w:val="fr-FR"/>
              </w:rPr>
              <w:t>Relations avec le Parlement européen, le médiateur européen, le Comité économique et social européen et le Comité des régions</w:t>
            </w:r>
          </w:p>
          <w:p w:rsidR="00000000" w:rsidRPr="006F2E0B" w:rsidRDefault="006F2E0B">
            <w:pPr>
              <w:spacing w:after="0"/>
              <w:rPr>
                <w:lang w:val="fr-FR"/>
              </w:rPr>
            </w:pPr>
          </w:p>
        </w:tc>
      </w:tr>
    </w:tbl>
    <w:p w:rsidR="00000000" w:rsidRDefault="006F2E0B">
      <w:pPr>
        <w:pStyle w:val="Date"/>
      </w:pPr>
      <w:r>
        <w:t>Bruxelles, le 11 novembre 2004</w:t>
      </w:r>
    </w:p>
    <w:p w:rsidR="00000000" w:rsidRDefault="006F2E0B">
      <w:pPr>
        <w:pStyle w:val="References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2976"/>
        <w:gridCol w:w="78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2E0B">
            <w:r>
              <w:rPr>
                <w:b/>
              </w:rPr>
              <w:t>SP(2004)2832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2E0B">
            <w:pPr>
              <w:spacing w:after="0"/>
            </w:pPr>
          </w:p>
        </w:tc>
        <w:tc>
          <w:tcPr>
            <w:tcW w:w="78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F2E0B"/>
        </w:tc>
      </w:tr>
    </w:tbl>
    <w:p w:rsidR="00000000" w:rsidRDefault="006F2E0B">
      <w:pPr>
        <w:spacing w:after="120"/>
        <w:rPr>
          <w:sz w:val="48"/>
        </w:rPr>
      </w:pPr>
    </w:p>
    <w:p w:rsidR="00000000" w:rsidRDefault="006F2E0B">
      <w:pPr>
        <w:jc w:val="center"/>
        <w:rPr>
          <w:b/>
          <w:sz w:val="48"/>
        </w:rPr>
      </w:pPr>
    </w:p>
    <w:p w:rsidR="00000000" w:rsidRPr="006F2E0B" w:rsidRDefault="006F2E0B">
      <w:pPr>
        <w:jc w:val="center"/>
        <w:rPr>
          <w:b/>
          <w:sz w:val="48"/>
          <w:lang w:val="fr-FR"/>
        </w:rPr>
      </w:pPr>
      <w:r w:rsidRPr="006F2E0B">
        <w:rPr>
          <w:b/>
          <w:sz w:val="48"/>
          <w:lang w:val="fr-FR"/>
        </w:rPr>
        <w:t>Communication de la Co</w:t>
      </w:r>
      <w:r w:rsidRPr="006F2E0B">
        <w:rPr>
          <w:b/>
          <w:sz w:val="48"/>
          <w:lang w:val="fr-FR"/>
        </w:rPr>
        <w:t>mmission</w:t>
      </w:r>
      <w:r w:rsidRPr="006F2E0B">
        <w:rPr>
          <w:b/>
          <w:sz w:val="48"/>
          <w:lang w:val="fr-FR"/>
        </w:rPr>
        <w:br/>
        <w:t>sur les suites données aux avis et résolutions adoptés par le Parlement européen lors des sessions d’octobre I et II 2004</w:t>
      </w:r>
    </w:p>
    <w:p w:rsidR="00000000" w:rsidRPr="006F2E0B" w:rsidRDefault="006F2E0B">
      <w:pPr>
        <w:rPr>
          <w:b/>
          <w:lang w:val="fr-FR"/>
        </w:rPr>
      </w:pPr>
      <w:r w:rsidRPr="006F2E0B">
        <w:rPr>
          <w:lang w:val="fr-FR"/>
        </w:rPr>
        <w:br w:type="page"/>
      </w:r>
    </w:p>
    <w:p w:rsidR="00000000" w:rsidRPr="006F2E0B" w:rsidRDefault="006F2E0B">
      <w:pPr>
        <w:rPr>
          <w:b/>
          <w:smallCaps/>
          <w:lang w:val="fr-FR"/>
        </w:rPr>
      </w:pPr>
      <w:r w:rsidRPr="006F2E0B">
        <w:rPr>
          <w:b/>
          <w:smallCaps/>
          <w:lang w:val="fr-FR"/>
        </w:rPr>
        <w:lastRenderedPageBreak/>
        <w:t>Dans la première partie, cette communication informe le Parlement européen sur les suites que la Commission a données aux a</w:t>
      </w:r>
      <w:r w:rsidRPr="006F2E0B">
        <w:rPr>
          <w:b/>
          <w:smallCaps/>
          <w:lang w:val="fr-FR"/>
        </w:rPr>
        <w:t>mendements adoptés par celui sur ses propositions législatives au cours des sessions plénières du mois d’octobre i et ii 2004.</w:t>
      </w:r>
    </w:p>
    <w:p w:rsidR="00000000" w:rsidRPr="006F2E0B" w:rsidRDefault="006F2E0B">
      <w:pPr>
        <w:rPr>
          <w:b/>
          <w:smallCaps/>
          <w:lang w:val="fr-FR"/>
        </w:rPr>
      </w:pPr>
      <w:r w:rsidRPr="006F2E0B">
        <w:rPr>
          <w:b/>
          <w:smallCaps/>
          <w:lang w:val="fr-FR"/>
        </w:rPr>
        <w:t>Dans la deuxième partie, la Commission dresse la liste d'un certain nombre de résolutions non legislatives adoptées par le Parlem</w:t>
      </w:r>
      <w:r w:rsidRPr="006F2E0B">
        <w:rPr>
          <w:b/>
          <w:smallCaps/>
          <w:lang w:val="fr-FR"/>
        </w:rPr>
        <w:t>ent au cours de memes sessions plénières, en justifiant les raisons pour lesquelles elle ne donnera pas une suite sous forme de fiche.</w:t>
      </w:r>
    </w:p>
    <w:p w:rsidR="00000000" w:rsidRPr="006F2E0B" w:rsidRDefault="006F2E0B">
      <w:pPr>
        <w:spacing w:after="0"/>
        <w:rPr>
          <w:b/>
          <w:smallCaps/>
          <w:lang w:val="fr-FR"/>
        </w:rPr>
      </w:pPr>
      <w:r w:rsidRPr="006F2E0B">
        <w:rPr>
          <w:b/>
          <w:smallCaps/>
          <w:lang w:val="fr-FR"/>
        </w:rPr>
        <w:br w:type="page"/>
      </w:r>
    </w:p>
    <w:p w:rsidR="00000000" w:rsidRPr="006F2E0B" w:rsidRDefault="006F2E0B">
      <w:pPr>
        <w:spacing w:after="0"/>
        <w:jc w:val="center"/>
        <w:rPr>
          <w:b/>
          <w:lang w:val="fr-FR"/>
        </w:rPr>
      </w:pPr>
    </w:p>
    <w:p w:rsidR="00000000" w:rsidRDefault="006F2E0B">
      <w:pPr>
        <w:spacing w:after="0"/>
        <w:jc w:val="center"/>
        <w:rPr>
          <w:b/>
        </w:rPr>
      </w:pPr>
      <w:r>
        <w:rPr>
          <w:b/>
        </w:rPr>
        <w:t>SOMMAIRE</w:t>
      </w:r>
    </w:p>
    <w:p w:rsidR="00000000" w:rsidRDefault="006F2E0B">
      <w:pPr>
        <w:spacing w:after="0"/>
        <w:jc w:val="center"/>
      </w:pPr>
    </w:p>
    <w:p w:rsidR="00000000" w:rsidRDefault="006F2E0B">
      <w:pPr>
        <w:spacing w:after="0"/>
        <w:jc w:val="center"/>
      </w:pPr>
    </w:p>
    <w:p w:rsidR="00000000" w:rsidRDefault="006F2E0B">
      <w:pPr>
        <w:spacing w:after="0"/>
        <w:jc w:val="center"/>
      </w:pPr>
    </w:p>
    <w:p w:rsidR="00000000" w:rsidRDefault="006F2E0B">
      <w:pPr>
        <w:spacing w:after="0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621"/>
        <w:gridCol w:w="1134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00000" w:rsidRDefault="006F2E0B">
            <w:pPr>
              <w:spacing w:after="0"/>
              <w:rPr>
                <w:b/>
              </w:rPr>
            </w:pPr>
          </w:p>
          <w:p w:rsidR="00000000" w:rsidRDefault="006F2E0B">
            <w:pPr>
              <w:spacing w:after="0"/>
              <w:rPr>
                <w:b/>
              </w:rPr>
            </w:pPr>
          </w:p>
          <w:p w:rsidR="00000000" w:rsidRDefault="006F2E0B">
            <w:pPr>
              <w:spacing w:after="0"/>
              <w:rPr>
                <w:b/>
                <w:smallCaps/>
              </w:rPr>
            </w:pPr>
            <w:r>
              <w:rPr>
                <w:b/>
              </w:rPr>
              <w:t xml:space="preserve">PREMIERE PARTIE – </w:t>
            </w:r>
            <w:r>
              <w:rPr>
                <w:b/>
                <w:smallCaps/>
              </w:rPr>
              <w:t>Avis Législatifs</w:t>
            </w:r>
          </w:p>
          <w:p w:rsidR="00000000" w:rsidRDefault="006F2E0B">
            <w:pPr>
              <w:spacing w:after="0"/>
              <w:rPr>
                <w:b/>
              </w:rPr>
            </w:pPr>
          </w:p>
        </w:tc>
        <w:tc>
          <w:tcPr>
            <w:tcW w:w="1134" w:type="dxa"/>
          </w:tcPr>
          <w:p w:rsidR="00000000" w:rsidRDefault="006F2E0B">
            <w:pPr>
              <w:spacing w:after="0"/>
              <w:jc w:val="right"/>
              <w:rPr>
                <w:b/>
              </w:rPr>
            </w:pPr>
          </w:p>
          <w:p w:rsidR="00000000" w:rsidRDefault="006F2E0B">
            <w:pPr>
              <w:spacing w:after="0"/>
              <w:jc w:val="right"/>
              <w:rPr>
                <w:b/>
              </w:rPr>
            </w:pPr>
          </w:p>
          <w:p w:rsidR="00000000" w:rsidRDefault="006F2E0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00000" w:rsidRDefault="006F2E0B">
            <w:pPr>
              <w:spacing w:after="0"/>
              <w:rPr>
                <w:b/>
                <w:smallCaps/>
              </w:rPr>
            </w:pPr>
          </w:p>
          <w:p w:rsidR="00000000" w:rsidRDefault="006F2E0B">
            <w:pPr>
              <w:spacing w:after="0"/>
              <w:rPr>
                <w:b/>
                <w:smallCaps/>
              </w:rPr>
            </w:pPr>
          </w:p>
          <w:p w:rsidR="00000000" w:rsidRDefault="006F2E0B">
            <w:pPr>
              <w:spacing w:after="0"/>
              <w:rPr>
                <w:b/>
                <w:smallCaps/>
              </w:rPr>
            </w:pPr>
            <w:r>
              <w:rPr>
                <w:b/>
                <w:smallCaps/>
              </w:rPr>
              <w:t>Procédure de codecision – 1ère lecture</w:t>
            </w:r>
          </w:p>
          <w:p w:rsidR="00000000" w:rsidRDefault="006F2E0B">
            <w:pPr>
              <w:spacing w:after="0"/>
              <w:rPr>
                <w:b/>
                <w:smallCaps/>
              </w:rPr>
            </w:pPr>
          </w:p>
        </w:tc>
        <w:tc>
          <w:tcPr>
            <w:tcW w:w="1134" w:type="dxa"/>
          </w:tcPr>
          <w:p w:rsidR="00000000" w:rsidRDefault="006F2E0B">
            <w:pPr>
              <w:spacing w:after="0"/>
              <w:jc w:val="right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00000" w:rsidRPr="006F2E0B" w:rsidRDefault="006F2E0B">
            <w:pPr>
              <w:spacing w:after="0"/>
              <w:rPr>
                <w:lang w:val="fr-FR"/>
              </w:rPr>
            </w:pPr>
            <w:r w:rsidRPr="006F2E0B">
              <w:rPr>
                <w:lang w:val="fr-FR"/>
              </w:rPr>
              <w:t>Aide aux populatio</w:t>
            </w:r>
            <w:r w:rsidRPr="006F2E0B">
              <w:rPr>
                <w:lang w:val="fr-FR"/>
              </w:rPr>
              <w:t>ns déracinées dans les pays en développement d’Amérique latine et d’Asie</w:t>
            </w:r>
          </w:p>
          <w:p w:rsidR="00000000" w:rsidRDefault="006F2E0B">
            <w:pPr>
              <w:spacing w:after="0"/>
            </w:pPr>
            <w:r>
              <w:t>Luisa MORGANTINI – A6-0018/2004</w:t>
            </w:r>
          </w:p>
          <w:p w:rsidR="00000000" w:rsidRDefault="006F2E0B">
            <w:pPr>
              <w:spacing w:after="0"/>
              <w:rPr>
                <w:b/>
                <w:smallCaps/>
              </w:rPr>
            </w:pPr>
          </w:p>
        </w:tc>
        <w:tc>
          <w:tcPr>
            <w:tcW w:w="1134" w:type="dxa"/>
          </w:tcPr>
          <w:p w:rsidR="00000000" w:rsidRDefault="006F2E0B">
            <w:pPr>
              <w:spacing w:after="0"/>
              <w:jc w:val="right"/>
            </w:pPr>
            <w: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621" w:type="dxa"/>
          </w:tcPr>
          <w:p w:rsidR="00000000" w:rsidRDefault="006F2E0B">
            <w:pPr>
              <w:spacing w:after="0"/>
              <w:rPr>
                <w:b/>
              </w:rPr>
            </w:pPr>
          </w:p>
          <w:p w:rsidR="00000000" w:rsidRDefault="006F2E0B">
            <w:pPr>
              <w:spacing w:after="0"/>
              <w:rPr>
                <w:b/>
              </w:rPr>
            </w:pPr>
          </w:p>
          <w:p w:rsidR="00000000" w:rsidRDefault="006F2E0B">
            <w:pPr>
              <w:spacing w:after="0"/>
              <w:rPr>
                <w:b/>
                <w:smallCaps/>
              </w:rPr>
            </w:pPr>
            <w:r>
              <w:rPr>
                <w:b/>
              </w:rPr>
              <w:t xml:space="preserve">DEUXIEME PARTIE – </w:t>
            </w:r>
            <w:r>
              <w:rPr>
                <w:b/>
                <w:smallCaps/>
              </w:rPr>
              <w:t>Résolutions non legislatives</w:t>
            </w:r>
          </w:p>
          <w:p w:rsidR="00000000" w:rsidRDefault="006F2E0B">
            <w:pPr>
              <w:spacing w:after="0"/>
            </w:pPr>
          </w:p>
        </w:tc>
        <w:tc>
          <w:tcPr>
            <w:tcW w:w="1134" w:type="dxa"/>
          </w:tcPr>
          <w:p w:rsidR="00000000" w:rsidRDefault="006F2E0B">
            <w:pPr>
              <w:spacing w:after="0"/>
              <w:jc w:val="right"/>
              <w:rPr>
                <w:b/>
              </w:rPr>
            </w:pPr>
          </w:p>
          <w:p w:rsidR="00000000" w:rsidRDefault="006F2E0B">
            <w:pPr>
              <w:spacing w:after="0"/>
              <w:jc w:val="right"/>
              <w:rPr>
                <w:b/>
              </w:rPr>
            </w:pPr>
          </w:p>
          <w:p w:rsidR="00000000" w:rsidRDefault="006F2E0B">
            <w:pPr>
              <w:spacing w:after="0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  <w:p w:rsidR="00000000" w:rsidRDefault="006F2E0B">
            <w:pPr>
              <w:spacing w:after="0"/>
              <w:jc w:val="right"/>
              <w:rPr>
                <w:b/>
              </w:rPr>
            </w:pPr>
          </w:p>
        </w:tc>
      </w:tr>
    </w:tbl>
    <w:p w:rsidR="00000000" w:rsidRDefault="006F2E0B">
      <w:pPr>
        <w:pStyle w:val="Initial"/>
        <w:tabs>
          <w:tab w:val="clear" w:pos="-720"/>
        </w:tabs>
        <w:spacing w:after="240"/>
        <w:rPr>
          <w:b/>
          <w:smallCaps/>
          <w:lang w:val="fr-FR"/>
        </w:rPr>
      </w:pPr>
    </w:p>
    <w:p w:rsidR="00000000" w:rsidRDefault="006F2E0B"/>
    <w:p w:rsidR="00000000" w:rsidRDefault="006F2E0B">
      <w:r>
        <w:br w:type="page"/>
      </w:r>
    </w:p>
    <w:p w:rsidR="00000000" w:rsidRDefault="006F2E0B"/>
    <w:p w:rsidR="00000000" w:rsidRDefault="006F2E0B">
      <w:pPr>
        <w:jc w:val="center"/>
        <w:rPr>
          <w:sz w:val="48"/>
        </w:rPr>
      </w:pPr>
    </w:p>
    <w:p w:rsidR="00000000" w:rsidRDefault="006F2E0B">
      <w:pPr>
        <w:jc w:val="center"/>
        <w:rPr>
          <w:b/>
          <w:smallCaps/>
          <w:sz w:val="48"/>
        </w:rPr>
      </w:pPr>
    </w:p>
    <w:p w:rsidR="00000000" w:rsidRDefault="006F2E0B">
      <w:pPr>
        <w:jc w:val="center"/>
        <w:rPr>
          <w:b/>
          <w:smallCaps/>
          <w:sz w:val="48"/>
        </w:rPr>
      </w:pPr>
    </w:p>
    <w:p w:rsidR="00000000" w:rsidRDefault="006F2E0B">
      <w:pPr>
        <w:jc w:val="center"/>
        <w:rPr>
          <w:b/>
          <w:smallCaps/>
          <w:sz w:val="48"/>
        </w:rPr>
      </w:pPr>
    </w:p>
    <w:p w:rsidR="00000000" w:rsidRDefault="006F2E0B">
      <w:pPr>
        <w:jc w:val="center"/>
        <w:rPr>
          <w:b/>
          <w:smallCaps/>
          <w:sz w:val="48"/>
        </w:rPr>
      </w:pPr>
    </w:p>
    <w:p w:rsidR="00000000" w:rsidRDefault="006F2E0B">
      <w:pPr>
        <w:jc w:val="center"/>
        <w:rPr>
          <w:b/>
          <w:sz w:val="48"/>
        </w:rPr>
      </w:pPr>
      <w:r>
        <w:rPr>
          <w:b/>
          <w:sz w:val="48"/>
        </w:rPr>
        <w:t>Première partie</w:t>
      </w:r>
      <w:r>
        <w:rPr>
          <w:b/>
          <w:sz w:val="48"/>
        </w:rPr>
        <w:br/>
        <w:t>Avis législatifs</w:t>
      </w:r>
    </w:p>
    <w:p w:rsidR="00000000" w:rsidRDefault="006F2E0B">
      <w:pPr>
        <w:pStyle w:val="Initial"/>
        <w:tabs>
          <w:tab w:val="clear" w:pos="-720"/>
        </w:tabs>
        <w:spacing w:after="240"/>
        <w:jc w:val="center"/>
        <w:rPr>
          <w:lang w:val="fr-FR"/>
        </w:rPr>
      </w:pPr>
      <w:r>
        <w:rPr>
          <w:lang w:val="fr-FR"/>
        </w:rPr>
        <w:br w:type="page"/>
      </w:r>
    </w:p>
    <w:p w:rsidR="00000000" w:rsidRDefault="006F2E0B">
      <w:pPr>
        <w:jc w:val="center"/>
      </w:pPr>
      <w:r>
        <w:rPr>
          <w:b/>
        </w:rPr>
        <w:t xml:space="preserve">CODECISION </w:t>
      </w:r>
      <w:r>
        <w:rPr>
          <w:b/>
          <w:caps/>
        </w:rPr>
        <w:t>procedure</w:t>
      </w:r>
      <w:r>
        <w:rPr>
          <w:b/>
        </w:rPr>
        <w:t xml:space="preserve"> - First reading</w:t>
      </w:r>
    </w:p>
    <w:p w:rsidR="00000000" w:rsidRDefault="006F2E0B">
      <w:pPr>
        <w:jc w:val="center"/>
        <w:rPr>
          <w:b/>
        </w:rPr>
      </w:pPr>
      <w:r>
        <w:rPr>
          <w:b/>
        </w:rPr>
        <w:t xml:space="preserve">European </w:t>
      </w:r>
      <w:r>
        <w:rPr>
          <w:b/>
        </w:rPr>
        <w:t>Parliament and Council proposal for a regulation amending Regulation</w:t>
      </w:r>
      <w:r>
        <w:rPr>
          <w:b/>
        </w:rPr>
        <w:br/>
        <w:t>(EC) No 2130/2001 on operations to aid uprooted people in Asian and Latin American developing countries</w:t>
      </w:r>
    </w:p>
    <w:p w:rsidR="00000000" w:rsidRDefault="006F2E0B"/>
    <w:p w:rsidR="00000000" w:rsidRDefault="006F2E0B">
      <w:pPr>
        <w:rPr>
          <w:b/>
        </w:rPr>
      </w:pPr>
    </w:p>
    <w:p w:rsidR="00000000" w:rsidRDefault="006F2E0B">
      <w:r>
        <w:rPr>
          <w:b/>
        </w:rPr>
        <w:t>1.</w:t>
      </w:r>
      <w:r>
        <w:rPr>
          <w:b/>
        </w:rPr>
        <w:tab/>
        <w:t xml:space="preserve">Rapporteur: </w:t>
      </w:r>
      <w:r>
        <w:t>Luisa Morgantini</w:t>
      </w:r>
    </w:p>
    <w:p w:rsidR="00000000" w:rsidRDefault="006F2E0B">
      <w:r>
        <w:rPr>
          <w:b/>
        </w:rPr>
        <w:t>2.</w:t>
      </w:r>
      <w:r>
        <w:rPr>
          <w:b/>
        </w:rPr>
        <w:tab/>
        <w:t xml:space="preserve">EP No: </w:t>
      </w:r>
      <w:r>
        <w:t>A6-0018/2004</w:t>
      </w:r>
    </w:p>
    <w:p w:rsidR="00000000" w:rsidRDefault="006F2E0B">
      <w:r>
        <w:rPr>
          <w:b/>
        </w:rPr>
        <w:t>3.</w:t>
      </w:r>
      <w:r>
        <w:rPr>
          <w:b/>
        </w:rPr>
        <w:tab/>
        <w:t>Date of adoption of the</w:t>
      </w:r>
      <w:r>
        <w:rPr>
          <w:b/>
        </w:rPr>
        <w:t xml:space="preserve"> report: </w:t>
      </w:r>
      <w:r>
        <w:t>26 October 2004</w:t>
      </w:r>
    </w:p>
    <w:p w:rsidR="00000000" w:rsidRDefault="006F2E0B">
      <w:pPr>
        <w:rPr>
          <w:b/>
        </w:rPr>
      </w:pPr>
      <w:r>
        <w:rPr>
          <w:b/>
        </w:rPr>
        <w:t>4.</w:t>
      </w:r>
      <w:r>
        <w:rPr>
          <w:b/>
        </w:rPr>
        <w:tab/>
        <w:t>Subject:</w:t>
      </w:r>
    </w:p>
    <w:p w:rsidR="00000000" w:rsidRDefault="006F2E0B">
      <w:r>
        <w:t>European Parliament and Council proposal for a regulation amending Regulation (EC) No 2130/2001 on operations to aid uprooted people in Asian and Latin American developing countries (COM(2004)0126)</w:t>
      </w:r>
    </w:p>
    <w:p w:rsidR="00000000" w:rsidRDefault="006F2E0B">
      <w:r>
        <w:rPr>
          <w:b/>
        </w:rPr>
        <w:t>5.</w:t>
      </w:r>
      <w:r>
        <w:rPr>
          <w:b/>
        </w:rPr>
        <w:tab/>
        <w:t>Inter-institutiona</w:t>
      </w:r>
      <w:r>
        <w:rPr>
          <w:b/>
        </w:rPr>
        <w:t xml:space="preserve">l references: </w:t>
      </w:r>
      <w:r>
        <w:t>2004/0040(COD)</w:t>
      </w:r>
    </w:p>
    <w:p w:rsidR="00000000" w:rsidRDefault="006F2E0B">
      <w:r>
        <w:rPr>
          <w:b/>
        </w:rPr>
        <w:t>6.</w:t>
      </w:r>
      <w:r>
        <w:rPr>
          <w:b/>
        </w:rPr>
        <w:tab/>
        <w:t xml:space="preserve">Legal basis: </w:t>
      </w:r>
      <w:r>
        <w:t>Regulation (EC) No 2130/2001</w:t>
      </w:r>
    </w:p>
    <w:p w:rsidR="00000000" w:rsidRDefault="006F2E0B">
      <w:r>
        <w:rPr>
          <w:b/>
        </w:rPr>
        <w:t>7.</w:t>
      </w:r>
      <w:r>
        <w:rPr>
          <w:b/>
        </w:rPr>
        <w:tab/>
        <w:t xml:space="preserve">Competent parliamentary committee: </w:t>
      </w:r>
      <w:r>
        <w:t>Committee on Development</w:t>
      </w:r>
    </w:p>
    <w:p w:rsidR="00000000" w:rsidRDefault="006F2E0B">
      <w:pPr>
        <w:rPr>
          <w:b/>
        </w:rPr>
      </w:pPr>
      <w:r>
        <w:rPr>
          <w:b/>
        </w:rPr>
        <w:t>8.</w:t>
      </w:r>
      <w:r>
        <w:rPr>
          <w:b/>
        </w:rPr>
        <w:tab/>
        <w:t>Commission‘s position:</w:t>
      </w:r>
    </w:p>
    <w:p w:rsidR="00000000" w:rsidRDefault="006F2E0B">
      <w:r>
        <w:t>The Commission can accept all the three amendments proposed by Parliament.</w:t>
      </w:r>
    </w:p>
    <w:p w:rsidR="00000000" w:rsidRDefault="006F2E0B">
      <w:pPr>
        <w:pStyle w:val="ListDash"/>
      </w:pPr>
      <w:r>
        <w:t>Updated references</w:t>
      </w:r>
      <w:r>
        <w:t xml:space="preserve"> to the Financial Regulation (amendment 1): While not strictly necessary, this amendment is welcome;</w:t>
      </w:r>
    </w:p>
    <w:p w:rsidR="00000000" w:rsidRDefault="006F2E0B">
      <w:pPr>
        <w:pStyle w:val="ListDash"/>
      </w:pPr>
      <w:r>
        <w:t>Timing of the evaluation (amendment 2):  As the evaluation report is currently underway, the amendment is acceptable to the Commission;</w:t>
      </w:r>
    </w:p>
    <w:p w:rsidR="00000000" w:rsidRDefault="006F2E0B">
      <w:pPr>
        <w:pStyle w:val="ListDash"/>
      </w:pPr>
      <w:r>
        <w:t>Period of applicati</w:t>
      </w:r>
      <w:r>
        <w:t>on limited to two years (amendment 3): As the Development Co-operation and Economic Co-operation instrument should be adopted before the end 2006, this amendment is acceptable to the Commission.</w:t>
      </w:r>
    </w:p>
    <w:p w:rsidR="00000000" w:rsidRDefault="006F2E0B">
      <w:pPr>
        <w:rPr>
          <w:b/>
        </w:rPr>
      </w:pPr>
      <w:r>
        <w:rPr>
          <w:b/>
        </w:rPr>
        <w:t>9.</w:t>
      </w:r>
      <w:r>
        <w:rPr>
          <w:b/>
        </w:rPr>
        <w:tab/>
        <w:t xml:space="preserve">Outlook for amendment of the proposal: </w:t>
      </w:r>
      <w:r>
        <w:t>not applicable</w:t>
      </w:r>
    </w:p>
    <w:p w:rsidR="00000000" w:rsidRDefault="006F2E0B">
      <w:r>
        <w:rPr>
          <w:b/>
        </w:rPr>
        <w:t>10.</w:t>
      </w:r>
      <w:r>
        <w:rPr>
          <w:b/>
        </w:rPr>
        <w:tab/>
      </w:r>
      <w:r>
        <w:rPr>
          <w:b/>
        </w:rPr>
        <w:t xml:space="preserve">Outlook for the adoption of a common position: </w:t>
      </w:r>
      <w:r>
        <w:t>by 31 December 2004.</w:t>
      </w:r>
    </w:p>
    <w:p w:rsidR="00000000" w:rsidRDefault="006F2E0B">
      <w:pPr>
        <w:spacing w:before="100" w:after="100"/>
      </w:pPr>
    </w:p>
    <w:p w:rsidR="00000000" w:rsidRDefault="006F2E0B">
      <w:pPr>
        <w:spacing w:before="100" w:after="100"/>
      </w:pPr>
      <w:r>
        <w:br w:type="page"/>
      </w:r>
    </w:p>
    <w:p w:rsidR="00000000" w:rsidRDefault="006F2E0B"/>
    <w:p w:rsidR="00000000" w:rsidRDefault="006F2E0B">
      <w:pPr>
        <w:jc w:val="center"/>
        <w:rPr>
          <w:b/>
          <w:sz w:val="48"/>
        </w:rPr>
      </w:pPr>
    </w:p>
    <w:p w:rsidR="00000000" w:rsidRDefault="006F2E0B">
      <w:pPr>
        <w:jc w:val="center"/>
        <w:rPr>
          <w:b/>
          <w:sz w:val="48"/>
        </w:rPr>
      </w:pPr>
    </w:p>
    <w:p w:rsidR="00000000" w:rsidRDefault="006F2E0B">
      <w:pPr>
        <w:jc w:val="center"/>
        <w:rPr>
          <w:b/>
          <w:sz w:val="48"/>
        </w:rPr>
      </w:pPr>
    </w:p>
    <w:p w:rsidR="00000000" w:rsidRDefault="006F2E0B">
      <w:pPr>
        <w:jc w:val="center"/>
        <w:rPr>
          <w:b/>
          <w:sz w:val="48"/>
        </w:rPr>
      </w:pPr>
    </w:p>
    <w:p w:rsidR="00000000" w:rsidRDefault="006F2E0B">
      <w:pPr>
        <w:jc w:val="center"/>
        <w:rPr>
          <w:b/>
          <w:sz w:val="48"/>
        </w:rPr>
      </w:pPr>
    </w:p>
    <w:p w:rsidR="00000000" w:rsidRPr="006F2E0B" w:rsidRDefault="006F2E0B">
      <w:pPr>
        <w:jc w:val="center"/>
        <w:rPr>
          <w:b/>
          <w:sz w:val="48"/>
          <w:lang w:val="fr-FR"/>
        </w:rPr>
      </w:pPr>
      <w:r w:rsidRPr="006F2E0B">
        <w:rPr>
          <w:b/>
          <w:sz w:val="48"/>
          <w:lang w:val="fr-FR"/>
        </w:rPr>
        <w:t>Deuxième partie</w:t>
      </w:r>
      <w:r w:rsidRPr="006F2E0B">
        <w:rPr>
          <w:b/>
          <w:sz w:val="48"/>
          <w:lang w:val="fr-FR"/>
        </w:rPr>
        <w:br/>
        <w:t>Résolutions non législatives</w:t>
      </w:r>
    </w:p>
    <w:p w:rsidR="00000000" w:rsidRPr="006F2E0B" w:rsidRDefault="006F2E0B">
      <w:pPr>
        <w:spacing w:after="0"/>
        <w:jc w:val="center"/>
        <w:rPr>
          <w:sz w:val="22"/>
          <w:lang w:val="fr-FR"/>
        </w:rPr>
      </w:pPr>
      <w:r w:rsidRPr="006F2E0B">
        <w:rPr>
          <w:lang w:val="fr-FR"/>
        </w:rPr>
        <w:br w:type="page"/>
      </w:r>
    </w:p>
    <w:p w:rsidR="00000000" w:rsidRPr="006F2E0B" w:rsidRDefault="006F2E0B">
      <w:pPr>
        <w:spacing w:after="0"/>
        <w:jc w:val="center"/>
        <w:rPr>
          <w:b/>
          <w:sz w:val="22"/>
          <w:u w:val="single"/>
          <w:lang w:val="fr-FR"/>
        </w:rPr>
      </w:pPr>
      <w:r w:rsidRPr="006F2E0B">
        <w:rPr>
          <w:b/>
          <w:sz w:val="22"/>
          <w:lang w:val="fr-FR"/>
        </w:rPr>
        <w:t>LA COMMISSION ENTEND NE PAS DONNER UNE SUITE SOUS FORME DE FICHE AUX RESOLUTIONS NON LEGISLATIVES SUIVANTES, ADOPTEES PAR LE PARLEME</w:t>
      </w:r>
      <w:r w:rsidRPr="006F2E0B">
        <w:rPr>
          <w:b/>
          <w:sz w:val="22"/>
          <w:lang w:val="fr-FR"/>
        </w:rPr>
        <w:t xml:space="preserve">NT EUROPEEN AU COURS DES SESSIONS </w:t>
      </w:r>
      <w:r w:rsidRPr="006F2E0B">
        <w:rPr>
          <w:b/>
          <w:caps/>
          <w:sz w:val="22"/>
          <w:lang w:val="fr-FR"/>
        </w:rPr>
        <w:t xml:space="preserve">D’OCTOBRE I ET II </w:t>
      </w:r>
      <w:r w:rsidRPr="006F2E0B">
        <w:rPr>
          <w:b/>
          <w:sz w:val="22"/>
          <w:lang w:val="fr-FR"/>
        </w:rPr>
        <w:t>2004</w:t>
      </w: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-</w:t>
      </w:r>
      <w:r w:rsidRPr="006F2E0B">
        <w:rPr>
          <w:sz w:val="22"/>
          <w:lang w:val="fr-FR"/>
        </w:rPr>
        <w:tab/>
        <w:t>Résolution du Parlement européen sur la Géorgie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(PE : B6-0073/04, B6-0074/04, B6-0079/04, B6-0080/04, B6-0082/04)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Procès verbal, 2ème partie, du 14 octobre 2004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 xml:space="preserve">Compétence : </w:t>
      </w:r>
      <w:r w:rsidRPr="006F2E0B">
        <w:rPr>
          <w:sz w:val="22"/>
          <w:lang w:val="fr-FR"/>
        </w:rPr>
        <w:tab/>
        <w:t>Chris PATTEN</w:t>
      </w:r>
    </w:p>
    <w:p w:rsidR="00000000" w:rsidRPr="006F2E0B" w:rsidRDefault="006F2E0B">
      <w:pPr>
        <w:spacing w:after="0"/>
        <w:rPr>
          <w:sz w:val="20"/>
          <w:lang w:val="fr-FR"/>
        </w:rPr>
      </w:pPr>
      <w:r w:rsidRPr="006F2E0B">
        <w:rPr>
          <w:sz w:val="22"/>
          <w:lang w:val="fr-FR"/>
        </w:rPr>
        <w:tab/>
      </w:r>
      <w:r w:rsidRPr="006F2E0B">
        <w:rPr>
          <w:sz w:val="22"/>
          <w:lang w:val="fr-FR"/>
        </w:rPr>
        <w:tab/>
        <w:t>DG Re</w:t>
      </w:r>
      <w:r w:rsidRPr="006F2E0B">
        <w:rPr>
          <w:sz w:val="22"/>
          <w:lang w:val="fr-FR"/>
        </w:rPr>
        <w:t>lations extérieures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b/>
          <w:sz w:val="22"/>
          <w:u w:val="single"/>
          <w:lang w:val="fr-FR"/>
        </w:rPr>
        <w:t>Justification</w:t>
      </w:r>
      <w:r w:rsidRPr="006F2E0B">
        <w:rPr>
          <w:sz w:val="22"/>
          <w:lang w:val="fr-FR"/>
        </w:rPr>
        <w:t> : La Commission ne donnera pas suite sous forme de fiche étant donné que le Commissaire M. Patten a déjà répondu en plénière aux demandes contenues dans la résolution.</w:t>
      </w: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-</w:t>
      </w:r>
      <w:r w:rsidRPr="006F2E0B">
        <w:rPr>
          <w:sz w:val="22"/>
          <w:lang w:val="fr-FR"/>
        </w:rPr>
        <w:tab/>
        <w:t xml:space="preserve">Résolution du Parlement européen sur la situation </w:t>
      </w:r>
      <w:r w:rsidRPr="006F2E0B">
        <w:rPr>
          <w:sz w:val="22"/>
          <w:lang w:val="fr-FR"/>
        </w:rPr>
        <w:t>politique au Belarus après les élections législatives et le référendum du 17 octobre 2004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(PE : B6-0094/04, B6-0097/04, B6-0101/04, B6-0104/04, B6-0110/04)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Procès verbal, 2ème partie, du 28 octobre 2004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 xml:space="preserve">Compétence : </w:t>
      </w:r>
      <w:r w:rsidRPr="006F2E0B">
        <w:rPr>
          <w:sz w:val="22"/>
          <w:lang w:val="fr-FR"/>
        </w:rPr>
        <w:tab/>
        <w:t>Chris PATTEN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ab/>
      </w:r>
      <w:r w:rsidRPr="006F2E0B">
        <w:rPr>
          <w:sz w:val="22"/>
          <w:lang w:val="fr-FR"/>
        </w:rPr>
        <w:tab/>
        <w:t>DG Relations extérieures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b/>
          <w:sz w:val="22"/>
          <w:u w:val="single"/>
          <w:lang w:val="fr-FR"/>
        </w:rPr>
        <w:t>Justification</w:t>
      </w:r>
      <w:r w:rsidRPr="006F2E0B">
        <w:rPr>
          <w:sz w:val="22"/>
          <w:lang w:val="fr-FR"/>
        </w:rPr>
        <w:t> : La Commission ne donnera pas suite sous forme de fiche étant donné que le Commissaire M. Verheugen a déjà répondu en plénière aux demandes contenues dans la résolution.</w:t>
      </w: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-</w:t>
      </w:r>
      <w:r w:rsidRPr="006F2E0B">
        <w:rPr>
          <w:sz w:val="22"/>
          <w:lang w:val="fr-FR"/>
        </w:rPr>
        <w:tab/>
        <w:t>Résolution du Parlement européen sur les prochaines élections prés</w:t>
      </w:r>
      <w:r w:rsidRPr="006F2E0B">
        <w:rPr>
          <w:sz w:val="22"/>
          <w:lang w:val="fr-FR"/>
        </w:rPr>
        <w:t>identielles en Ukraine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(PE : B6-0095/04, B6-0096/04, B6-0102/04, B6-0103/04, B6-0106/04, B6-0109/04)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Procès verbal, 2ème partie, du 28 octobre 2004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 xml:space="preserve">Compétence : </w:t>
      </w:r>
      <w:r w:rsidRPr="006F2E0B">
        <w:rPr>
          <w:sz w:val="22"/>
          <w:lang w:val="fr-FR"/>
        </w:rPr>
        <w:tab/>
        <w:t>Chris PATTEN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ab/>
      </w:r>
      <w:r w:rsidRPr="006F2E0B">
        <w:rPr>
          <w:sz w:val="22"/>
          <w:lang w:val="fr-FR"/>
        </w:rPr>
        <w:tab/>
        <w:t>DG Relations extérieures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b/>
          <w:sz w:val="22"/>
          <w:u w:val="single"/>
          <w:lang w:val="fr-FR"/>
        </w:rPr>
        <w:t>Justification</w:t>
      </w:r>
      <w:r w:rsidRPr="006F2E0B">
        <w:rPr>
          <w:sz w:val="22"/>
          <w:lang w:val="fr-FR"/>
        </w:rPr>
        <w:t> : La Commission ne donnera pas suite sou</w:t>
      </w:r>
      <w:r w:rsidRPr="006F2E0B">
        <w:rPr>
          <w:sz w:val="22"/>
          <w:lang w:val="fr-FR"/>
        </w:rPr>
        <w:t>s forme de fiche étant donné que le Commissaire M. Verheugen a déjà répondu en plénière aux demandes contenues dans la résolution.</w:t>
      </w: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-</w:t>
      </w:r>
      <w:r w:rsidRPr="006F2E0B">
        <w:rPr>
          <w:sz w:val="22"/>
          <w:lang w:val="fr-FR"/>
        </w:rPr>
        <w:tab/>
        <w:t>Résolution du Parlement européen sur les armes à sous-munitions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(PE : B6-0108/04, B6-0111/04, B6-0112/04, B6-0120/04)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Pro</w:t>
      </w:r>
      <w:r w:rsidRPr="006F2E0B">
        <w:rPr>
          <w:sz w:val="22"/>
          <w:lang w:val="fr-FR"/>
        </w:rPr>
        <w:t>cès verbal, 2ème partie, du 28 octobre 2004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 xml:space="preserve">Compétence : </w:t>
      </w:r>
      <w:r w:rsidRPr="006F2E0B">
        <w:rPr>
          <w:sz w:val="22"/>
          <w:lang w:val="fr-FR"/>
        </w:rPr>
        <w:tab/>
        <w:t>Chris PATTEN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ab/>
      </w:r>
      <w:r w:rsidRPr="006F2E0B">
        <w:rPr>
          <w:sz w:val="22"/>
          <w:lang w:val="fr-FR"/>
        </w:rPr>
        <w:tab/>
        <w:t>DG Relations extérieures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b/>
          <w:sz w:val="22"/>
          <w:u w:val="single"/>
          <w:lang w:val="fr-FR"/>
        </w:rPr>
        <w:t>Justification</w:t>
      </w:r>
      <w:r w:rsidRPr="006F2E0B">
        <w:rPr>
          <w:sz w:val="22"/>
          <w:lang w:val="fr-FR"/>
        </w:rPr>
        <w:t> : La Commission ne donnera pas suite sous forme de fiche étant donné que le Commissaire M. Lamy a déjà répondu en plénière aux demandes contenue</w:t>
      </w:r>
      <w:r w:rsidRPr="006F2E0B">
        <w:rPr>
          <w:sz w:val="22"/>
          <w:lang w:val="fr-FR"/>
        </w:rPr>
        <w:t>s dans la résolution.</w:t>
      </w: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-</w:t>
      </w:r>
      <w:r w:rsidRPr="006F2E0B">
        <w:rPr>
          <w:sz w:val="22"/>
          <w:lang w:val="fr-FR"/>
        </w:rPr>
        <w:tab/>
        <w:t>Résolution du Parlement européen sur l'Iran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(PE : B6-0107/04, B6-0113/04, B6-0116/04, B6-0118/04, B6-0121/04)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>Procès verbal, 2ème partie, du 28 octobre 2004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 xml:space="preserve">Compétence : </w:t>
      </w:r>
      <w:r w:rsidRPr="006F2E0B">
        <w:rPr>
          <w:sz w:val="22"/>
          <w:lang w:val="fr-FR"/>
        </w:rPr>
        <w:tab/>
        <w:t>Chris PATTEN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sz w:val="22"/>
          <w:lang w:val="fr-FR"/>
        </w:rPr>
        <w:tab/>
      </w:r>
      <w:r w:rsidRPr="006F2E0B">
        <w:rPr>
          <w:sz w:val="22"/>
          <w:lang w:val="fr-FR"/>
        </w:rPr>
        <w:tab/>
        <w:t>DG Relations extérieures</w:t>
      </w:r>
    </w:p>
    <w:p w:rsidR="00000000" w:rsidRPr="006F2E0B" w:rsidRDefault="006F2E0B">
      <w:pPr>
        <w:spacing w:after="0"/>
        <w:rPr>
          <w:sz w:val="22"/>
          <w:lang w:val="fr-FR"/>
        </w:rPr>
      </w:pPr>
      <w:r w:rsidRPr="006F2E0B">
        <w:rPr>
          <w:b/>
          <w:sz w:val="22"/>
          <w:u w:val="single"/>
          <w:lang w:val="fr-FR"/>
        </w:rPr>
        <w:t>Justification</w:t>
      </w:r>
      <w:r w:rsidRPr="006F2E0B">
        <w:rPr>
          <w:sz w:val="22"/>
          <w:lang w:val="fr-FR"/>
        </w:rPr>
        <w:t xml:space="preserve"> : La </w:t>
      </w:r>
      <w:r w:rsidRPr="006F2E0B">
        <w:rPr>
          <w:sz w:val="22"/>
          <w:lang w:val="fr-FR"/>
        </w:rPr>
        <w:t>Commission ne donnera pas suite sous forme de fiche étant donné que le Commissaire M. Lamy a déjà répondu en plénière aux demandes contenues dans la résolution.</w:t>
      </w: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Pr="006F2E0B" w:rsidRDefault="006F2E0B">
      <w:pPr>
        <w:spacing w:after="0"/>
        <w:rPr>
          <w:sz w:val="22"/>
          <w:lang w:val="fr-FR"/>
        </w:rPr>
      </w:pPr>
    </w:p>
    <w:p w:rsidR="00000000" w:rsidRDefault="006F2E0B">
      <w:pPr>
        <w:spacing w:after="0"/>
        <w:jc w:val="center"/>
        <w:rPr>
          <w:sz w:val="22"/>
        </w:rPr>
      </w:pPr>
      <w:r>
        <w:rPr>
          <w:sz w:val="22"/>
        </w:rPr>
        <w:t>-------------</w:t>
      </w:r>
    </w:p>
    <w:sectPr w:rsidR="00000000"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F2E0B">
      <w:pPr>
        <w:spacing w:after="0"/>
      </w:pPr>
      <w:r>
        <w:separator/>
      </w:r>
    </w:p>
  </w:endnote>
  <w:endnote w:type="continuationSeparator" w:id="0">
    <w:p w:rsidR="00000000" w:rsidRDefault="006F2E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F2E0B">
    <w:pPr>
      <w:pStyle w:val="Foo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F2E0B">
    <w:pPr>
      <w:pStyle w:val="Footer"/>
      <w:rPr>
        <w:sz w:val="24"/>
      </w:rPr>
    </w:pPr>
  </w:p>
  <w:p w:rsidR="00000000" w:rsidRPr="006F2E0B" w:rsidRDefault="006F2E0B">
    <w:pPr>
      <w:pStyle w:val="Footer"/>
      <w:rPr>
        <w:lang w:val="fr-FR"/>
      </w:rPr>
    </w:pPr>
    <w:r w:rsidRPr="006F2E0B">
      <w:rPr>
        <w:lang w:val="fr-FR"/>
      </w:rPr>
      <w:t>Commission européenne, B-1049 Bruxelles – Belgique, Téléphone : (3</w:t>
    </w:r>
    <w:r w:rsidRPr="006F2E0B">
      <w:rPr>
        <w:lang w:val="fr-FR"/>
      </w:rPr>
      <w:t>2-2) 299 11 11.</w:t>
    </w:r>
  </w:p>
  <w:p w:rsidR="00000000" w:rsidRPr="006F2E0B" w:rsidRDefault="006F2E0B">
    <w:pPr>
      <w:pStyle w:val="Footer"/>
      <w:rPr>
        <w:lang w:val="fr-FR"/>
      </w:rPr>
    </w:pPr>
    <w:r w:rsidRPr="006F2E0B">
      <w:rPr>
        <w:lang w:val="fr-FR"/>
      </w:rPr>
      <w:t xml:space="preserve">Bureau: BERL 7/358, Téléphone: ligne directe (32-2) 295 07 46, Télécopieur: (32-2) 296 59 57.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F2E0B">
      <w:pPr>
        <w:spacing w:after="0"/>
      </w:pPr>
      <w:r>
        <w:separator/>
      </w:r>
    </w:p>
  </w:footnote>
  <w:footnote w:type="continuationSeparator" w:id="0">
    <w:p w:rsidR="00000000" w:rsidRDefault="006F2E0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F2E0B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52A49E8"/>
    <w:multiLevelType w:val="singleLevel"/>
    <w:tmpl w:val="EF3467B2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3" w15:restartNumberingAfterBreak="0">
    <w:nsid w:val="087C2A59"/>
    <w:multiLevelType w:val="multilevel"/>
    <w:tmpl w:val="543CFB94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AB03180"/>
    <w:multiLevelType w:val="multilevel"/>
    <w:tmpl w:val="EF2E4E8E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00664F6"/>
    <w:multiLevelType w:val="multilevel"/>
    <w:tmpl w:val="86AC17D0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6C656DE"/>
    <w:multiLevelType w:val="multilevel"/>
    <w:tmpl w:val="DA2A2E06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1B24696A"/>
    <w:multiLevelType w:val="singleLevel"/>
    <w:tmpl w:val="B4722A64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8" w15:restartNumberingAfterBreak="0">
    <w:nsid w:val="22CA659A"/>
    <w:multiLevelType w:val="singleLevel"/>
    <w:tmpl w:val="7B9C897A"/>
    <w:lvl w:ilvl="0">
      <w:start w:val="1"/>
      <w:numFmt w:val="bullet"/>
      <w:pStyle w:val="Par-dash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9" w15:restartNumberingAfterBreak="0">
    <w:nsid w:val="37946B04"/>
    <w:multiLevelType w:val="singleLevel"/>
    <w:tmpl w:val="6FCE9960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0" w15:restartNumberingAfterBreak="0">
    <w:nsid w:val="3D250611"/>
    <w:multiLevelType w:val="singleLevel"/>
    <w:tmpl w:val="A0C635BA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11" w15:restartNumberingAfterBreak="0">
    <w:nsid w:val="40A0734F"/>
    <w:multiLevelType w:val="singleLevel"/>
    <w:tmpl w:val="0D7CBBA0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 w15:restartNumberingAfterBreak="0">
    <w:nsid w:val="48EE22E0"/>
    <w:multiLevelType w:val="singleLevel"/>
    <w:tmpl w:val="2D34A67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13" w15:restartNumberingAfterBreak="0">
    <w:nsid w:val="4D3A5F21"/>
    <w:multiLevelType w:val="singleLevel"/>
    <w:tmpl w:val="465A7B76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abstractNum w:abstractNumId="14" w15:restartNumberingAfterBreak="0">
    <w:nsid w:val="4EF00622"/>
    <w:multiLevelType w:val="multilevel"/>
    <w:tmpl w:val="D2360C28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080"/>
        </w:tabs>
        <w:ind w:left="1080" w:hanging="60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8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2880"/>
        </w:tabs>
        <w:ind w:left="2880" w:hanging="9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0260B70"/>
    <w:multiLevelType w:val="singleLevel"/>
    <w:tmpl w:val="41907E6A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 w15:restartNumberingAfterBreak="0">
    <w:nsid w:val="51601A81"/>
    <w:multiLevelType w:val="singleLevel"/>
    <w:tmpl w:val="55EA7B74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17" w15:restartNumberingAfterBreak="0">
    <w:nsid w:val="68D864F3"/>
    <w:multiLevelType w:val="singleLevel"/>
    <w:tmpl w:val="D4E4AB6C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18" w15:restartNumberingAfterBreak="0">
    <w:nsid w:val="7EC528FF"/>
    <w:multiLevelType w:val="multilevel"/>
    <w:tmpl w:val="AF3AF7E8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16"/>
  </w:num>
  <w:num w:numId="8">
    <w:abstractNumId w:val="12"/>
  </w:num>
  <w:num w:numId="9">
    <w:abstractNumId w:val="2"/>
  </w:num>
  <w:num w:numId="10">
    <w:abstractNumId w:val="15"/>
  </w:num>
  <w:num w:numId="11">
    <w:abstractNumId w:val="7"/>
  </w:num>
  <w:num w:numId="12">
    <w:abstractNumId w:val="13"/>
  </w:num>
  <w:num w:numId="13">
    <w:abstractNumId w:val="17"/>
  </w:num>
  <w:num w:numId="14">
    <w:abstractNumId w:val="18"/>
  </w:num>
  <w:num w:numId="15">
    <w:abstractNumId w:val="4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T"/>
  </w:docVars>
  <w:rsids>
    <w:rsidRoot w:val="006F2E0B"/>
    <w:rsid w:val="006F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61F8A17-5399-4331-A2E4-298782CC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pacing w:after="24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rFonts w:ascii="Arial" w:hAnsi="Arial"/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080"/>
      </w:tabs>
      <w:ind w:left="1077" w:hanging="595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16" w:hanging="839"/>
      <w:outlineLvl w:val="2"/>
    </w:pPr>
    <w:rPr>
      <w:rFonts w:ascii="Arial" w:hAnsi="Arial"/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2880"/>
      </w:tabs>
      <w:ind w:hanging="964"/>
      <w:outlineLvl w:val="3"/>
    </w:pPr>
    <w:rPr>
      <w:rFonts w:ascii="Arial" w:hAnsi="Arial"/>
    </w:rPr>
  </w:style>
  <w:style w:type="paragraph" w:styleId="Heading5">
    <w:name w:val="heading 5"/>
    <w:basedOn w:val="Normal"/>
    <w:next w:val="Normal"/>
    <w:qFormat/>
    <w:pPr>
      <w:spacing w:before="240" w:after="60"/>
      <w:ind w:left="3332" w:hanging="708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ind w:left="4040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ind w:left="4748" w:hanging="708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ind w:left="5456" w:hanging="708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ind w:left="6164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6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</w:pPr>
  </w:style>
  <w:style w:type="paragraph" w:customStyle="1" w:styleId="AddressTL">
    <w:name w:val="AddressTL"/>
    <w:basedOn w:val="Normal"/>
    <w:next w:val="Normal"/>
    <w:pPr>
      <w:spacing w:after="720"/>
    </w:pPr>
  </w:style>
  <w:style w:type="paragraph" w:customStyle="1" w:styleId="AddressTR">
    <w:name w:val="AddressTR"/>
    <w:basedOn w:val="Normal"/>
    <w:next w:val="Normal"/>
    <w:pPr>
      <w:spacing w:after="720"/>
      <w:ind w:left="5103"/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</w:rPr>
  </w:style>
  <w:style w:type="paragraph" w:styleId="BodyTextFirstIndent">
    <w:name w:val="Body Text First Indent"/>
    <w:basedOn w:val="BodyText"/>
    <w:semiHidden/>
    <w:pPr>
      <w:ind w:firstLine="210"/>
    </w:p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pPr>
      <w:ind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next w:val="Signature"/>
    <w:semiHidden/>
    <w:pPr>
      <w:tabs>
        <w:tab w:val="left" w:pos="5103"/>
      </w:tabs>
      <w:spacing w:before="240"/>
      <w:ind w:left="5103"/>
    </w:pPr>
  </w:style>
  <w:style w:type="paragraph" w:styleId="Signature">
    <w:name w:val="Signature"/>
    <w:basedOn w:val="Normal"/>
    <w:next w:val="Enclosures"/>
    <w:semiHidden/>
    <w:pPr>
      <w:tabs>
        <w:tab w:val="left" w:pos="5103"/>
      </w:tabs>
      <w:spacing w:before="1200" w:after="0"/>
      <w:ind w:left="5103"/>
      <w:jc w:val="center"/>
    </w:pPr>
  </w:style>
  <w:style w:type="paragraph" w:customStyle="1" w:styleId="Contact">
    <w:name w:val="Contact"/>
    <w:basedOn w:val="Normal"/>
    <w:next w:val="Enclosures"/>
    <w:pPr>
      <w:spacing w:before="480" w:after="0"/>
      <w:ind w:left="567" w:hanging="567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semiHidden/>
    <w:pPr>
      <w:widowControl/>
      <w:spacing w:before="120" w:after="0"/>
      <w:ind w:left="5103" w:right="-567"/>
    </w:pPr>
    <w:rPr>
      <w:snapToGrid/>
    </w:rPr>
  </w:style>
  <w:style w:type="paragraph" w:customStyle="1" w:styleId="References">
    <w:name w:val="References"/>
    <w:basedOn w:val="Normal"/>
    <w:next w:val="AddressTR"/>
    <w:pPr>
      <w:spacing w:after="120"/>
      <w:ind w:left="5103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semiHidden/>
    <w:pPr>
      <w:spacing w:after="0"/>
    </w:pPr>
    <w:rPr>
      <w:sz w:val="20"/>
    </w:rPr>
  </w:style>
  <w:style w:type="paragraph" w:styleId="Footer">
    <w:name w:val="footer"/>
    <w:basedOn w:val="Normal"/>
    <w:semiHidden/>
    <w:pPr>
      <w:pBdr>
        <w:top w:val="single" w:sz="4" w:space="6" w:color="auto"/>
      </w:pBdr>
      <w:spacing w:after="0"/>
      <w:ind w:left="-851" w:right="-851"/>
      <w:jc w:val="center"/>
    </w:pPr>
    <w:rPr>
      <w:smallCaps/>
      <w:color w:val="808080"/>
      <w:sz w:val="20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semiHidden/>
    <w:pPr>
      <w:ind w:left="283" w:hanging="283"/>
    </w:pPr>
  </w:style>
  <w:style w:type="paragraph" w:styleId="List2">
    <w:name w:val="List 2"/>
    <w:basedOn w:val="Normal"/>
    <w:semiHidden/>
    <w:pPr>
      <w:ind w:left="566" w:hanging="283"/>
    </w:pPr>
  </w:style>
  <w:style w:type="paragraph" w:styleId="List3">
    <w:name w:val="List 3"/>
    <w:basedOn w:val="Normal"/>
    <w:semiHidden/>
    <w:pPr>
      <w:ind w:left="849" w:hanging="283"/>
    </w:pPr>
  </w:style>
  <w:style w:type="paragraph" w:styleId="List4">
    <w:name w:val="List 4"/>
    <w:basedOn w:val="Normal"/>
    <w:semiHidden/>
    <w:pPr>
      <w:ind w:left="1132" w:hanging="283"/>
    </w:pPr>
  </w:style>
  <w:style w:type="paragraph" w:styleId="List5">
    <w:name w:val="List 5"/>
    <w:basedOn w:val="Normal"/>
    <w:semiHidden/>
    <w:pPr>
      <w:ind w:left="1415" w:hanging="283"/>
    </w:pPr>
  </w:style>
  <w:style w:type="paragraph" w:styleId="ListBullet">
    <w:name w:val="List Bullet"/>
    <w:basedOn w:val="Normal"/>
    <w:semiHidden/>
    <w:pPr>
      <w:numPr>
        <w:numId w:val="4"/>
      </w:numPr>
    </w:pPr>
  </w:style>
  <w:style w:type="paragraph" w:styleId="ListBullet2">
    <w:name w:val="List Bullet 2"/>
    <w:basedOn w:val="Text2"/>
    <w:semiHidden/>
    <w:pPr>
      <w:numPr>
        <w:numId w:val="6"/>
      </w:numPr>
      <w:tabs>
        <w:tab w:val="clear" w:pos="2161"/>
      </w:tabs>
    </w:pPr>
  </w:style>
  <w:style w:type="paragraph" w:styleId="ListBullet3">
    <w:name w:val="List Bullet 3"/>
    <w:basedOn w:val="Text3"/>
    <w:semiHidden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semiHidden/>
    <w:pPr>
      <w:numPr>
        <w:numId w:val="8"/>
      </w:numPr>
    </w:pPr>
  </w:style>
  <w:style w:type="paragraph" w:styleId="ListBullet5">
    <w:name w:val="List Bullet 5"/>
    <w:basedOn w:val="Normal"/>
    <w:autoRedefine/>
    <w:semiHidden/>
    <w:pPr>
      <w:numPr>
        <w:numId w:val="2"/>
      </w:numPr>
    </w:pPr>
  </w:style>
  <w:style w:type="paragraph" w:styleId="ListContinue">
    <w:name w:val="List Continue"/>
    <w:basedOn w:val="Normal"/>
    <w:semiHidden/>
    <w:pPr>
      <w:spacing w:after="120"/>
      <w:ind w:left="283"/>
    </w:pPr>
  </w:style>
  <w:style w:type="paragraph" w:styleId="ListContinue2">
    <w:name w:val="List Continue 2"/>
    <w:basedOn w:val="Normal"/>
    <w:semiHidden/>
    <w:pPr>
      <w:spacing w:after="120"/>
      <w:ind w:left="566"/>
    </w:pPr>
  </w:style>
  <w:style w:type="paragraph" w:styleId="ListContinue3">
    <w:name w:val="List Continue 3"/>
    <w:basedOn w:val="Normal"/>
    <w:semiHidden/>
    <w:pPr>
      <w:spacing w:after="120"/>
      <w:ind w:left="849"/>
    </w:pPr>
  </w:style>
  <w:style w:type="paragraph" w:styleId="ListContinue4">
    <w:name w:val="List Continue 4"/>
    <w:basedOn w:val="Normal"/>
    <w:semiHidden/>
    <w:pPr>
      <w:spacing w:after="120"/>
      <w:ind w:left="1132"/>
    </w:pPr>
  </w:style>
  <w:style w:type="paragraph" w:styleId="ListContinue5">
    <w:name w:val="List Continue 5"/>
    <w:basedOn w:val="Normal"/>
    <w:semiHidden/>
    <w:pPr>
      <w:spacing w:after="120"/>
      <w:ind w:left="1415"/>
    </w:pPr>
  </w:style>
  <w:style w:type="paragraph" w:styleId="ListNumber">
    <w:name w:val="List Number"/>
    <w:basedOn w:val="Normal"/>
    <w:semiHidden/>
    <w:pPr>
      <w:numPr>
        <w:numId w:val="14"/>
      </w:numPr>
    </w:pPr>
  </w:style>
  <w:style w:type="paragraph" w:styleId="ListNumber2">
    <w:name w:val="List Number 2"/>
    <w:basedOn w:val="Text2"/>
    <w:semiHidden/>
    <w:pPr>
      <w:numPr>
        <w:numId w:val="16"/>
      </w:numPr>
      <w:tabs>
        <w:tab w:val="clear" w:pos="2161"/>
      </w:tabs>
    </w:pPr>
  </w:style>
  <w:style w:type="paragraph" w:styleId="ListNumber3">
    <w:name w:val="List Number 3"/>
    <w:basedOn w:val="Text3"/>
    <w:semiHidden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semiHidden/>
    <w:pPr>
      <w:numPr>
        <w:numId w:val="18"/>
      </w:numPr>
    </w:pPr>
  </w:style>
  <w:style w:type="paragraph" w:styleId="ListNumber5">
    <w:name w:val="List Number 5"/>
    <w:basedOn w:val="Normal"/>
    <w:semiHidden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</w:pPr>
    <w:rPr>
      <w:rFonts w:ascii="Times New Roman" w:hAnsi="Times New Roman"/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</w:pPr>
    <w:rPr>
      <w:rFonts w:ascii="Times New Roman" w:hAnsi="Times New Roman"/>
      <w:b w:val="0"/>
    </w:rPr>
  </w:style>
  <w:style w:type="paragraph" w:customStyle="1" w:styleId="NumPar3">
    <w:name w:val="NumPar 3"/>
    <w:basedOn w:val="Heading3"/>
    <w:next w:val="Text3"/>
    <w:pPr>
      <w:keepNext w:val="0"/>
      <w:ind w:left="1917" w:hanging="840"/>
    </w:pPr>
    <w:rPr>
      <w:rFonts w:ascii="Times New Roman" w:hAnsi="Times New Roman"/>
      <w:i w:val="0"/>
    </w:rPr>
  </w:style>
  <w:style w:type="paragraph" w:customStyle="1" w:styleId="NumPar4">
    <w:name w:val="NumPar 4"/>
    <w:basedOn w:val="Heading4"/>
    <w:next w:val="Text4"/>
    <w:pPr>
      <w:keepNext w:val="0"/>
    </w:pPr>
    <w:rPr>
      <w:rFonts w:ascii="Times New Roman" w:hAnsi="Times New Roman"/>
    </w:rPr>
  </w:style>
  <w:style w:type="paragraph" w:styleId="PlainText">
    <w:name w:val="Plain Text"/>
    <w:basedOn w:val="Normal"/>
    <w:semiHidden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semiHidden/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widowControl/>
      <w:spacing w:after="480"/>
      <w:jc w:val="center"/>
    </w:pPr>
    <w:rPr>
      <w:b/>
      <w:snapToGrid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161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161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161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161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</w:pPr>
  </w:style>
  <w:style w:type="paragraph" w:styleId="TOCHeading">
    <w:name w:val="TOC Heading"/>
    <w:basedOn w:val="Normal"/>
    <w:next w:val="Normal"/>
    <w:qFormat/>
    <w:pPr>
      <w:keepNext/>
      <w:spacing w:before="240"/>
      <w:jc w:val="center"/>
    </w:pPr>
    <w:rPr>
      <w:b/>
    </w:rPr>
  </w:style>
  <w:style w:type="paragraph" w:customStyle="1" w:styleId="ZCom">
    <w:name w:val="Z_Com"/>
    <w:basedOn w:val="Normal"/>
    <w:next w:val="ZDGName"/>
    <w:pPr>
      <w:spacing w:after="0"/>
      <w:ind w:right="85"/>
    </w:pPr>
    <w:rPr>
      <w:rFonts w:ascii="Arial" w:hAnsi="Arial"/>
    </w:rPr>
  </w:style>
  <w:style w:type="paragraph" w:customStyle="1" w:styleId="ZDGName">
    <w:name w:val="Z_DGName"/>
    <w:basedOn w:val="Normal"/>
    <w:pPr>
      <w:spacing w:after="0"/>
      <w:ind w:right="85"/>
    </w:pPr>
    <w:rPr>
      <w:rFonts w:ascii="Arial" w:hAnsi="Arial"/>
      <w:sz w:val="16"/>
    </w:rPr>
  </w:style>
  <w:style w:type="paragraph" w:customStyle="1" w:styleId="Disclaimer">
    <w:name w:val="Disclaimer"/>
    <w:basedOn w:val="Normal"/>
    <w:pPr>
      <w:keepLines/>
      <w:pBdr>
        <w:top w:val="single" w:sz="4" w:space="1" w:color="auto"/>
      </w:pBdr>
      <w:spacing w:before="480" w:after="0"/>
    </w:pPr>
    <w:rPr>
      <w:i/>
    </w:rPr>
  </w:style>
  <w:style w:type="character" w:customStyle="1" w:styleId="DefaultMargins">
    <w:name w:val="DefaultMargins"/>
    <w:basedOn w:val="DefaultParagraphFont"/>
    <w:rPr>
      <w:rFonts w:ascii="Courier New" w:hAnsi="Courier New"/>
      <w:noProof w:val="0"/>
      <w:sz w:val="20"/>
      <w:lang w:val="en-US"/>
    </w:rPr>
  </w:style>
  <w:style w:type="paragraph" w:customStyle="1" w:styleId="Initial">
    <w:name w:val="Initial"/>
    <w:pPr>
      <w:tabs>
        <w:tab w:val="left" w:pos="-720"/>
      </w:tabs>
      <w:suppressAutoHyphens/>
      <w:jc w:val="both"/>
    </w:pPr>
    <w:rPr>
      <w:spacing w:val="-3"/>
      <w:sz w:val="24"/>
      <w:lang w:val="en-US"/>
    </w:rPr>
  </w:style>
  <w:style w:type="paragraph" w:customStyle="1" w:styleId="Statut">
    <w:name w:val="Statut"/>
    <w:basedOn w:val="Normal"/>
    <w:next w:val="Normal"/>
    <w:pPr>
      <w:spacing w:before="360" w:after="0"/>
      <w:jc w:val="center"/>
    </w:pPr>
  </w:style>
  <w:style w:type="paragraph" w:customStyle="1" w:styleId="Dput">
    <w:name w:val="Député"/>
    <w:basedOn w:val="Normal"/>
    <w:pPr>
      <w:ind w:left="1418"/>
    </w:pPr>
  </w:style>
  <w:style w:type="paragraph" w:customStyle="1" w:styleId="Rfrencesproposition">
    <w:name w:val="Références proposition"/>
    <w:basedOn w:val="Normal"/>
    <w:next w:val="Normal"/>
    <w:pPr>
      <w:spacing w:after="480"/>
      <w:ind w:left="1418"/>
    </w:pPr>
  </w:style>
  <w:style w:type="paragraph" w:customStyle="1" w:styleId="Typedudocument">
    <w:name w:val="Type du document"/>
    <w:basedOn w:val="Normal"/>
    <w:next w:val="Normal"/>
    <w:pPr>
      <w:spacing w:before="360" w:after="0"/>
      <w:jc w:val="center"/>
    </w:pPr>
    <w:rPr>
      <w:b/>
    </w:rPr>
  </w:style>
  <w:style w:type="paragraph" w:customStyle="1" w:styleId="Titreobjet">
    <w:name w:val="Titre objet"/>
    <w:basedOn w:val="Normal"/>
    <w:next w:val="Normal"/>
    <w:pPr>
      <w:spacing w:before="360" w:after="360"/>
      <w:jc w:val="center"/>
    </w:pPr>
    <w:rPr>
      <w:b/>
    </w:rPr>
  </w:style>
  <w:style w:type="character" w:customStyle="1" w:styleId="Marker">
    <w:name w:val="Marker"/>
    <w:basedOn w:val="DefaultParagraphFont"/>
    <w:rPr>
      <w:noProof w:val="0"/>
      <w:color w:val="0000FF"/>
      <w:lang w:val="en-GB"/>
    </w:rPr>
  </w:style>
  <w:style w:type="paragraph" w:customStyle="1" w:styleId="Rfrenceinstitutionelle">
    <w:name w:val="Référence institutionelle"/>
    <w:basedOn w:val="Normal"/>
    <w:next w:val="Normal"/>
    <w:pPr>
      <w:ind w:left="5103"/>
    </w:pPr>
  </w:style>
  <w:style w:type="paragraph" w:customStyle="1" w:styleId="PointDouble0">
    <w:name w:val="PointDouble 0"/>
    <w:basedOn w:val="Normal"/>
    <w:pPr>
      <w:tabs>
        <w:tab w:val="left" w:pos="851"/>
      </w:tabs>
      <w:spacing w:before="120" w:after="120"/>
      <w:ind w:left="1418" w:hanging="1418"/>
    </w:pPr>
    <w:rPr>
      <w:lang w:val="de-D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customStyle="1" w:styleId="HideTWBExt">
    <w:name w:val="HideTWBExt"/>
    <w:basedOn w:val="DefaultParagraphFont"/>
    <w:rPr>
      <w:rFonts w:ascii="Arial" w:hAnsi="Arial"/>
      <w:noProof/>
      <w:vanish/>
      <w:color w:val="000080"/>
      <w:sz w:val="16"/>
    </w:rPr>
  </w:style>
  <w:style w:type="paragraph" w:customStyle="1" w:styleId="TextToAmendAM">
    <w:name w:val="Text To Amend AM"/>
    <w:basedOn w:val="Normal"/>
    <w:pPr>
      <w:tabs>
        <w:tab w:val="left" w:pos="-720"/>
      </w:tabs>
      <w:spacing w:after="480"/>
    </w:pPr>
  </w:style>
  <w:style w:type="character" w:customStyle="1" w:styleId="HideTWBInt">
    <w:name w:val="HideTWBInt"/>
    <w:basedOn w:val="DefaultParagraphFont"/>
    <w:rPr>
      <w:vanish/>
      <w:color w:val="808080"/>
    </w:rPr>
  </w:style>
  <w:style w:type="paragraph" w:customStyle="1" w:styleId="ManualHeading2">
    <w:name w:val="Manual Heading 2"/>
    <w:basedOn w:val="Heading2"/>
    <w:next w:val="Text2"/>
    <w:pPr>
      <w:tabs>
        <w:tab w:val="num" w:pos="851"/>
      </w:tabs>
      <w:spacing w:before="120" w:after="120"/>
      <w:ind w:left="851" w:hanging="851"/>
    </w:pPr>
  </w:style>
  <w:style w:type="character" w:styleId="Emphasis">
    <w:name w:val="Emphasis"/>
    <w:basedOn w:val="DefaultParagraphFont"/>
    <w:qFormat/>
    <w:rPr>
      <w:i/>
    </w:rPr>
  </w:style>
  <w:style w:type="paragraph" w:customStyle="1" w:styleId="Tiret0">
    <w:name w:val="Tiret 0"/>
    <w:basedOn w:val="Normal"/>
    <w:pPr>
      <w:spacing w:before="120" w:after="120"/>
      <w:ind w:left="851" w:hanging="851"/>
    </w:pPr>
  </w:style>
  <w:style w:type="paragraph" w:customStyle="1" w:styleId="ATHeading3">
    <w:name w:val="AT Heading 3"/>
    <w:basedOn w:val="Normal"/>
    <w:next w:val="Normal"/>
    <w:pPr>
      <w:keepNext/>
      <w:keepLines/>
      <w:spacing w:before="120" w:after="120"/>
      <w:outlineLvl w:val="2"/>
    </w:pPr>
    <w:rPr>
      <w:b/>
      <w:noProof/>
    </w:rPr>
  </w:style>
  <w:style w:type="paragraph" w:customStyle="1" w:styleId="Prliminairetitre">
    <w:name w:val="Préliminaire titre"/>
    <w:basedOn w:val="Normal"/>
    <w:next w:val="Normal"/>
    <w:pPr>
      <w:spacing w:before="360" w:after="360"/>
      <w:jc w:val="center"/>
    </w:pPr>
    <w:rPr>
      <w:b/>
    </w:rPr>
  </w:style>
  <w:style w:type="paragraph" w:customStyle="1" w:styleId="Par-dash">
    <w:name w:val="Par-dash"/>
    <w:basedOn w:val="Normal"/>
    <w:next w:val="Normal"/>
    <w:pPr>
      <w:numPr>
        <w:numId w:val="19"/>
      </w:numPr>
      <w:spacing w:after="0" w:line="360" w:lineRule="auto"/>
    </w:pPr>
  </w:style>
  <w:style w:type="paragraph" w:customStyle="1" w:styleId="Rfrencestatut">
    <w:name w:val="Référence statut"/>
    <w:basedOn w:val="Normal"/>
    <w:next w:val="Normal"/>
    <w:pPr>
      <w:keepNext/>
      <w:keepLines/>
      <w:spacing w:after="0"/>
      <w:jc w:val="right"/>
    </w:pPr>
    <w:rPr>
      <w:rFonts w:ascii="Arial" w:hAnsi="Arial"/>
    </w:rPr>
  </w:style>
  <w:style w:type="character" w:customStyle="1" w:styleId="Point0Char">
    <w:name w:val="Point 0 Char"/>
    <w:basedOn w:val="DefaultParagraphFont"/>
    <w:rPr>
      <w:noProof w:val="0"/>
      <w:sz w:val="24"/>
      <w:lang w:val="fr-FR" w:eastAsia="ko-KR" w:bidi="ar-SA"/>
    </w:rPr>
  </w:style>
  <w:style w:type="paragraph" w:customStyle="1" w:styleId="ManualHeading3">
    <w:name w:val="Manual Heading 3"/>
    <w:basedOn w:val="Heading3"/>
    <w:next w:val="Text3"/>
    <w:pPr>
      <w:tabs>
        <w:tab w:val="num" w:pos="851"/>
      </w:tabs>
      <w:spacing w:before="120" w:after="120"/>
      <w:ind w:left="850" w:hanging="850"/>
    </w:pPr>
  </w:style>
  <w:style w:type="paragraph" w:customStyle="1" w:styleId="titreobjet0">
    <w:name w:val="titreobjet"/>
    <w:basedOn w:val="Normal"/>
    <w:pPr>
      <w:snapToGrid w:val="0"/>
      <w:spacing w:after="0"/>
      <w:ind w:left="1418"/>
    </w:pPr>
  </w:style>
  <w:style w:type="paragraph" w:customStyle="1" w:styleId="text10">
    <w:name w:val="text1"/>
    <w:basedOn w:val="Normal"/>
    <w:pPr>
      <w:ind w:left="482"/>
    </w:pPr>
  </w:style>
  <w:style w:type="paragraph" w:customStyle="1" w:styleId="notehead0">
    <w:name w:val="notehead"/>
    <w:basedOn w:val="Normal"/>
    <w:pPr>
      <w:spacing w:before="720" w:after="720"/>
      <w:jc w:val="center"/>
    </w:pPr>
    <w:rPr>
      <w:b/>
      <w:smallCaps/>
    </w:rPr>
  </w:style>
  <w:style w:type="paragraph" w:customStyle="1" w:styleId="numpar10">
    <w:name w:val="numpar1"/>
    <w:basedOn w:val="Normal"/>
    <w:pPr>
      <w:ind w:left="480" w:hanging="480"/>
    </w:pPr>
  </w:style>
  <w:style w:type="paragraph" w:customStyle="1" w:styleId="Point0">
    <w:name w:val="Point 0"/>
    <w:basedOn w:val="Normal"/>
    <w:pPr>
      <w:spacing w:before="120" w:after="120"/>
      <w:ind w:left="850" w:hanging="850"/>
    </w:pPr>
  </w:style>
  <w:style w:type="paragraph" w:customStyle="1" w:styleId="Rfrenceinterinstitutionelle">
    <w:name w:val="Référence interinstitutionelle"/>
    <w:basedOn w:val="Normal"/>
    <w:next w:val="Normal"/>
    <w:pPr>
      <w:spacing w:after="0"/>
      <w:ind w:left="5103"/>
    </w:pPr>
  </w:style>
  <w:style w:type="paragraph" w:customStyle="1" w:styleId="5Normal">
    <w:name w:val="5 Normal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jc w:val="both"/>
    </w:pPr>
    <w:rPr>
      <w:spacing w:val="-2"/>
      <w:sz w:val="24"/>
      <w:szCs w:val="24"/>
    </w:rPr>
  </w:style>
  <w:style w:type="paragraph" w:customStyle="1" w:styleId="normal0">
    <w:name w:val="normal"/>
    <w:pPr>
      <w:spacing w:after="170"/>
      <w:jc w:val="both"/>
    </w:pPr>
    <w:rPr>
      <w:rFonts w:ascii="Helvetica" w:hAnsi="Helvetica"/>
      <w:snapToGrid w:val="0"/>
      <w:color w:val="000000"/>
      <w:lang w:eastAsia="en-US"/>
    </w:rPr>
  </w:style>
  <w:style w:type="paragraph" w:customStyle="1" w:styleId="paragraphe1">
    <w:name w:val="paragraphe1"/>
    <w:basedOn w:val="normal0"/>
    <w:pPr>
      <w:tabs>
        <w:tab w:val="left" w:pos="283"/>
      </w:tabs>
      <w:ind w:left="283" w:hanging="283"/>
    </w:pPr>
    <w:rPr>
      <w:color w:val="auto"/>
    </w:rPr>
  </w:style>
  <w:style w:type="paragraph" w:customStyle="1" w:styleId="Normal12Centre">
    <w:name w:val="Normal12Centre"/>
    <w:basedOn w:val="Normal"/>
    <w:pPr>
      <w:jc w:val="center"/>
    </w:pPr>
  </w:style>
  <w:style w:type="paragraph" w:customStyle="1" w:styleId="Normal12Italic">
    <w:name w:val="Normal12Italic"/>
    <w:basedOn w:val="Normal"/>
    <w:rPr>
      <w:i/>
    </w:rPr>
  </w:style>
  <w:style w:type="paragraph" w:customStyle="1" w:styleId="Normal12Center">
    <w:name w:val="Normal12Center"/>
    <w:basedOn w:val="Normal"/>
    <w:pPr>
      <w:jc w:val="center"/>
    </w:pPr>
  </w:style>
  <w:style w:type="paragraph" w:customStyle="1" w:styleId="TableText">
    <w:name w:val="Table Text"/>
    <w:basedOn w:val="Normal"/>
    <w:pPr>
      <w:spacing w:before="60" w:after="60"/>
    </w:pPr>
  </w:style>
  <w:style w:type="paragraph" w:customStyle="1" w:styleId="ManualNumPar1">
    <w:name w:val="Manual NumPar 1"/>
    <w:basedOn w:val="Normal"/>
    <w:next w:val="Normal"/>
    <w:pPr>
      <w:spacing w:before="120" w:after="120"/>
      <w:ind w:left="851" w:hanging="851"/>
    </w:pPr>
  </w:style>
  <w:style w:type="paragraph" w:customStyle="1" w:styleId="ManualNumPar2">
    <w:name w:val="Manual NumPar 2"/>
    <w:basedOn w:val="Normal"/>
    <w:next w:val="Normal"/>
    <w:pPr>
      <w:spacing w:before="120" w:after="120"/>
      <w:ind w:left="851" w:hanging="851"/>
    </w:pPr>
  </w:style>
  <w:style w:type="paragraph" w:customStyle="1" w:styleId="CoverNormal">
    <w:name w:val="CoverNormal"/>
    <w:basedOn w:val="Normal"/>
    <w:pPr>
      <w:spacing w:after="0"/>
      <w:ind w:left="1418"/>
    </w:pPr>
  </w:style>
  <w:style w:type="paragraph" w:customStyle="1" w:styleId="RefStatus">
    <w:name w:val="RefStatus"/>
    <w:basedOn w:val="Normal"/>
    <w:pPr>
      <w:spacing w:after="0"/>
      <w:jc w:val="right"/>
    </w:pPr>
    <w:rPr>
      <w:rFonts w:ascii="Arial" w:hAnsi="Arial"/>
      <w:cap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szCs w:val="24"/>
    </w:rPr>
  </w:style>
  <w:style w:type="paragraph" w:customStyle="1" w:styleId="TableBullet">
    <w:name w:val="Table Bullet"/>
    <w:basedOn w:val="ListBullet"/>
    <w:pPr>
      <w:spacing w:before="60" w:after="60"/>
    </w:pPr>
  </w:style>
  <w:style w:type="paragraph" w:customStyle="1" w:styleId="TableDash">
    <w:name w:val="Table Dash"/>
    <w:basedOn w:val="ListDash"/>
    <w:pPr>
      <w:spacing w:before="60" w:after="60"/>
    </w:pPr>
  </w:style>
  <w:style w:type="paragraph" w:customStyle="1" w:styleId="TableHeading">
    <w:name w:val="Table Heading"/>
    <w:basedOn w:val="TableText"/>
    <w:next w:val="TableText"/>
    <w:rPr>
      <w:b/>
      <w:smallCaps/>
    </w:rPr>
  </w:style>
  <w:style w:type="paragraph" w:customStyle="1" w:styleId="SubTitle1">
    <w:name w:val="SubTitle 1"/>
    <w:basedOn w:val="Normal"/>
    <w:next w:val="SubTitle2"/>
    <w:pPr>
      <w:widowControl/>
      <w:jc w:val="center"/>
    </w:pPr>
    <w:rPr>
      <w:b/>
      <w:snapToGrid/>
      <w:sz w:val="40"/>
    </w:rPr>
  </w:style>
  <w:style w:type="paragraph" w:customStyle="1" w:styleId="SubTitle2">
    <w:name w:val="SubTitle 2"/>
    <w:basedOn w:val="Normal"/>
    <w:pPr>
      <w:widowControl/>
      <w:jc w:val="center"/>
    </w:pPr>
    <w:rPr>
      <w:b/>
      <w:snapToGrid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not.dot</Template>
  <TotalTime>0</TotalTime>
  <Pages>7</Pages>
  <Words>752</Words>
  <Characters>4289</Characters>
  <Application>Microsoft Office Word</Application>
  <DocSecurity>0</DocSecurity>
  <PresentationFormat>Microsoft Word 8.0b</PresentationFormat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M. WERKER</dc:creator>
  <cp:keywords>EL4</cp:keywords>
  <cp:lastModifiedBy>GALLONE Frederic</cp:lastModifiedBy>
  <cp:revision>2</cp:revision>
  <cp:lastPrinted>2004-11-11T18:48:00Z</cp:lastPrinted>
  <dcterms:created xsi:type="dcterms:W3CDTF">2024-10-17T15:51:00Z</dcterms:created>
  <dcterms:modified xsi:type="dcterms:W3CDTF">2024-10-17T15:51:00Z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4.1.3.4</vt:lpwstr>
  </property>
  <property fmtid="{D5CDD505-2E9C-101B-9397-08002B2CF9AE}" pid="3" name="DocID_EU">
    <vt:lpwstr> </vt:lpwstr>
  </property>
  <property fmtid="{D5CDD505-2E9C-101B-9397-08002B2CF9AE}" pid="4" name="Created using">
    <vt:lpwstr>EL 4.1 [20010706]</vt:lpwstr>
  </property>
  <property fmtid="{D5CDD505-2E9C-101B-9397-08002B2CF9AE}" pid="5" name="Last edited using">
    <vt:lpwstr>EL 4.0 [20000808]</vt:lpwstr>
  </property>
  <property fmtid="{D5CDD505-2E9C-101B-9397-08002B2CF9AE}" pid="6" name="EL_Author">
    <vt:lpwstr>M. WERKER</vt:lpwstr>
  </property>
  <property fmtid="{D5CDD505-2E9C-101B-9397-08002B2CF9AE}" pid="7" name="Type">
    <vt:lpwstr>Eurolook Note &amp; Letter</vt:lpwstr>
  </property>
  <property fmtid="{D5CDD505-2E9C-101B-9397-08002B2CF9AE}" pid="8" name="Language">
    <vt:lpwstr>FR</vt:lpwstr>
  </property>
  <property fmtid="{D5CDD505-2E9C-101B-9397-08002B2CF9AE}" pid="9" name="EL_Language">
    <vt:lpwstr>FR</vt:lpwstr>
  </property>
  <property fmtid="{D5CDD505-2E9C-101B-9397-08002B2CF9AE}" pid="10" name="Formatting">
    <vt:lpwstr>4.1</vt:lpwstr>
  </property>
  <property fmtid="{D5CDD505-2E9C-101B-9397-08002B2CF9AE}" pid="11" name="_AdHocReviewCycleID">
    <vt:i4>-2097995456</vt:i4>
  </property>
  <property fmtid="{D5CDD505-2E9C-101B-9397-08002B2CF9AE}" pid="12" name="_EmailSubject">
    <vt:lpwstr>SP(2004)2832 - Communication de la Commission sur les suites données aux avis et résolutions adoptés par le PE - sessions d'octobre I et II 2004 </vt:lpwstr>
  </property>
  <property fmtid="{D5CDD505-2E9C-101B-9397-08002B2CF9AE}" pid="13" name="_AuthorEmail">
    <vt:lpwstr>Anna.KARAMARKOU@cec.eu.int</vt:lpwstr>
  </property>
  <property fmtid="{D5CDD505-2E9C-101B-9397-08002B2CF9AE}" pid="14" name="_AuthorEmailDisplayName">
    <vt:lpwstr>KARAMARKOU Anna (SG)</vt:lpwstr>
  </property>
  <property fmtid="{D5CDD505-2E9C-101B-9397-08002B2CF9AE}" pid="15" name="_PreviousAdHocReviewCycleID">
    <vt:i4>-2015135424</vt:i4>
  </property>
  <property fmtid="{D5CDD505-2E9C-101B-9397-08002B2CF9AE}" pid="16" name="_ReviewingToolsShownOnce">
    <vt:lpwstr/>
  </property>
</Properties>
</file>