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1814"/>
        <w:gridCol w:w="7655"/>
      </w:tblGrid>
      <w:tr w:rsidR="0063420F" w:rsidRPr="005A6938">
        <w:tblPrEx>
          <w:tblCellMar>
            <w:top w:w="0" w:type="dxa"/>
            <w:left w:w="0" w:type="dxa"/>
            <w:bottom w:w="0" w:type="dxa"/>
            <w:right w:w="0" w:type="dxa"/>
          </w:tblCellMar>
        </w:tblPrEx>
        <w:trPr>
          <w:trHeight w:val="1440"/>
        </w:trPr>
        <w:tc>
          <w:tcPr>
            <w:tcW w:w="1814" w:type="dxa"/>
          </w:tcPr>
          <w:p w:rsidR="0063420F" w:rsidRPr="005A6938" w:rsidRDefault="000D724C">
            <w:pPr>
              <w:jc w:val="left"/>
            </w:pPr>
            <w:bookmarkStart w:id="0" w:name="_GoBack"/>
            <w:bookmarkEnd w:id="0"/>
            <w:r w:rsidRPr="005A6938">
              <w:rPr>
                <w:noProof/>
                <w:sz w:val="20"/>
              </w:rPr>
              <w:drawing>
                <wp:inline distT="0" distB="0" distL="0" distR="0">
                  <wp:extent cx="1009650" cy="671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671830"/>
                          </a:xfrm>
                          <a:prstGeom prst="rect">
                            <a:avLst/>
                          </a:prstGeom>
                          <a:noFill/>
                          <a:ln>
                            <a:noFill/>
                          </a:ln>
                        </pic:spPr>
                      </pic:pic>
                    </a:graphicData>
                  </a:graphic>
                </wp:inline>
              </w:drawing>
            </w:r>
          </w:p>
        </w:tc>
        <w:tc>
          <w:tcPr>
            <w:tcW w:w="7655" w:type="dxa"/>
          </w:tcPr>
          <w:p w:rsidR="0063420F" w:rsidRPr="005A6938" w:rsidRDefault="004E671D">
            <w:pPr>
              <w:pStyle w:val="ZCom"/>
              <w:widowControl/>
            </w:pPr>
            <w:r>
              <w:t>EUROPEAN COMMISSION</w:t>
            </w:r>
          </w:p>
          <w:p w:rsidR="0063420F" w:rsidRPr="005A6938" w:rsidRDefault="004E671D">
            <w:pPr>
              <w:pStyle w:val="ZDGName"/>
              <w:widowControl/>
            </w:pPr>
            <w:r>
              <w:t>SECRETARIAT-GENERAL</w:t>
            </w:r>
          </w:p>
          <w:p w:rsidR="0063420F" w:rsidRPr="005A6938" w:rsidRDefault="0063420F">
            <w:pPr>
              <w:pStyle w:val="ZDGName"/>
              <w:widowControl/>
            </w:pPr>
            <w:r w:rsidRPr="005A6938">
              <w:t>Di</w:t>
            </w:r>
            <w:r w:rsidR="004E671D">
              <w:t>rectorate</w:t>
            </w:r>
            <w:r w:rsidRPr="005A6938">
              <w:t xml:space="preserve"> E</w:t>
            </w:r>
          </w:p>
          <w:p w:rsidR="0063420F" w:rsidRPr="004E671D" w:rsidRDefault="004E671D" w:rsidP="004E671D">
            <w:pPr>
              <w:pStyle w:val="ZDGName"/>
              <w:rPr>
                <w:b/>
              </w:rPr>
            </w:pPr>
            <w:r w:rsidRPr="004E671D">
              <w:rPr>
                <w:b/>
              </w:rPr>
              <w:t>Relations with the European Parliament, the European Ombudsman, the European Economic and Social Committee and the Committee of the Regions</w:t>
            </w:r>
          </w:p>
        </w:tc>
      </w:tr>
    </w:tbl>
    <w:p w:rsidR="0063420F" w:rsidRPr="005A6938" w:rsidRDefault="004E671D">
      <w:pPr>
        <w:pStyle w:val="Date"/>
      </w:pPr>
      <w:smartTag w:uri="urn:schemas-microsoft-com:office:smarttags" w:element="City">
        <w:smartTag w:uri="urn:schemas-microsoft-com:office:smarttags" w:element="place">
          <w:r>
            <w:t>Brussels</w:t>
          </w:r>
        </w:smartTag>
      </w:smartTag>
      <w:r>
        <w:t xml:space="preserve">, </w:t>
      </w:r>
      <w:smartTag w:uri="urn:schemas-microsoft-com:office:smarttags" w:element="date">
        <w:smartTagPr>
          <w:attr w:name="Month" w:val="12"/>
          <w:attr w:name="Day" w:val="15"/>
          <w:attr w:name="Year" w:val="2004"/>
        </w:smartTagPr>
        <w:r>
          <w:t>15 December 2004</w:t>
        </w:r>
      </w:smartTag>
    </w:p>
    <w:p w:rsidR="0063420F" w:rsidRPr="005A6938" w:rsidRDefault="0063420F">
      <w:pPr>
        <w:pStyle w:val="References"/>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0"/>
        <w:gridCol w:w="2976"/>
        <w:gridCol w:w="786"/>
      </w:tblGrid>
      <w:tr w:rsidR="0063420F" w:rsidRPr="005A6938">
        <w:tblPrEx>
          <w:tblCellMar>
            <w:top w:w="0" w:type="dxa"/>
            <w:bottom w:w="0" w:type="dxa"/>
          </w:tblCellMar>
        </w:tblPrEx>
        <w:trPr>
          <w:cantSplit/>
        </w:trPr>
        <w:tc>
          <w:tcPr>
            <w:tcW w:w="5070" w:type="dxa"/>
            <w:tcBorders>
              <w:top w:val="nil"/>
              <w:left w:val="nil"/>
              <w:bottom w:val="nil"/>
              <w:right w:val="nil"/>
            </w:tcBorders>
          </w:tcPr>
          <w:p w:rsidR="0063420F" w:rsidRPr="005A6938" w:rsidRDefault="0063420F">
            <w:r w:rsidRPr="005A6938">
              <w:rPr>
                <w:b/>
              </w:rPr>
              <w:t>SP(200</w:t>
            </w:r>
            <w:r w:rsidR="00804EA0" w:rsidRPr="005A6938">
              <w:rPr>
                <w:b/>
              </w:rPr>
              <w:t>4</w:t>
            </w:r>
            <w:r w:rsidRPr="005A6938">
              <w:rPr>
                <w:b/>
              </w:rPr>
              <w:t>)</w:t>
            </w:r>
            <w:r w:rsidR="00C16C5C" w:rsidRPr="005A6938">
              <w:rPr>
                <w:b/>
              </w:rPr>
              <w:t>3173</w:t>
            </w:r>
          </w:p>
        </w:tc>
        <w:tc>
          <w:tcPr>
            <w:tcW w:w="2976" w:type="dxa"/>
            <w:tcBorders>
              <w:top w:val="nil"/>
              <w:left w:val="nil"/>
              <w:bottom w:val="nil"/>
              <w:right w:val="nil"/>
            </w:tcBorders>
          </w:tcPr>
          <w:p w:rsidR="00E43ECD" w:rsidRPr="005A6938" w:rsidRDefault="00E43ECD" w:rsidP="008D27CC">
            <w:pPr>
              <w:spacing w:after="0"/>
            </w:pPr>
          </w:p>
        </w:tc>
        <w:tc>
          <w:tcPr>
            <w:tcW w:w="786" w:type="dxa"/>
            <w:tcBorders>
              <w:top w:val="nil"/>
              <w:left w:val="nil"/>
              <w:bottom w:val="nil"/>
              <w:right w:val="nil"/>
            </w:tcBorders>
          </w:tcPr>
          <w:p w:rsidR="0063420F" w:rsidRPr="005A6938" w:rsidRDefault="0063420F"/>
        </w:tc>
      </w:tr>
    </w:tbl>
    <w:p w:rsidR="0063420F" w:rsidRPr="005A6938" w:rsidRDefault="0063420F">
      <w:pPr>
        <w:spacing w:after="120"/>
        <w:rPr>
          <w:sz w:val="48"/>
        </w:rPr>
      </w:pPr>
    </w:p>
    <w:p w:rsidR="0063420F" w:rsidRPr="005A6938" w:rsidRDefault="0063420F">
      <w:pPr>
        <w:jc w:val="center"/>
        <w:rPr>
          <w:b/>
          <w:sz w:val="48"/>
        </w:rPr>
      </w:pPr>
    </w:p>
    <w:p w:rsidR="00FE5476" w:rsidRDefault="00FE5476" w:rsidP="00FE5476">
      <w:pPr>
        <w:jc w:val="center"/>
        <w:rPr>
          <w:b/>
          <w:bCs/>
          <w:color w:val="000000"/>
          <w:sz w:val="48"/>
          <w:szCs w:val="48"/>
        </w:rPr>
      </w:pPr>
      <w:r>
        <w:rPr>
          <w:b/>
          <w:bCs/>
          <w:color w:val="000000"/>
          <w:sz w:val="48"/>
          <w:szCs w:val="48"/>
        </w:rPr>
        <w:t xml:space="preserve">Commission Communication on </w:t>
      </w:r>
      <w:r w:rsidR="00DB42A6">
        <w:rPr>
          <w:b/>
          <w:bCs/>
          <w:color w:val="000000"/>
          <w:sz w:val="48"/>
          <w:szCs w:val="48"/>
        </w:rPr>
        <w:t>the action taken on</w:t>
      </w:r>
      <w:r>
        <w:rPr>
          <w:b/>
          <w:bCs/>
          <w:color w:val="000000"/>
          <w:sz w:val="48"/>
          <w:szCs w:val="48"/>
        </w:rPr>
        <w:t xml:space="preserve"> opinions and resolutions adopted by the European Parliament at the November 2004 part-session</w:t>
      </w:r>
    </w:p>
    <w:p w:rsidR="0063420F" w:rsidRPr="005A6938" w:rsidRDefault="0063420F">
      <w:pPr>
        <w:rPr>
          <w:b/>
        </w:rPr>
      </w:pPr>
      <w:r w:rsidRPr="005A6938">
        <w:br w:type="page"/>
      </w:r>
    </w:p>
    <w:p w:rsidR="00FE5476" w:rsidRPr="00FE5476" w:rsidRDefault="00FE5476" w:rsidP="00FE5476">
      <w:pPr>
        <w:autoSpaceDE w:val="0"/>
        <w:autoSpaceDN w:val="0"/>
        <w:adjustRightInd w:val="0"/>
        <w:rPr>
          <w:b/>
          <w:bCs/>
          <w:smallCaps/>
          <w:color w:val="000000"/>
          <w:szCs w:val="24"/>
        </w:rPr>
      </w:pPr>
      <w:r w:rsidRPr="00FE5476">
        <w:rPr>
          <w:b/>
          <w:bCs/>
          <w:smallCaps/>
          <w:color w:val="000000"/>
          <w:szCs w:val="24"/>
        </w:rPr>
        <w:lastRenderedPageBreak/>
        <w:t xml:space="preserve">The first part of this Communication informs the European Parliament of the Commission's response to the amendments adopted by Parliament in respect of  </w:t>
      </w:r>
      <w:r w:rsidR="00AC51AF">
        <w:rPr>
          <w:b/>
          <w:bCs/>
          <w:smallCaps/>
          <w:color w:val="000000"/>
          <w:szCs w:val="24"/>
        </w:rPr>
        <w:t xml:space="preserve">its </w:t>
      </w:r>
      <w:r w:rsidRPr="00FE5476">
        <w:rPr>
          <w:b/>
          <w:bCs/>
          <w:smallCaps/>
          <w:color w:val="000000"/>
          <w:szCs w:val="24"/>
        </w:rPr>
        <w:t xml:space="preserve">legislative proposals during the </w:t>
      </w:r>
      <w:r>
        <w:rPr>
          <w:b/>
          <w:bCs/>
          <w:smallCaps/>
          <w:color w:val="000000"/>
          <w:szCs w:val="24"/>
        </w:rPr>
        <w:t>November</w:t>
      </w:r>
      <w:r w:rsidRPr="00FE5476">
        <w:rPr>
          <w:b/>
          <w:bCs/>
          <w:smallCaps/>
          <w:color w:val="000000"/>
          <w:szCs w:val="24"/>
        </w:rPr>
        <w:t xml:space="preserve"> 2004 part-session.</w:t>
      </w:r>
    </w:p>
    <w:p w:rsidR="00FE5476" w:rsidRDefault="00FE5476" w:rsidP="00FE5476">
      <w:pPr>
        <w:spacing w:after="0"/>
        <w:rPr>
          <w:b/>
          <w:bCs/>
          <w:smallCaps/>
          <w:color w:val="000000"/>
          <w:szCs w:val="24"/>
        </w:rPr>
      </w:pPr>
      <w:r w:rsidRPr="00FE5476">
        <w:rPr>
          <w:b/>
          <w:bCs/>
          <w:smallCaps/>
          <w:color w:val="000000"/>
          <w:szCs w:val="24"/>
        </w:rPr>
        <w:t>In the second part, the Commission lists a number of non-legislative resolutions adopted by Parliament during the same part-session, with an explanation as to why it will not be responding formally.</w:t>
      </w:r>
    </w:p>
    <w:p w:rsidR="0063420F" w:rsidRPr="005A6938" w:rsidRDefault="0063420F" w:rsidP="00FE5476">
      <w:pPr>
        <w:spacing w:after="0"/>
        <w:rPr>
          <w:b/>
          <w:smallCaps/>
        </w:rPr>
      </w:pPr>
      <w:r w:rsidRPr="005A6938">
        <w:rPr>
          <w:b/>
          <w:smallCaps/>
        </w:rPr>
        <w:br w:type="page"/>
      </w:r>
    </w:p>
    <w:p w:rsidR="0063420F" w:rsidRPr="005A6938" w:rsidRDefault="0063420F">
      <w:pPr>
        <w:spacing w:after="0"/>
        <w:jc w:val="center"/>
        <w:rPr>
          <w:b/>
        </w:rPr>
      </w:pPr>
    </w:p>
    <w:p w:rsidR="0063420F" w:rsidRPr="005A6938" w:rsidRDefault="00FE5476">
      <w:pPr>
        <w:spacing w:after="0"/>
        <w:jc w:val="center"/>
        <w:rPr>
          <w:b/>
        </w:rPr>
      </w:pPr>
      <w:r>
        <w:rPr>
          <w:b/>
        </w:rPr>
        <w:t>CONTENTS</w:t>
      </w:r>
    </w:p>
    <w:p w:rsidR="0063420F" w:rsidRPr="005A6938" w:rsidRDefault="0063420F">
      <w:pPr>
        <w:spacing w:after="0"/>
        <w:jc w:val="center"/>
      </w:pPr>
    </w:p>
    <w:p w:rsidR="0063420F" w:rsidRPr="005A6938" w:rsidRDefault="0063420F">
      <w:pPr>
        <w:spacing w:after="0"/>
        <w:jc w:val="center"/>
      </w:pPr>
    </w:p>
    <w:p w:rsidR="0063420F" w:rsidRPr="005A6938" w:rsidRDefault="0063420F">
      <w:pPr>
        <w:spacing w:after="0"/>
        <w:jc w:val="center"/>
      </w:pPr>
    </w:p>
    <w:p w:rsidR="0063420F" w:rsidRPr="005A6938" w:rsidRDefault="0063420F">
      <w:pPr>
        <w:spacing w:after="0"/>
        <w:jc w:val="center"/>
      </w:pPr>
    </w:p>
    <w:tbl>
      <w:tblPr>
        <w:tblW w:w="0" w:type="auto"/>
        <w:tblLayout w:type="fixed"/>
        <w:tblLook w:val="0000" w:firstRow="0" w:lastRow="0" w:firstColumn="0" w:lastColumn="0" w:noHBand="0" w:noVBand="0"/>
      </w:tblPr>
      <w:tblGrid>
        <w:gridCol w:w="7621"/>
        <w:gridCol w:w="1134"/>
      </w:tblGrid>
      <w:tr w:rsidR="0063420F" w:rsidRPr="005A6938">
        <w:tblPrEx>
          <w:tblCellMar>
            <w:top w:w="0" w:type="dxa"/>
            <w:bottom w:w="0" w:type="dxa"/>
          </w:tblCellMar>
        </w:tblPrEx>
        <w:tc>
          <w:tcPr>
            <w:tcW w:w="7621" w:type="dxa"/>
          </w:tcPr>
          <w:p w:rsidR="00D14B7D" w:rsidRPr="005A6938" w:rsidRDefault="00D14B7D">
            <w:pPr>
              <w:spacing w:after="0"/>
              <w:rPr>
                <w:b/>
              </w:rPr>
            </w:pPr>
          </w:p>
          <w:p w:rsidR="00D14B7D" w:rsidRPr="005A6938" w:rsidRDefault="00D14B7D">
            <w:pPr>
              <w:spacing w:after="0"/>
              <w:rPr>
                <w:b/>
              </w:rPr>
            </w:pPr>
          </w:p>
          <w:p w:rsidR="0063420F" w:rsidRPr="005A6938" w:rsidRDefault="003B4EAD">
            <w:pPr>
              <w:spacing w:after="0"/>
              <w:rPr>
                <w:b/>
                <w:smallCaps/>
              </w:rPr>
            </w:pPr>
            <w:r>
              <w:rPr>
                <w:b/>
              </w:rPr>
              <w:t>PART ONE</w:t>
            </w:r>
            <w:r w:rsidR="0063420F" w:rsidRPr="005A6938">
              <w:rPr>
                <w:b/>
              </w:rPr>
              <w:t xml:space="preserve"> – </w:t>
            </w:r>
            <w:r w:rsidR="00FE5476">
              <w:rPr>
                <w:b/>
                <w:smallCaps/>
              </w:rPr>
              <w:t>LEGISLATIVE OPINIONS</w:t>
            </w:r>
          </w:p>
          <w:p w:rsidR="0063420F" w:rsidRPr="005A6938" w:rsidRDefault="0063420F">
            <w:pPr>
              <w:spacing w:after="0"/>
              <w:rPr>
                <w:b/>
              </w:rPr>
            </w:pPr>
          </w:p>
        </w:tc>
        <w:tc>
          <w:tcPr>
            <w:tcW w:w="1134" w:type="dxa"/>
          </w:tcPr>
          <w:p w:rsidR="00235AF4" w:rsidRPr="005A6938" w:rsidRDefault="00235AF4">
            <w:pPr>
              <w:spacing w:after="0"/>
              <w:jc w:val="right"/>
              <w:rPr>
                <w:b/>
              </w:rPr>
            </w:pPr>
          </w:p>
          <w:p w:rsidR="00235AF4" w:rsidRPr="005A6938" w:rsidRDefault="00235AF4">
            <w:pPr>
              <w:spacing w:after="0"/>
              <w:jc w:val="right"/>
              <w:rPr>
                <w:b/>
              </w:rPr>
            </w:pPr>
          </w:p>
          <w:p w:rsidR="0063420F" w:rsidRPr="005A6938" w:rsidRDefault="00CE0367">
            <w:pPr>
              <w:spacing w:after="0"/>
              <w:jc w:val="right"/>
              <w:rPr>
                <w:b/>
              </w:rPr>
            </w:pPr>
            <w:r w:rsidRPr="005A6938">
              <w:rPr>
                <w:b/>
              </w:rPr>
              <w:t>4</w:t>
            </w:r>
          </w:p>
        </w:tc>
      </w:tr>
      <w:tr w:rsidR="0063420F" w:rsidRPr="005A6938">
        <w:tblPrEx>
          <w:tblCellMar>
            <w:top w:w="0" w:type="dxa"/>
            <w:bottom w:w="0" w:type="dxa"/>
          </w:tblCellMar>
        </w:tblPrEx>
        <w:tc>
          <w:tcPr>
            <w:tcW w:w="7621" w:type="dxa"/>
          </w:tcPr>
          <w:p w:rsidR="00582919" w:rsidRPr="005A6938" w:rsidRDefault="00582919">
            <w:pPr>
              <w:spacing w:after="0"/>
              <w:rPr>
                <w:b/>
                <w:smallCaps/>
              </w:rPr>
            </w:pPr>
          </w:p>
          <w:p w:rsidR="00582919" w:rsidRPr="005A6938" w:rsidRDefault="00582919">
            <w:pPr>
              <w:spacing w:after="0"/>
              <w:rPr>
                <w:b/>
                <w:smallCaps/>
              </w:rPr>
            </w:pPr>
          </w:p>
          <w:p w:rsidR="0063420F" w:rsidRPr="005A6938" w:rsidRDefault="00FE5476">
            <w:pPr>
              <w:spacing w:after="0"/>
              <w:rPr>
                <w:b/>
                <w:smallCaps/>
              </w:rPr>
            </w:pPr>
            <w:r>
              <w:rPr>
                <w:b/>
                <w:smallCaps/>
              </w:rPr>
              <w:t>Co</w:t>
            </w:r>
            <w:r w:rsidR="003B4EAD">
              <w:rPr>
                <w:b/>
                <w:smallCaps/>
              </w:rPr>
              <w:t>-</w:t>
            </w:r>
            <w:r>
              <w:rPr>
                <w:b/>
                <w:smallCaps/>
              </w:rPr>
              <w:t>decision procedure</w:t>
            </w:r>
            <w:r w:rsidR="00A43284" w:rsidRPr="005A6938">
              <w:rPr>
                <w:b/>
                <w:smallCaps/>
              </w:rPr>
              <w:t xml:space="preserve"> – </w:t>
            </w:r>
            <w:r>
              <w:rPr>
                <w:b/>
                <w:smallCaps/>
              </w:rPr>
              <w:t>first reading</w:t>
            </w:r>
          </w:p>
          <w:p w:rsidR="0063420F" w:rsidRPr="005A6938" w:rsidRDefault="0063420F">
            <w:pPr>
              <w:spacing w:after="0"/>
              <w:rPr>
                <w:b/>
                <w:smallCaps/>
              </w:rPr>
            </w:pPr>
          </w:p>
        </w:tc>
        <w:tc>
          <w:tcPr>
            <w:tcW w:w="1134" w:type="dxa"/>
          </w:tcPr>
          <w:p w:rsidR="0063420F" w:rsidRPr="005A6938" w:rsidRDefault="0063420F">
            <w:pPr>
              <w:spacing w:after="0"/>
              <w:jc w:val="right"/>
            </w:pPr>
          </w:p>
        </w:tc>
      </w:tr>
      <w:tr w:rsidR="0002436D" w:rsidRPr="005A6938">
        <w:tblPrEx>
          <w:tblCellMar>
            <w:top w:w="0" w:type="dxa"/>
            <w:bottom w:w="0" w:type="dxa"/>
          </w:tblCellMar>
        </w:tblPrEx>
        <w:tc>
          <w:tcPr>
            <w:tcW w:w="7621" w:type="dxa"/>
          </w:tcPr>
          <w:p w:rsidR="00A43284" w:rsidRPr="005A6938" w:rsidRDefault="00FE5476" w:rsidP="0002436D">
            <w:pPr>
              <w:spacing w:after="0"/>
            </w:pPr>
            <w:r>
              <w:t>Packaging and packaging waste</w:t>
            </w:r>
          </w:p>
          <w:p w:rsidR="002752DC" w:rsidRPr="005A6938" w:rsidRDefault="002752DC" w:rsidP="0002436D">
            <w:pPr>
              <w:spacing w:after="0"/>
            </w:pPr>
            <w:r w:rsidRPr="005A6938">
              <w:t>Dorette CORBEY – A6-0027/2004</w:t>
            </w:r>
          </w:p>
          <w:p w:rsidR="0002436D" w:rsidRPr="005A6938" w:rsidRDefault="0002436D" w:rsidP="0002436D">
            <w:pPr>
              <w:spacing w:after="0"/>
              <w:rPr>
                <w:b/>
                <w:smallCaps/>
              </w:rPr>
            </w:pPr>
          </w:p>
        </w:tc>
        <w:tc>
          <w:tcPr>
            <w:tcW w:w="1134" w:type="dxa"/>
          </w:tcPr>
          <w:p w:rsidR="0002436D" w:rsidRPr="005A6938" w:rsidRDefault="002752DC">
            <w:pPr>
              <w:spacing w:after="0"/>
              <w:jc w:val="right"/>
            </w:pPr>
            <w:r w:rsidRPr="005A6938">
              <w:t>5</w:t>
            </w:r>
          </w:p>
        </w:tc>
      </w:tr>
      <w:tr w:rsidR="00950394" w:rsidRPr="005A6938">
        <w:tblPrEx>
          <w:tblCellMar>
            <w:top w:w="0" w:type="dxa"/>
            <w:bottom w:w="0" w:type="dxa"/>
          </w:tblCellMar>
        </w:tblPrEx>
        <w:tc>
          <w:tcPr>
            <w:tcW w:w="7621" w:type="dxa"/>
          </w:tcPr>
          <w:p w:rsidR="00950394" w:rsidRPr="005A6938" w:rsidRDefault="00950394" w:rsidP="0002436D">
            <w:pPr>
              <w:spacing w:after="0"/>
            </w:pPr>
          </w:p>
          <w:p w:rsidR="00FA3865" w:rsidRPr="005A6938" w:rsidRDefault="00FA3865" w:rsidP="0002436D">
            <w:pPr>
              <w:spacing w:after="0"/>
            </w:pPr>
          </w:p>
          <w:p w:rsidR="00FA3865" w:rsidRPr="005A6938" w:rsidRDefault="00FE5476" w:rsidP="0002436D">
            <w:pPr>
              <w:spacing w:after="0"/>
              <w:rPr>
                <w:b/>
                <w:smallCaps/>
              </w:rPr>
            </w:pPr>
            <w:r>
              <w:rPr>
                <w:b/>
                <w:smallCaps/>
              </w:rPr>
              <w:t xml:space="preserve">Consultation procedure requiring a single </w:t>
            </w:r>
            <w:smartTag w:uri="urn:schemas-microsoft-com:office:smarttags" w:element="City">
              <w:smartTag w:uri="urn:schemas-microsoft-com:office:smarttags" w:element="place">
                <w:r>
                  <w:rPr>
                    <w:b/>
                    <w:smallCaps/>
                  </w:rPr>
                  <w:t>reading</w:t>
                </w:r>
              </w:smartTag>
            </w:smartTag>
          </w:p>
          <w:p w:rsidR="00950394" w:rsidRPr="005A6938" w:rsidRDefault="00950394" w:rsidP="0002436D">
            <w:pPr>
              <w:spacing w:after="0"/>
            </w:pPr>
          </w:p>
        </w:tc>
        <w:tc>
          <w:tcPr>
            <w:tcW w:w="1134" w:type="dxa"/>
          </w:tcPr>
          <w:p w:rsidR="00950394" w:rsidRPr="005A6938" w:rsidRDefault="00950394">
            <w:pPr>
              <w:spacing w:after="0"/>
              <w:jc w:val="right"/>
            </w:pPr>
          </w:p>
        </w:tc>
      </w:tr>
      <w:tr w:rsidR="00950394" w:rsidRPr="005A6938">
        <w:tblPrEx>
          <w:tblCellMar>
            <w:top w:w="0" w:type="dxa"/>
            <w:bottom w:w="0" w:type="dxa"/>
          </w:tblCellMar>
        </w:tblPrEx>
        <w:tc>
          <w:tcPr>
            <w:tcW w:w="7621" w:type="dxa"/>
          </w:tcPr>
          <w:p w:rsidR="00950394" w:rsidRPr="005A6938" w:rsidRDefault="00FE5476" w:rsidP="0002436D">
            <w:pPr>
              <w:spacing w:after="0"/>
            </w:pPr>
            <w:r>
              <w:t>European Agency for Reconstruction</w:t>
            </w:r>
          </w:p>
          <w:p w:rsidR="00FA3865" w:rsidRPr="005A6938" w:rsidRDefault="00FA3865" w:rsidP="0002436D">
            <w:pPr>
              <w:spacing w:after="0"/>
            </w:pPr>
            <w:r w:rsidRPr="005A6938">
              <w:t>Anders SAMUELSEN – A6-0031/2004</w:t>
            </w:r>
          </w:p>
          <w:p w:rsidR="00950394" w:rsidRPr="005A6938" w:rsidRDefault="00950394" w:rsidP="0002436D">
            <w:pPr>
              <w:spacing w:after="0"/>
            </w:pPr>
          </w:p>
        </w:tc>
        <w:tc>
          <w:tcPr>
            <w:tcW w:w="1134" w:type="dxa"/>
          </w:tcPr>
          <w:p w:rsidR="00950394" w:rsidRPr="005A6938" w:rsidRDefault="003D210C">
            <w:pPr>
              <w:spacing w:after="0"/>
              <w:jc w:val="right"/>
            </w:pPr>
            <w:r w:rsidRPr="005A6938">
              <w:t>6</w:t>
            </w:r>
          </w:p>
        </w:tc>
      </w:tr>
      <w:tr w:rsidR="00FA3865" w:rsidRPr="005A6938">
        <w:tblPrEx>
          <w:tblCellMar>
            <w:top w:w="0" w:type="dxa"/>
            <w:bottom w:w="0" w:type="dxa"/>
          </w:tblCellMar>
        </w:tblPrEx>
        <w:tc>
          <w:tcPr>
            <w:tcW w:w="7621" w:type="dxa"/>
          </w:tcPr>
          <w:p w:rsidR="00FA3865" w:rsidRPr="005A6938" w:rsidRDefault="00330D1A" w:rsidP="0002436D">
            <w:pPr>
              <w:spacing w:after="0"/>
            </w:pPr>
            <w:r>
              <w:t>Instrument of financial support</w:t>
            </w:r>
            <w:r w:rsidR="00FA3865" w:rsidRPr="005A6938">
              <w:t xml:space="preserve"> (</w:t>
            </w:r>
            <w:smartTag w:uri="urn:schemas-microsoft-com:office:smarttags" w:element="country-region">
              <w:smartTag w:uri="urn:schemas-microsoft-com:office:smarttags" w:element="place">
                <w:r w:rsidR="00FA3865" w:rsidRPr="005A6938">
                  <w:t>C</w:t>
                </w:r>
                <w:r>
                  <w:t>yprus</w:t>
                </w:r>
              </w:smartTag>
            </w:smartTag>
            <w:r w:rsidR="00FA3865" w:rsidRPr="005A6938">
              <w:t>)</w:t>
            </w:r>
          </w:p>
          <w:p w:rsidR="00FA3865" w:rsidRPr="005A6938" w:rsidRDefault="00FA3865" w:rsidP="0002436D">
            <w:pPr>
              <w:spacing w:after="0"/>
            </w:pPr>
            <w:r w:rsidRPr="005A6938">
              <w:t>Mechtild ROTHE – A6-0032/2004</w:t>
            </w:r>
          </w:p>
          <w:p w:rsidR="00FA3865" w:rsidRPr="005A6938" w:rsidRDefault="00FA3865" w:rsidP="0002436D">
            <w:pPr>
              <w:spacing w:after="0"/>
            </w:pPr>
          </w:p>
        </w:tc>
        <w:tc>
          <w:tcPr>
            <w:tcW w:w="1134" w:type="dxa"/>
          </w:tcPr>
          <w:p w:rsidR="00FA3865" w:rsidRPr="005A6938" w:rsidRDefault="003D210C">
            <w:pPr>
              <w:spacing w:after="0"/>
              <w:jc w:val="right"/>
            </w:pPr>
            <w:r w:rsidRPr="005A6938">
              <w:t>7</w:t>
            </w:r>
          </w:p>
        </w:tc>
      </w:tr>
      <w:tr w:rsidR="00FA3865" w:rsidRPr="005A6938">
        <w:tblPrEx>
          <w:tblCellMar>
            <w:top w:w="0" w:type="dxa"/>
            <w:bottom w:w="0" w:type="dxa"/>
          </w:tblCellMar>
        </w:tblPrEx>
        <w:tc>
          <w:tcPr>
            <w:tcW w:w="7621" w:type="dxa"/>
          </w:tcPr>
          <w:p w:rsidR="00FA3865" w:rsidRPr="005A6938" w:rsidRDefault="00FA3865" w:rsidP="0002436D">
            <w:pPr>
              <w:spacing w:after="0"/>
            </w:pPr>
            <w:r w:rsidRPr="005A6938">
              <w:t>ARGO</w:t>
            </w:r>
            <w:r w:rsidR="00330D1A" w:rsidRPr="005A6938">
              <w:t xml:space="preserve"> Programme</w:t>
            </w:r>
          </w:p>
          <w:p w:rsidR="00FA3865" w:rsidRPr="005A6938" w:rsidRDefault="00FA3865" w:rsidP="0002436D">
            <w:pPr>
              <w:spacing w:after="0"/>
            </w:pPr>
            <w:r w:rsidRPr="005A6938">
              <w:t>Martine ROURE – A6-0019/2004</w:t>
            </w:r>
          </w:p>
          <w:p w:rsidR="00FA3865" w:rsidRPr="005A6938" w:rsidRDefault="00FA3865" w:rsidP="0002436D">
            <w:pPr>
              <w:spacing w:after="0"/>
            </w:pPr>
          </w:p>
        </w:tc>
        <w:tc>
          <w:tcPr>
            <w:tcW w:w="1134" w:type="dxa"/>
          </w:tcPr>
          <w:p w:rsidR="00FA3865" w:rsidRPr="005A6938" w:rsidRDefault="003D210C">
            <w:pPr>
              <w:spacing w:after="0"/>
              <w:jc w:val="right"/>
            </w:pPr>
            <w:r w:rsidRPr="005A6938">
              <w:t>8</w:t>
            </w:r>
          </w:p>
        </w:tc>
      </w:tr>
      <w:tr w:rsidR="0063420F" w:rsidRPr="005A6938">
        <w:tblPrEx>
          <w:tblCellMar>
            <w:top w:w="0" w:type="dxa"/>
            <w:bottom w:w="0" w:type="dxa"/>
          </w:tblCellMar>
        </w:tblPrEx>
        <w:tc>
          <w:tcPr>
            <w:tcW w:w="7621" w:type="dxa"/>
          </w:tcPr>
          <w:p w:rsidR="0063420F" w:rsidRPr="005A6938" w:rsidRDefault="0063420F">
            <w:pPr>
              <w:spacing w:after="0"/>
              <w:rPr>
                <w:b/>
              </w:rPr>
            </w:pPr>
          </w:p>
          <w:p w:rsidR="003F2BEB" w:rsidRPr="005A6938" w:rsidRDefault="003F2BEB">
            <w:pPr>
              <w:spacing w:after="0"/>
              <w:rPr>
                <w:b/>
              </w:rPr>
            </w:pPr>
          </w:p>
          <w:p w:rsidR="0063420F" w:rsidRPr="005A6938" w:rsidRDefault="003B4EAD">
            <w:pPr>
              <w:spacing w:after="0"/>
              <w:rPr>
                <w:b/>
                <w:smallCaps/>
              </w:rPr>
            </w:pPr>
            <w:r>
              <w:rPr>
                <w:b/>
              </w:rPr>
              <w:t>PART TWO</w:t>
            </w:r>
            <w:r w:rsidR="0063420F" w:rsidRPr="005A6938">
              <w:rPr>
                <w:b/>
              </w:rPr>
              <w:t xml:space="preserve"> – </w:t>
            </w:r>
            <w:r w:rsidR="00330D1A">
              <w:rPr>
                <w:b/>
                <w:smallCaps/>
              </w:rPr>
              <w:t>Non-legislative resolutions</w:t>
            </w:r>
          </w:p>
          <w:p w:rsidR="0063420F" w:rsidRPr="005A6938" w:rsidRDefault="0063420F">
            <w:pPr>
              <w:spacing w:after="0"/>
            </w:pPr>
          </w:p>
        </w:tc>
        <w:tc>
          <w:tcPr>
            <w:tcW w:w="1134" w:type="dxa"/>
          </w:tcPr>
          <w:p w:rsidR="00235AF4" w:rsidRPr="005A6938" w:rsidRDefault="00235AF4">
            <w:pPr>
              <w:spacing w:after="0"/>
              <w:jc w:val="right"/>
              <w:rPr>
                <w:b/>
              </w:rPr>
            </w:pPr>
          </w:p>
          <w:p w:rsidR="004A70B9" w:rsidRPr="005A6938" w:rsidRDefault="004A70B9">
            <w:pPr>
              <w:spacing w:after="0"/>
              <w:jc w:val="right"/>
              <w:rPr>
                <w:b/>
              </w:rPr>
            </w:pPr>
          </w:p>
          <w:p w:rsidR="00235AF4" w:rsidRPr="005A6938" w:rsidRDefault="003D210C">
            <w:pPr>
              <w:spacing w:after="0"/>
              <w:jc w:val="right"/>
              <w:rPr>
                <w:b/>
              </w:rPr>
            </w:pPr>
            <w:r w:rsidRPr="005A6938">
              <w:rPr>
                <w:b/>
              </w:rPr>
              <w:t>10</w:t>
            </w:r>
          </w:p>
          <w:p w:rsidR="0063420F" w:rsidRPr="005A6938" w:rsidRDefault="0063420F">
            <w:pPr>
              <w:spacing w:after="0"/>
              <w:jc w:val="right"/>
              <w:rPr>
                <w:b/>
              </w:rPr>
            </w:pPr>
          </w:p>
        </w:tc>
      </w:tr>
    </w:tbl>
    <w:p w:rsidR="0063420F" w:rsidRPr="005A6938" w:rsidRDefault="0063420F">
      <w:pPr>
        <w:pStyle w:val="Initial"/>
        <w:tabs>
          <w:tab w:val="clear" w:pos="-720"/>
        </w:tabs>
        <w:spacing w:after="240"/>
        <w:rPr>
          <w:b/>
          <w:smallCaps/>
          <w:lang w:val="en-GB"/>
        </w:rPr>
      </w:pPr>
    </w:p>
    <w:p w:rsidR="00D14B7D" w:rsidRPr="005A6938" w:rsidRDefault="00D14B7D" w:rsidP="00D14B7D"/>
    <w:p w:rsidR="0063420F" w:rsidRPr="005A6938" w:rsidRDefault="00D14B7D" w:rsidP="00EA4AD3">
      <w:pPr>
        <w:jc w:val="left"/>
      </w:pPr>
      <w:r w:rsidRPr="005A6938">
        <w:br w:type="page"/>
      </w:r>
    </w:p>
    <w:p w:rsidR="00EA4AD3" w:rsidRPr="005A6938" w:rsidRDefault="00EA4AD3" w:rsidP="00EA4AD3">
      <w:pPr>
        <w:jc w:val="left"/>
      </w:pPr>
    </w:p>
    <w:p w:rsidR="00EA4AD3" w:rsidRPr="005A6938" w:rsidRDefault="00EA4AD3" w:rsidP="00D14B7D">
      <w:pPr>
        <w:jc w:val="center"/>
        <w:rPr>
          <w:sz w:val="48"/>
        </w:rPr>
      </w:pPr>
    </w:p>
    <w:p w:rsidR="0063420F" w:rsidRPr="005A6938" w:rsidRDefault="0063420F" w:rsidP="00D14B7D">
      <w:pPr>
        <w:jc w:val="center"/>
        <w:rPr>
          <w:b/>
          <w:smallCaps/>
          <w:sz w:val="48"/>
        </w:rPr>
      </w:pPr>
    </w:p>
    <w:p w:rsidR="00EA4AD3" w:rsidRPr="005A6938" w:rsidRDefault="00EA4AD3" w:rsidP="00D14B7D">
      <w:pPr>
        <w:jc w:val="center"/>
        <w:rPr>
          <w:b/>
          <w:smallCaps/>
          <w:sz w:val="48"/>
        </w:rPr>
      </w:pPr>
    </w:p>
    <w:p w:rsidR="00EA4AD3" w:rsidRPr="005A6938" w:rsidRDefault="00EA4AD3" w:rsidP="00D14B7D">
      <w:pPr>
        <w:jc w:val="center"/>
        <w:rPr>
          <w:b/>
          <w:smallCaps/>
          <w:sz w:val="48"/>
        </w:rPr>
      </w:pPr>
    </w:p>
    <w:p w:rsidR="0063420F" w:rsidRPr="005A6938" w:rsidRDefault="0063420F" w:rsidP="00D14B7D">
      <w:pPr>
        <w:jc w:val="center"/>
        <w:rPr>
          <w:b/>
          <w:smallCaps/>
          <w:sz w:val="48"/>
        </w:rPr>
      </w:pPr>
    </w:p>
    <w:p w:rsidR="0063420F" w:rsidRPr="005A6938" w:rsidRDefault="003B4EAD">
      <w:pPr>
        <w:jc w:val="center"/>
        <w:rPr>
          <w:b/>
          <w:sz w:val="48"/>
        </w:rPr>
      </w:pPr>
      <w:r>
        <w:rPr>
          <w:b/>
          <w:sz w:val="48"/>
        </w:rPr>
        <w:t>Part One</w:t>
      </w:r>
      <w:r w:rsidR="0063420F" w:rsidRPr="005A6938">
        <w:rPr>
          <w:b/>
          <w:sz w:val="48"/>
        </w:rPr>
        <w:br/>
      </w:r>
      <w:r>
        <w:rPr>
          <w:b/>
          <w:sz w:val="48"/>
        </w:rPr>
        <w:t xml:space="preserve">Legislative </w:t>
      </w:r>
      <w:r w:rsidR="00D610C3">
        <w:rPr>
          <w:b/>
          <w:sz w:val="48"/>
        </w:rPr>
        <w:t>O</w:t>
      </w:r>
      <w:r>
        <w:rPr>
          <w:b/>
          <w:sz w:val="48"/>
        </w:rPr>
        <w:t>pinions</w:t>
      </w:r>
    </w:p>
    <w:p w:rsidR="0063420F" w:rsidRPr="005A6938" w:rsidRDefault="0063420F" w:rsidP="0039355D">
      <w:pPr>
        <w:pStyle w:val="Initial"/>
        <w:tabs>
          <w:tab w:val="clear" w:pos="-720"/>
        </w:tabs>
        <w:spacing w:after="240"/>
        <w:jc w:val="left"/>
        <w:rPr>
          <w:lang w:val="en-GB"/>
        </w:rPr>
      </w:pPr>
      <w:r w:rsidRPr="005A6938">
        <w:rPr>
          <w:lang w:val="en-GB"/>
        </w:rPr>
        <w:br w:type="page"/>
      </w:r>
    </w:p>
    <w:p w:rsidR="0039355D" w:rsidRPr="00AC51AF" w:rsidRDefault="0039355D" w:rsidP="0039355D">
      <w:pPr>
        <w:pStyle w:val="Subject"/>
        <w:spacing w:after="240"/>
        <w:jc w:val="center"/>
      </w:pPr>
      <w:r w:rsidRPr="00AC51AF">
        <w:t>CO-DECISION PROCEDURE – First reading</w:t>
      </w:r>
    </w:p>
    <w:p w:rsidR="0039355D" w:rsidRPr="00AC51AF" w:rsidRDefault="0039355D" w:rsidP="0039355D">
      <w:pPr>
        <w:jc w:val="center"/>
        <w:rPr>
          <w:b/>
        </w:rPr>
      </w:pPr>
      <w:r w:rsidRPr="00AC51AF">
        <w:rPr>
          <w:b/>
          <w:color w:val="000000"/>
        </w:rPr>
        <w:t xml:space="preserve">Proposal for a </w:t>
      </w:r>
      <w:r w:rsidRPr="00AC51AF">
        <w:rPr>
          <w:b/>
        </w:rPr>
        <w:t>Directive amending Directive 94/62/EC on packaging and packaging waste</w:t>
      </w:r>
    </w:p>
    <w:p w:rsidR="0039355D" w:rsidRPr="00AC51AF" w:rsidRDefault="0039355D" w:rsidP="0039355D"/>
    <w:p w:rsidR="0039355D" w:rsidRPr="00AC51AF" w:rsidRDefault="0039355D" w:rsidP="0039355D"/>
    <w:p w:rsidR="0039355D" w:rsidRPr="004B449F" w:rsidRDefault="0039355D" w:rsidP="0039355D">
      <w:pPr>
        <w:rPr>
          <w:lang w:val="fr-FR"/>
        </w:rPr>
      </w:pPr>
      <w:r w:rsidRPr="004B449F">
        <w:rPr>
          <w:b/>
          <w:lang w:val="fr-FR"/>
        </w:rPr>
        <w:t>1.</w:t>
      </w:r>
      <w:r w:rsidRPr="004B449F">
        <w:rPr>
          <w:b/>
          <w:lang w:val="fr-FR"/>
        </w:rPr>
        <w:tab/>
        <w:t xml:space="preserve">Rapporteur: </w:t>
      </w:r>
      <w:r w:rsidRPr="004B449F">
        <w:rPr>
          <w:lang w:val="fr-FR"/>
        </w:rPr>
        <w:t>Dorette Corbey</w:t>
      </w:r>
    </w:p>
    <w:p w:rsidR="0039355D" w:rsidRPr="004B449F" w:rsidRDefault="0039355D" w:rsidP="0039355D">
      <w:pPr>
        <w:rPr>
          <w:lang w:val="fr-FR"/>
        </w:rPr>
      </w:pPr>
      <w:r w:rsidRPr="004B449F">
        <w:rPr>
          <w:b/>
          <w:lang w:val="fr-FR"/>
        </w:rPr>
        <w:t>2.</w:t>
      </w:r>
      <w:r w:rsidRPr="004B449F">
        <w:rPr>
          <w:b/>
          <w:lang w:val="fr-FR"/>
        </w:rPr>
        <w:tab/>
        <w:t>EP N</w:t>
      </w:r>
      <w:r w:rsidR="005819F9" w:rsidRPr="004B449F">
        <w:rPr>
          <w:b/>
          <w:lang w:val="fr-FR"/>
        </w:rPr>
        <w:t>o</w:t>
      </w:r>
      <w:r w:rsidRPr="004B449F">
        <w:rPr>
          <w:b/>
          <w:lang w:val="fr-FR"/>
        </w:rPr>
        <w:t xml:space="preserve">: </w:t>
      </w:r>
      <w:r w:rsidRPr="004B449F">
        <w:rPr>
          <w:lang w:val="fr-FR"/>
        </w:rPr>
        <w:t>A6-0027/2004</w:t>
      </w:r>
    </w:p>
    <w:p w:rsidR="0039355D" w:rsidRPr="00AC51AF" w:rsidRDefault="0039355D" w:rsidP="0039355D">
      <w:r w:rsidRPr="00AC51AF">
        <w:rPr>
          <w:b/>
        </w:rPr>
        <w:t>3.</w:t>
      </w:r>
      <w:r w:rsidRPr="00AC51AF">
        <w:rPr>
          <w:b/>
        </w:rPr>
        <w:tab/>
        <w:t xml:space="preserve">Date of adoption of the report: </w:t>
      </w:r>
      <w:smartTag w:uri="urn:schemas-microsoft-com:office:smarttags" w:element="date">
        <w:smartTagPr>
          <w:attr w:name="Month" w:val="11"/>
          <w:attr w:name="Day" w:val="17"/>
          <w:attr w:name="Year" w:val="2004"/>
        </w:smartTagPr>
        <w:r w:rsidRPr="00AC51AF">
          <w:t>17 November 2004</w:t>
        </w:r>
      </w:smartTag>
    </w:p>
    <w:p w:rsidR="0039355D" w:rsidRPr="00AC51AF" w:rsidRDefault="0039355D" w:rsidP="0039355D">
      <w:pPr>
        <w:rPr>
          <w:b/>
        </w:rPr>
      </w:pPr>
      <w:r w:rsidRPr="00AC51AF">
        <w:rPr>
          <w:b/>
        </w:rPr>
        <w:t>4.</w:t>
      </w:r>
      <w:r w:rsidRPr="00AC51AF">
        <w:rPr>
          <w:b/>
        </w:rPr>
        <w:tab/>
        <w:t>Subject:</w:t>
      </w:r>
    </w:p>
    <w:p w:rsidR="0039355D" w:rsidRPr="00AC51AF" w:rsidRDefault="0039355D" w:rsidP="0039355D">
      <w:r w:rsidRPr="00AC51AF">
        <w:rPr>
          <w:color w:val="000000"/>
        </w:rPr>
        <w:t xml:space="preserve">Proposal for a </w:t>
      </w:r>
      <w:r w:rsidRPr="00AC51AF">
        <w:t>Directive amending Directive 94/62/EC on packaging and packaging waste</w:t>
      </w:r>
    </w:p>
    <w:p w:rsidR="0039355D" w:rsidRPr="00AC51AF" w:rsidRDefault="0039355D" w:rsidP="0039355D">
      <w:pPr>
        <w:ind w:left="284" w:hanging="284"/>
      </w:pPr>
      <w:r w:rsidRPr="00AC51AF">
        <w:rPr>
          <w:b/>
        </w:rPr>
        <w:t>5.</w:t>
      </w:r>
      <w:r w:rsidRPr="00AC51AF">
        <w:rPr>
          <w:b/>
        </w:rPr>
        <w:tab/>
      </w:r>
      <w:r w:rsidRPr="00AC51AF">
        <w:rPr>
          <w:b/>
        </w:rPr>
        <w:tab/>
        <w:t xml:space="preserve">Inter-institutional references: </w:t>
      </w:r>
      <w:r w:rsidRPr="00AC51AF">
        <w:rPr>
          <w:snapToGrid w:val="0"/>
          <w:lang w:eastAsia="en-US"/>
        </w:rPr>
        <w:t>2004</w:t>
      </w:r>
      <w:r w:rsidR="00646CDB" w:rsidRPr="00AC51AF">
        <w:rPr>
          <w:snapToGrid w:val="0"/>
          <w:lang w:eastAsia="en-US"/>
        </w:rPr>
        <w:t>/0045</w:t>
      </w:r>
      <w:r w:rsidRPr="00AC51AF">
        <w:rPr>
          <w:snapToGrid w:val="0"/>
          <w:lang w:eastAsia="en-US"/>
        </w:rPr>
        <w:t>(COD)</w:t>
      </w:r>
    </w:p>
    <w:p w:rsidR="0039355D" w:rsidRPr="00AC51AF" w:rsidRDefault="0039355D" w:rsidP="0039355D">
      <w:r w:rsidRPr="00AC51AF">
        <w:rPr>
          <w:b/>
        </w:rPr>
        <w:t>6.</w:t>
      </w:r>
      <w:r w:rsidRPr="00AC51AF">
        <w:rPr>
          <w:b/>
        </w:rPr>
        <w:tab/>
        <w:t xml:space="preserve">Legal basis: </w:t>
      </w:r>
      <w:r w:rsidRPr="00AC51AF">
        <w:t>Article 95 EC Treaty</w:t>
      </w:r>
    </w:p>
    <w:p w:rsidR="0039355D" w:rsidRPr="00AC51AF" w:rsidRDefault="0039355D" w:rsidP="0039355D">
      <w:pPr>
        <w:ind w:left="284" w:hanging="284"/>
        <w:rPr>
          <w:b/>
        </w:rPr>
      </w:pPr>
      <w:r w:rsidRPr="00AC51AF">
        <w:rPr>
          <w:b/>
        </w:rPr>
        <w:t>7.</w:t>
      </w:r>
      <w:r w:rsidRPr="00AC51AF">
        <w:rPr>
          <w:b/>
        </w:rPr>
        <w:tab/>
      </w:r>
      <w:r w:rsidRPr="00AC51AF">
        <w:rPr>
          <w:b/>
        </w:rPr>
        <w:tab/>
        <w:t>Competent Parliamentary Committee:</w:t>
      </w:r>
    </w:p>
    <w:p w:rsidR="0039355D" w:rsidRPr="00AC51AF" w:rsidRDefault="0039355D" w:rsidP="0039355D">
      <w:pPr>
        <w:ind w:left="284" w:hanging="284"/>
        <w:rPr>
          <w:b/>
        </w:rPr>
      </w:pPr>
      <w:r w:rsidRPr="00AC51AF">
        <w:t xml:space="preserve">Environment, Public Health </w:t>
      </w:r>
      <w:r w:rsidR="00586C9C" w:rsidRPr="00AC51AF">
        <w:t>and Food Safety</w:t>
      </w:r>
    </w:p>
    <w:p w:rsidR="0039355D" w:rsidRPr="00AC51AF" w:rsidRDefault="0039355D" w:rsidP="0039355D">
      <w:pPr>
        <w:ind w:left="284" w:hanging="284"/>
        <w:rPr>
          <w:b/>
        </w:rPr>
      </w:pPr>
      <w:r w:rsidRPr="00AC51AF">
        <w:rPr>
          <w:b/>
        </w:rPr>
        <w:t>8.</w:t>
      </w:r>
      <w:r w:rsidRPr="00AC51AF">
        <w:rPr>
          <w:b/>
        </w:rPr>
        <w:tab/>
      </w:r>
      <w:r w:rsidR="003A5F16" w:rsidRPr="00AC51AF">
        <w:rPr>
          <w:b/>
        </w:rPr>
        <w:tab/>
      </w:r>
      <w:r w:rsidRPr="00AC51AF">
        <w:rPr>
          <w:b/>
        </w:rPr>
        <w:t>Commission Position:</w:t>
      </w:r>
    </w:p>
    <w:p w:rsidR="0039355D" w:rsidRPr="00AC51AF" w:rsidRDefault="0039355D" w:rsidP="0039355D">
      <w:r w:rsidRPr="00AC51AF">
        <w:t xml:space="preserve">On </w:t>
      </w:r>
      <w:smartTag w:uri="urn:schemas-microsoft-com:office:smarttags" w:element="date">
        <w:smartTagPr>
          <w:attr w:name="Month" w:val="11"/>
          <w:attr w:name="Day" w:val="17"/>
          <w:attr w:name="Year" w:val="2004"/>
        </w:smartTagPr>
        <w:r w:rsidRPr="00AC51AF">
          <w:t>17 November 2004</w:t>
        </w:r>
      </w:smartTag>
      <w:r w:rsidRPr="00AC51AF">
        <w:t xml:space="preserve">, the European Parliament adopted three amendments which will lead to adoption </w:t>
      </w:r>
      <w:r w:rsidR="00AC51AF" w:rsidRPr="00AC51AF">
        <w:t>at</w:t>
      </w:r>
      <w:r w:rsidRPr="00AC51AF">
        <w:t xml:space="preserve"> first reading and which </w:t>
      </w:r>
      <w:r w:rsidRPr="00AC51AF">
        <w:rPr>
          <w:u w:val="single"/>
        </w:rPr>
        <w:t>the Commission can support</w:t>
      </w:r>
      <w:r w:rsidRPr="00AC51AF">
        <w:t>.</w:t>
      </w:r>
    </w:p>
    <w:p w:rsidR="0039355D" w:rsidRPr="00AC51AF" w:rsidRDefault="0039355D" w:rsidP="0039355D">
      <w:pPr>
        <w:ind w:left="284" w:hanging="284"/>
        <w:rPr>
          <w:b/>
        </w:rPr>
      </w:pPr>
      <w:r w:rsidRPr="00AC51AF">
        <w:rPr>
          <w:b/>
        </w:rPr>
        <w:t>9.</w:t>
      </w:r>
      <w:r w:rsidRPr="00AC51AF">
        <w:rPr>
          <w:b/>
        </w:rPr>
        <w:tab/>
      </w:r>
      <w:r w:rsidRPr="00AC51AF">
        <w:rPr>
          <w:b/>
        </w:rPr>
        <w:tab/>
        <w:t>Outlook for amendment of the proposal :</w:t>
      </w:r>
    </w:p>
    <w:p w:rsidR="0039355D" w:rsidRPr="00AC51AF" w:rsidRDefault="0039355D" w:rsidP="0039355D">
      <w:r w:rsidRPr="00AC51AF">
        <w:t>The Commission will inform the Council orally of the acceptance of the EP amendments</w:t>
      </w:r>
      <w:r w:rsidR="003D210C" w:rsidRPr="00AC51AF">
        <w:t>.</w:t>
      </w:r>
    </w:p>
    <w:p w:rsidR="0039355D" w:rsidRPr="00AC51AF" w:rsidRDefault="0039355D" w:rsidP="0039355D">
      <w:pPr>
        <w:ind w:left="284" w:hanging="284"/>
        <w:rPr>
          <w:b/>
          <w:snapToGrid w:val="0"/>
          <w:lang w:eastAsia="en-US"/>
        </w:rPr>
      </w:pPr>
      <w:r w:rsidRPr="00AC51AF">
        <w:rPr>
          <w:b/>
        </w:rPr>
        <w:t>10.</w:t>
      </w:r>
      <w:r w:rsidRPr="00AC51AF">
        <w:rPr>
          <w:b/>
        </w:rPr>
        <w:tab/>
      </w:r>
      <w:r w:rsidRPr="00AC51AF">
        <w:rPr>
          <w:b/>
          <w:snapToGrid w:val="0"/>
          <w:lang w:eastAsia="en-US"/>
        </w:rPr>
        <w:t>Outlook for the adoption of the Directive:</w:t>
      </w:r>
    </w:p>
    <w:p w:rsidR="0039355D" w:rsidRPr="00AC51AF" w:rsidRDefault="0039355D" w:rsidP="0039355D">
      <w:pPr>
        <w:ind w:left="284" w:hanging="284"/>
        <w:rPr>
          <w:snapToGrid w:val="0"/>
          <w:lang w:eastAsia="en-US"/>
        </w:rPr>
      </w:pPr>
      <w:r w:rsidRPr="00AC51AF">
        <w:rPr>
          <w:snapToGrid w:val="0"/>
          <w:lang w:eastAsia="en-US"/>
        </w:rPr>
        <w:t xml:space="preserve">The Council is about to adopt the Directive </w:t>
      </w:r>
      <w:r w:rsidR="00AC51AF" w:rsidRPr="00AC51AF">
        <w:rPr>
          <w:snapToGrid w:val="0"/>
          <w:lang w:eastAsia="en-US"/>
        </w:rPr>
        <w:t>at</w:t>
      </w:r>
      <w:r w:rsidRPr="00AC51AF">
        <w:rPr>
          <w:snapToGrid w:val="0"/>
          <w:lang w:eastAsia="en-US"/>
        </w:rPr>
        <w:t xml:space="preserve"> first reading.</w:t>
      </w:r>
    </w:p>
    <w:p w:rsidR="00646CDB" w:rsidRPr="00AC51AF" w:rsidRDefault="0039355D" w:rsidP="00646CDB">
      <w:r w:rsidRPr="00AC51AF">
        <w:br w:type="page"/>
      </w:r>
    </w:p>
    <w:p w:rsidR="00646CDB" w:rsidRPr="00AC51AF" w:rsidRDefault="00646CDB" w:rsidP="00646CDB">
      <w:pPr>
        <w:jc w:val="center"/>
      </w:pPr>
      <w:r w:rsidRPr="00AC51AF">
        <w:rPr>
          <w:b/>
        </w:rPr>
        <w:t xml:space="preserve">CONSULTATION PROCEDURE REQUIRING A SINGLE </w:t>
      </w:r>
      <w:smartTag w:uri="urn:schemas-microsoft-com:office:smarttags" w:element="City">
        <w:smartTag w:uri="urn:schemas-microsoft-com:office:smarttags" w:element="place">
          <w:r w:rsidRPr="00AC51AF">
            <w:rPr>
              <w:b/>
            </w:rPr>
            <w:t>READING</w:t>
          </w:r>
        </w:smartTag>
      </w:smartTag>
    </w:p>
    <w:p w:rsidR="00646CDB" w:rsidRPr="00AC51AF" w:rsidRDefault="00646CDB" w:rsidP="00646CDB">
      <w:pPr>
        <w:jc w:val="center"/>
        <w:rPr>
          <w:b/>
        </w:rPr>
      </w:pPr>
      <w:r w:rsidRPr="00AC51AF">
        <w:rPr>
          <w:b/>
        </w:rPr>
        <w:t>Proposal for a Council Regulation amending Council Regulation (EC) No 2667/2000 on the European Agency for Reconstruction</w:t>
      </w:r>
    </w:p>
    <w:p w:rsidR="00646CDB" w:rsidRPr="00AC51AF" w:rsidRDefault="00646CDB" w:rsidP="00646CDB">
      <w:pPr>
        <w:jc w:val="left"/>
      </w:pPr>
    </w:p>
    <w:p w:rsidR="00646CDB" w:rsidRPr="00AC51AF" w:rsidRDefault="00646CDB" w:rsidP="00646CDB">
      <w:pPr>
        <w:jc w:val="left"/>
      </w:pPr>
    </w:p>
    <w:p w:rsidR="00646CDB" w:rsidRPr="00AC51AF" w:rsidRDefault="00646CDB" w:rsidP="00646CDB">
      <w:r w:rsidRPr="00AC51AF">
        <w:rPr>
          <w:b/>
        </w:rPr>
        <w:t>1.</w:t>
      </w:r>
      <w:r w:rsidRPr="00AC51AF">
        <w:rPr>
          <w:b/>
        </w:rPr>
        <w:tab/>
        <w:t xml:space="preserve">Rapporteur: </w:t>
      </w:r>
      <w:r w:rsidRPr="00AC51AF">
        <w:t>Anders Samuelsen</w:t>
      </w:r>
    </w:p>
    <w:p w:rsidR="00646CDB" w:rsidRPr="00AC51AF" w:rsidRDefault="00646CDB" w:rsidP="00646CDB">
      <w:r w:rsidRPr="00AC51AF">
        <w:rPr>
          <w:b/>
        </w:rPr>
        <w:t>2.</w:t>
      </w:r>
      <w:r w:rsidRPr="00AC51AF">
        <w:rPr>
          <w:b/>
        </w:rPr>
        <w:tab/>
        <w:t xml:space="preserve">EP No: </w:t>
      </w:r>
      <w:r w:rsidRPr="00AC51AF">
        <w:t>A6-0031/2004</w:t>
      </w:r>
    </w:p>
    <w:p w:rsidR="00646CDB" w:rsidRPr="00AC51AF" w:rsidRDefault="00646CDB" w:rsidP="00646CDB">
      <w:r w:rsidRPr="00AC51AF">
        <w:rPr>
          <w:b/>
        </w:rPr>
        <w:t>3.</w:t>
      </w:r>
      <w:r w:rsidRPr="00AC51AF">
        <w:rPr>
          <w:b/>
        </w:rPr>
        <w:tab/>
        <w:t xml:space="preserve">Date of adoption of the report: </w:t>
      </w:r>
      <w:smartTag w:uri="urn:schemas-microsoft-com:office:smarttags" w:element="date">
        <w:smartTagPr>
          <w:attr w:name="Month" w:val="11"/>
          <w:attr w:name="Day" w:val="17"/>
          <w:attr w:name="Year" w:val="2004"/>
        </w:smartTagPr>
        <w:r w:rsidRPr="00AC51AF">
          <w:t>17 November 2004</w:t>
        </w:r>
      </w:smartTag>
    </w:p>
    <w:p w:rsidR="00646CDB" w:rsidRPr="00AC51AF" w:rsidRDefault="00646CDB" w:rsidP="00646CDB">
      <w:pPr>
        <w:rPr>
          <w:b/>
        </w:rPr>
      </w:pPr>
      <w:r w:rsidRPr="00AC51AF">
        <w:rPr>
          <w:b/>
        </w:rPr>
        <w:t>4.</w:t>
      </w:r>
      <w:r w:rsidRPr="00AC51AF">
        <w:rPr>
          <w:b/>
        </w:rPr>
        <w:tab/>
        <w:t>Subject:</w:t>
      </w:r>
    </w:p>
    <w:p w:rsidR="00646CDB" w:rsidRPr="00AC51AF" w:rsidRDefault="00646CDB" w:rsidP="00646CDB">
      <w:r w:rsidRPr="00AC51AF">
        <w:t>Proposal for a Council Regulation amending Council Regulation (EC) No 2667/2000 on the European Agency for Reconstruction</w:t>
      </w:r>
    </w:p>
    <w:p w:rsidR="00646CDB" w:rsidRPr="00AC51AF" w:rsidRDefault="00646CDB" w:rsidP="00646CDB">
      <w:r w:rsidRPr="00AC51AF">
        <w:rPr>
          <w:b/>
        </w:rPr>
        <w:t>5.</w:t>
      </w:r>
      <w:r w:rsidRPr="00AC51AF">
        <w:rPr>
          <w:b/>
        </w:rPr>
        <w:tab/>
        <w:t>Inter</w:t>
      </w:r>
      <w:r w:rsidR="00835DD9" w:rsidRPr="00AC51AF">
        <w:rPr>
          <w:b/>
        </w:rPr>
        <w:t>-</w:t>
      </w:r>
      <w:r w:rsidRPr="00AC51AF">
        <w:rPr>
          <w:b/>
        </w:rPr>
        <w:t xml:space="preserve">institutional references: </w:t>
      </w:r>
      <w:r w:rsidRPr="00AC51AF">
        <w:t>2004/</w:t>
      </w:r>
      <w:r w:rsidR="003D210C" w:rsidRPr="00AC51AF">
        <w:t>0</w:t>
      </w:r>
      <w:r w:rsidRPr="00AC51AF">
        <w:t>133(CNS)</w:t>
      </w:r>
    </w:p>
    <w:p w:rsidR="00646CDB" w:rsidRPr="00AC51AF" w:rsidRDefault="00646CDB" w:rsidP="00646CDB">
      <w:pPr>
        <w:rPr>
          <w:szCs w:val="24"/>
        </w:rPr>
      </w:pPr>
      <w:r w:rsidRPr="00AC51AF">
        <w:rPr>
          <w:b/>
          <w:szCs w:val="24"/>
        </w:rPr>
        <w:t>6.</w:t>
      </w:r>
      <w:r w:rsidRPr="00AC51AF">
        <w:rPr>
          <w:b/>
          <w:szCs w:val="24"/>
        </w:rPr>
        <w:tab/>
        <w:t xml:space="preserve">Legal basis: </w:t>
      </w:r>
      <w:r w:rsidRPr="00AC51AF">
        <w:rPr>
          <w:szCs w:val="24"/>
        </w:rPr>
        <w:t>Article 181 a, paragraph 2, first sentence EC</w:t>
      </w:r>
    </w:p>
    <w:p w:rsidR="00646CDB" w:rsidRPr="00AC51AF" w:rsidRDefault="00646CDB" w:rsidP="00646CDB">
      <w:r w:rsidRPr="00AC51AF">
        <w:rPr>
          <w:b/>
        </w:rPr>
        <w:t>7.</w:t>
      </w:r>
      <w:r w:rsidRPr="00AC51AF">
        <w:rPr>
          <w:b/>
        </w:rPr>
        <w:tab/>
        <w:t xml:space="preserve">Competent parliamentary committee: </w:t>
      </w:r>
      <w:r w:rsidRPr="00AC51AF">
        <w:t>Foreign Affairs Committee</w:t>
      </w:r>
    </w:p>
    <w:p w:rsidR="00646CDB" w:rsidRPr="00AC51AF" w:rsidRDefault="00646CDB" w:rsidP="00646CDB">
      <w:pPr>
        <w:rPr>
          <w:b/>
        </w:rPr>
      </w:pPr>
      <w:r w:rsidRPr="00AC51AF">
        <w:rPr>
          <w:b/>
        </w:rPr>
        <w:t>8.</w:t>
      </w:r>
      <w:r w:rsidRPr="00AC51AF">
        <w:rPr>
          <w:b/>
        </w:rPr>
        <w:tab/>
        <w:t>Commission’s position:</w:t>
      </w:r>
    </w:p>
    <w:p w:rsidR="00646CDB" w:rsidRPr="00AC51AF" w:rsidRDefault="00646CDB" w:rsidP="00646CDB">
      <w:r w:rsidRPr="00AC51AF">
        <w:t>The Commission can accept the principle of amendment 2 (albeit with a slight modification as to the timing of the report), as well as amendment 3.  However, the Commission considers amendment 1 not necessary.</w:t>
      </w:r>
    </w:p>
    <w:p w:rsidR="00646CDB" w:rsidRPr="00AC51AF" w:rsidRDefault="00646CDB" w:rsidP="00646CDB">
      <w:r w:rsidRPr="00AC51AF">
        <w:t>As for amendment 4, the Commission continues to make itself available to discuss with the European Parliament any issue surrounding the division of tasks between the Agency and the Commission’s Delegations, but it considers that this is not the appropriate context for such a legal text.</w:t>
      </w:r>
    </w:p>
    <w:p w:rsidR="00646CDB" w:rsidRPr="00AC51AF" w:rsidRDefault="00646CDB" w:rsidP="00646CDB">
      <w:r w:rsidRPr="00AC51AF">
        <w:rPr>
          <w:b/>
        </w:rPr>
        <w:t>9.</w:t>
      </w:r>
      <w:r w:rsidRPr="00AC51AF">
        <w:rPr>
          <w:b/>
        </w:rPr>
        <w:tab/>
        <w:t xml:space="preserve">Outlook for amendment of the proposal: </w:t>
      </w:r>
      <w:r w:rsidRPr="00AC51AF">
        <w:t>not applicable (cf point 10)</w:t>
      </w:r>
      <w:r w:rsidR="003D210C" w:rsidRPr="00AC51AF">
        <w:t>.</w:t>
      </w:r>
    </w:p>
    <w:p w:rsidR="003D210C" w:rsidRPr="00AC51AF" w:rsidRDefault="00646CDB" w:rsidP="00646CDB">
      <w:pPr>
        <w:rPr>
          <w:b/>
        </w:rPr>
      </w:pPr>
      <w:r w:rsidRPr="00AC51AF">
        <w:rPr>
          <w:b/>
        </w:rPr>
        <w:t>10.</w:t>
      </w:r>
      <w:r w:rsidRPr="00AC51AF">
        <w:rPr>
          <w:b/>
        </w:rPr>
        <w:tab/>
        <w:t>Outlook for the adoption of the proposal:</w:t>
      </w:r>
    </w:p>
    <w:p w:rsidR="00646CDB" w:rsidRPr="00AC51AF" w:rsidRDefault="00646CDB" w:rsidP="00646CDB">
      <w:r w:rsidRPr="00AC51AF">
        <w:t xml:space="preserve">Adoption by </w:t>
      </w:r>
      <w:r w:rsidR="00AC51AF" w:rsidRPr="00AC51AF">
        <w:t xml:space="preserve">the </w:t>
      </w:r>
      <w:r w:rsidRPr="00AC51AF">
        <w:t xml:space="preserve">Council on </w:t>
      </w:r>
      <w:smartTag w:uri="urn:schemas-microsoft-com:office:smarttags" w:element="date">
        <w:smartTagPr>
          <w:attr w:name="Month" w:val="11"/>
          <w:attr w:name="Day" w:val="29"/>
          <w:attr w:name="Year" w:val="2004"/>
        </w:smartTagPr>
        <w:r w:rsidRPr="00AC51AF">
          <w:t>29 November 2004</w:t>
        </w:r>
      </w:smartTag>
      <w:r w:rsidRPr="00AC51AF">
        <w:t>.</w:t>
      </w:r>
    </w:p>
    <w:p w:rsidR="006524F1" w:rsidRPr="00AC51AF" w:rsidRDefault="006524F1" w:rsidP="006524F1">
      <w:pPr>
        <w:pStyle w:val="Initial"/>
        <w:tabs>
          <w:tab w:val="clear" w:pos="-720"/>
        </w:tabs>
        <w:spacing w:after="240"/>
        <w:jc w:val="left"/>
        <w:rPr>
          <w:szCs w:val="24"/>
          <w:lang w:val="en-GB"/>
        </w:rPr>
      </w:pPr>
      <w:r w:rsidRPr="00AC51AF">
        <w:rPr>
          <w:lang w:val="en-GB"/>
        </w:rPr>
        <w:br w:type="page"/>
      </w:r>
    </w:p>
    <w:p w:rsidR="006524F1" w:rsidRPr="00AC51AF" w:rsidRDefault="006524F1" w:rsidP="006524F1">
      <w:pPr>
        <w:jc w:val="center"/>
        <w:rPr>
          <w:szCs w:val="24"/>
        </w:rPr>
      </w:pPr>
      <w:r w:rsidRPr="00AC51AF">
        <w:rPr>
          <w:b/>
          <w:szCs w:val="24"/>
        </w:rPr>
        <w:t xml:space="preserve">CONSULTATION PROCEDURE REQUIRING A SINGLE </w:t>
      </w:r>
      <w:smartTag w:uri="urn:schemas-microsoft-com:office:smarttags" w:element="City">
        <w:smartTag w:uri="urn:schemas-microsoft-com:office:smarttags" w:element="place">
          <w:r w:rsidRPr="00AC51AF">
            <w:rPr>
              <w:b/>
              <w:szCs w:val="24"/>
            </w:rPr>
            <w:t>READING</w:t>
          </w:r>
        </w:smartTag>
      </w:smartTag>
    </w:p>
    <w:p w:rsidR="006524F1" w:rsidRPr="00AC51AF" w:rsidRDefault="006524F1" w:rsidP="006524F1">
      <w:pPr>
        <w:jc w:val="center"/>
        <w:rPr>
          <w:rStyle w:val="DefaultMargins"/>
          <w:rFonts w:ascii="Times New Roman" w:hAnsi="Times New Roman"/>
          <w:b/>
          <w:spacing w:val="-2"/>
          <w:sz w:val="24"/>
          <w:szCs w:val="24"/>
          <w:lang w:val="en-GB"/>
        </w:rPr>
      </w:pPr>
      <w:r w:rsidRPr="00AC51AF">
        <w:rPr>
          <w:rStyle w:val="DefaultMargins"/>
          <w:rFonts w:ascii="Times New Roman" w:hAnsi="Times New Roman"/>
          <w:b/>
          <w:spacing w:val="-2"/>
          <w:sz w:val="24"/>
          <w:szCs w:val="24"/>
          <w:lang w:val="en-GB"/>
        </w:rPr>
        <w:t>Proposal for a Council Regulation establishing an instrument of financial support for encouraging the economic development of the Turkish Cypriot community</w:t>
      </w:r>
    </w:p>
    <w:p w:rsidR="006524F1" w:rsidRPr="00AC51AF" w:rsidRDefault="006524F1" w:rsidP="006524F1">
      <w:pPr>
        <w:jc w:val="left"/>
        <w:rPr>
          <w:b/>
          <w:szCs w:val="24"/>
        </w:rPr>
      </w:pPr>
    </w:p>
    <w:p w:rsidR="006524F1" w:rsidRPr="00AC51AF" w:rsidRDefault="006524F1" w:rsidP="006524F1">
      <w:pPr>
        <w:rPr>
          <w:szCs w:val="24"/>
        </w:rPr>
      </w:pPr>
    </w:p>
    <w:p w:rsidR="006524F1" w:rsidRPr="00AC51AF" w:rsidRDefault="006524F1" w:rsidP="006524F1">
      <w:pPr>
        <w:rPr>
          <w:szCs w:val="24"/>
        </w:rPr>
      </w:pPr>
      <w:r w:rsidRPr="00AC51AF">
        <w:rPr>
          <w:b/>
          <w:szCs w:val="24"/>
        </w:rPr>
        <w:t>1.</w:t>
      </w:r>
      <w:r w:rsidRPr="00AC51AF">
        <w:rPr>
          <w:b/>
          <w:szCs w:val="24"/>
        </w:rPr>
        <w:tab/>
        <w:t>Rapporteur :</w:t>
      </w:r>
      <w:r w:rsidRPr="00AC51AF">
        <w:rPr>
          <w:szCs w:val="24"/>
        </w:rPr>
        <w:t xml:space="preserve"> </w:t>
      </w:r>
      <w:r w:rsidRPr="00AC51AF">
        <w:rPr>
          <w:rStyle w:val="DefaultMargins"/>
          <w:rFonts w:ascii="Times New Roman" w:hAnsi="Times New Roman"/>
          <w:spacing w:val="-2"/>
          <w:sz w:val="24"/>
          <w:szCs w:val="24"/>
          <w:lang w:val="en-GB"/>
        </w:rPr>
        <w:t>Mechtild R</w:t>
      </w:r>
      <w:r w:rsidR="00835DD9" w:rsidRPr="00AC51AF">
        <w:rPr>
          <w:rStyle w:val="DefaultMargins"/>
          <w:rFonts w:ascii="Times New Roman" w:hAnsi="Times New Roman"/>
          <w:spacing w:val="-2"/>
          <w:sz w:val="24"/>
          <w:szCs w:val="24"/>
          <w:lang w:val="en-GB"/>
        </w:rPr>
        <w:t>othe</w:t>
      </w:r>
    </w:p>
    <w:p w:rsidR="006524F1" w:rsidRPr="00AC51AF" w:rsidRDefault="006524F1" w:rsidP="006524F1">
      <w:pPr>
        <w:rPr>
          <w:szCs w:val="24"/>
        </w:rPr>
      </w:pPr>
      <w:r w:rsidRPr="00AC51AF">
        <w:rPr>
          <w:b/>
          <w:szCs w:val="24"/>
        </w:rPr>
        <w:t>2.</w:t>
      </w:r>
      <w:r w:rsidRPr="00AC51AF">
        <w:rPr>
          <w:b/>
          <w:szCs w:val="24"/>
        </w:rPr>
        <w:tab/>
        <w:t>EP No:</w:t>
      </w:r>
      <w:r w:rsidRPr="00AC51AF">
        <w:rPr>
          <w:szCs w:val="24"/>
        </w:rPr>
        <w:t xml:space="preserve"> A6-0032/2004</w:t>
      </w:r>
    </w:p>
    <w:p w:rsidR="006524F1" w:rsidRPr="00AC51AF" w:rsidRDefault="006524F1" w:rsidP="006524F1">
      <w:pPr>
        <w:rPr>
          <w:szCs w:val="24"/>
        </w:rPr>
      </w:pPr>
      <w:r w:rsidRPr="00AC51AF">
        <w:rPr>
          <w:b/>
          <w:szCs w:val="24"/>
        </w:rPr>
        <w:t>3.</w:t>
      </w:r>
      <w:r w:rsidRPr="00AC51AF">
        <w:rPr>
          <w:b/>
          <w:szCs w:val="24"/>
        </w:rPr>
        <w:tab/>
        <w:t>Date of adoption of the report:</w:t>
      </w:r>
      <w:r w:rsidRPr="00AC51AF">
        <w:rPr>
          <w:szCs w:val="24"/>
        </w:rPr>
        <w:t xml:space="preserve"> </w:t>
      </w:r>
      <w:smartTag w:uri="urn:schemas-microsoft-com:office:smarttags" w:element="date">
        <w:smartTagPr>
          <w:attr w:name="Month" w:val="11"/>
          <w:attr w:name="Day" w:val="17"/>
          <w:attr w:name="Year" w:val="2004"/>
        </w:smartTagPr>
        <w:r w:rsidRPr="00AC51AF">
          <w:rPr>
            <w:szCs w:val="24"/>
          </w:rPr>
          <w:t>17 November 2004</w:t>
        </w:r>
      </w:smartTag>
    </w:p>
    <w:p w:rsidR="006524F1" w:rsidRPr="00AC51AF" w:rsidRDefault="006524F1" w:rsidP="006524F1">
      <w:pPr>
        <w:rPr>
          <w:b/>
          <w:szCs w:val="24"/>
        </w:rPr>
      </w:pPr>
      <w:r w:rsidRPr="00AC51AF">
        <w:rPr>
          <w:b/>
          <w:szCs w:val="24"/>
        </w:rPr>
        <w:t>4.</w:t>
      </w:r>
      <w:r w:rsidRPr="00AC51AF">
        <w:rPr>
          <w:b/>
          <w:szCs w:val="24"/>
        </w:rPr>
        <w:tab/>
        <w:t>Subject:</w:t>
      </w:r>
    </w:p>
    <w:p w:rsidR="006524F1" w:rsidRPr="00AC51AF" w:rsidRDefault="006524F1" w:rsidP="006524F1">
      <w:pPr>
        <w:rPr>
          <w:szCs w:val="24"/>
        </w:rPr>
      </w:pPr>
      <w:r w:rsidRPr="00AC51AF">
        <w:rPr>
          <w:rStyle w:val="DefaultMargins"/>
          <w:rFonts w:ascii="Times New Roman" w:hAnsi="Times New Roman"/>
          <w:spacing w:val="-2"/>
          <w:sz w:val="24"/>
          <w:szCs w:val="24"/>
          <w:lang w:val="en-GB"/>
        </w:rPr>
        <w:t>Proposal for a Council Regulation establishing an instrument of financial support for encouraging the economic development of the Turkish Cypriot community</w:t>
      </w:r>
    </w:p>
    <w:p w:rsidR="006524F1" w:rsidRPr="00AC51AF" w:rsidRDefault="006524F1" w:rsidP="006524F1">
      <w:pPr>
        <w:rPr>
          <w:szCs w:val="24"/>
        </w:rPr>
      </w:pPr>
      <w:r w:rsidRPr="00AC51AF">
        <w:rPr>
          <w:b/>
          <w:szCs w:val="24"/>
        </w:rPr>
        <w:t>5.</w:t>
      </w:r>
      <w:r w:rsidRPr="00AC51AF">
        <w:rPr>
          <w:b/>
          <w:szCs w:val="24"/>
        </w:rPr>
        <w:tab/>
        <w:t xml:space="preserve">Inter-institutional reference: </w:t>
      </w:r>
      <w:r w:rsidRPr="00AC51AF">
        <w:rPr>
          <w:szCs w:val="24"/>
        </w:rPr>
        <w:t>2004</w:t>
      </w:r>
      <w:r w:rsidR="00646CDB" w:rsidRPr="00AC51AF">
        <w:rPr>
          <w:szCs w:val="24"/>
        </w:rPr>
        <w:t>/0145</w:t>
      </w:r>
      <w:r w:rsidRPr="00AC51AF">
        <w:rPr>
          <w:szCs w:val="24"/>
        </w:rPr>
        <w:t>(CNS)</w:t>
      </w:r>
    </w:p>
    <w:p w:rsidR="006524F1" w:rsidRPr="00AC51AF" w:rsidRDefault="006524F1" w:rsidP="006524F1">
      <w:pPr>
        <w:rPr>
          <w:szCs w:val="24"/>
        </w:rPr>
      </w:pPr>
      <w:r w:rsidRPr="00AC51AF">
        <w:rPr>
          <w:b/>
          <w:szCs w:val="24"/>
        </w:rPr>
        <w:t>6.</w:t>
      </w:r>
      <w:r w:rsidRPr="00AC51AF">
        <w:rPr>
          <w:b/>
          <w:szCs w:val="24"/>
        </w:rPr>
        <w:tab/>
        <w:t>Legal basis:</w:t>
      </w:r>
      <w:r w:rsidRPr="00AC51AF">
        <w:rPr>
          <w:szCs w:val="24"/>
        </w:rPr>
        <w:t xml:space="preserve"> Article 308 EC</w:t>
      </w:r>
    </w:p>
    <w:p w:rsidR="006524F1" w:rsidRPr="00AC51AF" w:rsidRDefault="006524F1" w:rsidP="006524F1">
      <w:pPr>
        <w:rPr>
          <w:b/>
          <w:szCs w:val="24"/>
        </w:rPr>
      </w:pPr>
      <w:r w:rsidRPr="00AC51AF">
        <w:rPr>
          <w:b/>
          <w:szCs w:val="24"/>
        </w:rPr>
        <w:t>7.</w:t>
      </w:r>
      <w:r w:rsidRPr="00AC51AF">
        <w:rPr>
          <w:b/>
          <w:szCs w:val="24"/>
        </w:rPr>
        <w:tab/>
        <w:t>Competent Parliamentary Committee:</w:t>
      </w:r>
      <w:r w:rsidRPr="00AC51AF">
        <w:rPr>
          <w:szCs w:val="24"/>
        </w:rPr>
        <w:t xml:space="preserve"> Committee on Foreign Affairs</w:t>
      </w:r>
    </w:p>
    <w:p w:rsidR="006524F1" w:rsidRPr="00AC51AF" w:rsidRDefault="006524F1" w:rsidP="006524F1">
      <w:pPr>
        <w:rPr>
          <w:b/>
          <w:szCs w:val="24"/>
        </w:rPr>
      </w:pPr>
      <w:r w:rsidRPr="00AC51AF">
        <w:rPr>
          <w:b/>
          <w:szCs w:val="24"/>
        </w:rPr>
        <w:t>8.</w:t>
      </w:r>
      <w:r w:rsidRPr="00AC51AF">
        <w:rPr>
          <w:b/>
          <w:szCs w:val="24"/>
        </w:rPr>
        <w:tab/>
        <w:t>Commission position:</w:t>
      </w:r>
    </w:p>
    <w:p w:rsidR="006524F1" w:rsidRPr="00AC51AF" w:rsidRDefault="006524F1" w:rsidP="006524F1">
      <w:pPr>
        <w:rPr>
          <w:szCs w:val="24"/>
        </w:rPr>
      </w:pPr>
      <w:r w:rsidRPr="00AC51AF">
        <w:rPr>
          <w:szCs w:val="24"/>
        </w:rPr>
        <w:t>The Commission can accept certain amendments.</w:t>
      </w:r>
    </w:p>
    <w:p w:rsidR="006524F1" w:rsidRPr="00AC51AF" w:rsidRDefault="006524F1" w:rsidP="006524F1">
      <w:pPr>
        <w:autoSpaceDE w:val="0"/>
        <w:autoSpaceDN w:val="0"/>
        <w:adjustRightInd w:val="0"/>
        <w:rPr>
          <w:rStyle w:val="DefaultMargins"/>
          <w:rFonts w:ascii="Times New Roman" w:hAnsi="Times New Roman"/>
          <w:spacing w:val="-2"/>
          <w:sz w:val="24"/>
          <w:szCs w:val="24"/>
          <w:lang w:val="en-GB"/>
        </w:rPr>
      </w:pPr>
      <w:r w:rsidRPr="00AC51AF">
        <w:rPr>
          <w:szCs w:val="24"/>
        </w:rPr>
        <w:t>The Commission can continue to take, in the Council, a global</w:t>
      </w:r>
      <w:r w:rsidR="00E62EB7" w:rsidRPr="00AC51AF">
        <w:rPr>
          <w:szCs w:val="24"/>
        </w:rPr>
        <w:t>ly</w:t>
      </w:r>
      <w:r w:rsidRPr="00AC51AF">
        <w:rPr>
          <w:szCs w:val="24"/>
        </w:rPr>
        <w:t xml:space="preserve"> positive attitude </w:t>
      </w:r>
      <w:r w:rsidR="00FB53CD" w:rsidRPr="00AC51AF">
        <w:rPr>
          <w:szCs w:val="24"/>
        </w:rPr>
        <w:t xml:space="preserve">towards </w:t>
      </w:r>
      <w:r w:rsidRPr="00AC51AF">
        <w:rPr>
          <w:szCs w:val="24"/>
        </w:rPr>
        <w:t xml:space="preserve">the substance of the amendments </w:t>
      </w:r>
      <w:r w:rsidRPr="00AC51AF">
        <w:rPr>
          <w:rStyle w:val="DefaultMargins"/>
          <w:rFonts w:ascii="Times New Roman" w:hAnsi="Times New Roman"/>
          <w:spacing w:val="-2"/>
          <w:sz w:val="24"/>
          <w:szCs w:val="24"/>
          <w:lang w:val="en-GB"/>
        </w:rPr>
        <w:t xml:space="preserve">except the one on comitology (amendment 3 to </w:t>
      </w:r>
      <w:r w:rsidR="00AC51AF" w:rsidRPr="00AC51AF">
        <w:rPr>
          <w:rStyle w:val="DefaultMargins"/>
          <w:rFonts w:ascii="Times New Roman" w:hAnsi="Times New Roman"/>
          <w:spacing w:val="-2"/>
          <w:sz w:val="24"/>
          <w:szCs w:val="24"/>
          <w:lang w:val="en-GB"/>
        </w:rPr>
        <w:t>A</w:t>
      </w:r>
      <w:r w:rsidRPr="00AC51AF">
        <w:rPr>
          <w:rStyle w:val="DefaultMargins"/>
          <w:rFonts w:ascii="Times New Roman" w:hAnsi="Times New Roman"/>
          <w:spacing w:val="-2"/>
          <w:sz w:val="24"/>
          <w:szCs w:val="24"/>
          <w:lang w:val="en-GB"/>
        </w:rPr>
        <w:t>rticle 3), which constitutes a departure from standard rules on committees. The amendment relat</w:t>
      </w:r>
      <w:r w:rsidR="00AC51AF" w:rsidRPr="00AC51AF">
        <w:rPr>
          <w:rStyle w:val="DefaultMargins"/>
          <w:rFonts w:ascii="Times New Roman" w:hAnsi="Times New Roman"/>
          <w:spacing w:val="-2"/>
          <w:sz w:val="24"/>
          <w:szCs w:val="24"/>
          <w:lang w:val="en-GB"/>
        </w:rPr>
        <w:t>ing</w:t>
      </w:r>
      <w:r w:rsidRPr="00AC51AF">
        <w:rPr>
          <w:rStyle w:val="DefaultMargins"/>
          <w:rFonts w:ascii="Times New Roman" w:hAnsi="Times New Roman"/>
          <w:spacing w:val="-2"/>
          <w:sz w:val="24"/>
          <w:szCs w:val="24"/>
          <w:lang w:val="en-GB"/>
        </w:rPr>
        <w:t xml:space="preserve"> to property rights (amendment 6 to </w:t>
      </w:r>
      <w:r w:rsidR="00AC51AF" w:rsidRPr="00AC51AF">
        <w:rPr>
          <w:rStyle w:val="DefaultMargins"/>
          <w:rFonts w:ascii="Times New Roman" w:hAnsi="Times New Roman"/>
          <w:spacing w:val="-2"/>
          <w:sz w:val="24"/>
          <w:szCs w:val="24"/>
          <w:lang w:val="en-GB"/>
        </w:rPr>
        <w:t>A</w:t>
      </w:r>
      <w:r w:rsidRPr="00AC51AF">
        <w:rPr>
          <w:rStyle w:val="DefaultMargins"/>
          <w:rFonts w:ascii="Times New Roman" w:hAnsi="Times New Roman"/>
          <w:spacing w:val="-2"/>
          <w:sz w:val="24"/>
          <w:szCs w:val="24"/>
          <w:lang w:val="en-GB"/>
        </w:rPr>
        <w:t>rticle 6a) can be accepted in substance</w:t>
      </w:r>
      <w:r w:rsidR="00AC51AF" w:rsidRPr="00AC51AF">
        <w:rPr>
          <w:rStyle w:val="DefaultMargins"/>
          <w:rFonts w:ascii="Times New Roman" w:hAnsi="Times New Roman"/>
          <w:spacing w:val="-2"/>
          <w:sz w:val="24"/>
          <w:szCs w:val="24"/>
          <w:lang w:val="en-GB"/>
        </w:rPr>
        <w:t>,</w:t>
      </w:r>
      <w:r w:rsidRPr="00AC51AF">
        <w:rPr>
          <w:rStyle w:val="DefaultMargins"/>
          <w:rFonts w:ascii="Times New Roman" w:hAnsi="Times New Roman"/>
          <w:spacing w:val="-2"/>
          <w:sz w:val="24"/>
          <w:szCs w:val="24"/>
          <w:lang w:val="en-GB"/>
        </w:rPr>
        <w:t xml:space="preserve"> as it aligns the text with the position taken in </w:t>
      </w:r>
      <w:r w:rsidR="00AC51AF" w:rsidRPr="00AC51AF">
        <w:rPr>
          <w:rStyle w:val="DefaultMargins"/>
          <w:rFonts w:ascii="Times New Roman" w:hAnsi="Times New Roman"/>
          <w:spacing w:val="-2"/>
          <w:sz w:val="24"/>
          <w:szCs w:val="24"/>
          <w:lang w:val="en-GB"/>
        </w:rPr>
        <w:t xml:space="preserve">the </w:t>
      </w:r>
      <w:r w:rsidRPr="00AC51AF">
        <w:rPr>
          <w:rStyle w:val="DefaultMargins"/>
          <w:rFonts w:ascii="Times New Roman" w:hAnsi="Times New Roman"/>
          <w:spacing w:val="-2"/>
          <w:sz w:val="24"/>
          <w:szCs w:val="24"/>
          <w:lang w:val="en-GB"/>
        </w:rPr>
        <w:t>Council on this issue</w:t>
      </w:r>
      <w:r w:rsidR="00AC51AF" w:rsidRPr="00AC51AF">
        <w:rPr>
          <w:rStyle w:val="DefaultMargins"/>
          <w:rFonts w:ascii="Times New Roman" w:hAnsi="Times New Roman"/>
          <w:spacing w:val="-2"/>
          <w:sz w:val="24"/>
          <w:szCs w:val="24"/>
          <w:lang w:val="en-GB"/>
        </w:rPr>
        <w:t>,</w:t>
      </w:r>
      <w:r w:rsidRPr="00AC51AF">
        <w:rPr>
          <w:rStyle w:val="DefaultMargins"/>
          <w:rFonts w:ascii="Times New Roman" w:hAnsi="Times New Roman"/>
          <w:spacing w:val="-2"/>
          <w:sz w:val="24"/>
          <w:szCs w:val="24"/>
          <w:lang w:val="en-GB"/>
        </w:rPr>
        <w:t xml:space="preserve"> which has been accepted by the EC, and corresponds to standard practice of the Commission in the PHARE countries.</w:t>
      </w:r>
    </w:p>
    <w:p w:rsidR="006524F1" w:rsidRPr="00AC51AF" w:rsidRDefault="006524F1" w:rsidP="006524F1">
      <w:pPr>
        <w:rPr>
          <w:rStyle w:val="DefaultMargins"/>
          <w:rFonts w:ascii="Times New Roman" w:hAnsi="Times New Roman"/>
          <w:b/>
          <w:spacing w:val="-2"/>
          <w:sz w:val="24"/>
          <w:szCs w:val="24"/>
          <w:lang w:val="en-GB"/>
        </w:rPr>
      </w:pPr>
      <w:r w:rsidRPr="00AC51AF">
        <w:rPr>
          <w:rStyle w:val="DefaultMargins"/>
          <w:rFonts w:ascii="Times New Roman" w:hAnsi="Times New Roman"/>
          <w:b/>
          <w:spacing w:val="-2"/>
          <w:sz w:val="24"/>
          <w:szCs w:val="24"/>
          <w:lang w:val="en-GB"/>
        </w:rPr>
        <w:t>9.</w:t>
      </w:r>
      <w:r w:rsidRPr="00AC51AF">
        <w:rPr>
          <w:rStyle w:val="DefaultMargins"/>
          <w:rFonts w:ascii="Times New Roman" w:hAnsi="Times New Roman"/>
          <w:b/>
          <w:spacing w:val="-2"/>
          <w:sz w:val="24"/>
          <w:szCs w:val="24"/>
          <w:lang w:val="en-GB"/>
        </w:rPr>
        <w:tab/>
        <w:t>Outlook for amendment of the proposal:</w:t>
      </w:r>
    </w:p>
    <w:p w:rsidR="006524F1" w:rsidRPr="00AC51AF" w:rsidRDefault="006524F1" w:rsidP="006524F1">
      <w:pPr>
        <w:rPr>
          <w:rStyle w:val="DefaultMargins"/>
          <w:rFonts w:ascii="Times New Roman" w:hAnsi="Times New Roman"/>
          <w:spacing w:val="-2"/>
          <w:sz w:val="24"/>
          <w:szCs w:val="24"/>
          <w:lang w:val="en-GB"/>
        </w:rPr>
      </w:pPr>
      <w:r w:rsidRPr="00AC51AF">
        <w:rPr>
          <w:rStyle w:val="DefaultMargins"/>
          <w:rFonts w:ascii="Times New Roman" w:hAnsi="Times New Roman"/>
          <w:spacing w:val="-2"/>
          <w:sz w:val="24"/>
          <w:szCs w:val="24"/>
          <w:lang w:val="en-GB"/>
        </w:rPr>
        <w:t>At this stage of the discussion, amendments may be discussed orally in the Council.</w:t>
      </w:r>
    </w:p>
    <w:p w:rsidR="006524F1" w:rsidRPr="00AC51AF" w:rsidRDefault="006524F1" w:rsidP="006524F1">
      <w:pPr>
        <w:rPr>
          <w:rStyle w:val="DefaultMargins"/>
          <w:rFonts w:ascii="Times New Roman" w:hAnsi="Times New Roman"/>
          <w:b/>
          <w:spacing w:val="-2"/>
          <w:sz w:val="24"/>
          <w:szCs w:val="24"/>
          <w:lang w:val="en-GB"/>
        </w:rPr>
      </w:pPr>
      <w:r w:rsidRPr="00AC51AF">
        <w:rPr>
          <w:rStyle w:val="DefaultMargins"/>
          <w:rFonts w:ascii="Times New Roman" w:hAnsi="Times New Roman"/>
          <w:b/>
          <w:spacing w:val="-2"/>
          <w:sz w:val="24"/>
          <w:szCs w:val="24"/>
          <w:lang w:val="en-GB"/>
        </w:rPr>
        <w:t>10.</w:t>
      </w:r>
      <w:r w:rsidRPr="00AC51AF">
        <w:rPr>
          <w:rStyle w:val="DefaultMargins"/>
          <w:rFonts w:ascii="Times New Roman" w:hAnsi="Times New Roman"/>
          <w:b/>
          <w:spacing w:val="-2"/>
          <w:sz w:val="24"/>
          <w:szCs w:val="24"/>
          <w:lang w:val="en-GB"/>
        </w:rPr>
        <w:tab/>
        <w:t>Outlook for the adoption of the proposal:</w:t>
      </w:r>
    </w:p>
    <w:p w:rsidR="006524F1" w:rsidRPr="00AC51AF" w:rsidRDefault="006524F1" w:rsidP="006524F1">
      <w:pPr>
        <w:rPr>
          <w:rStyle w:val="DefaultMargins"/>
          <w:rFonts w:ascii="Times New Roman" w:hAnsi="Times New Roman"/>
          <w:spacing w:val="-2"/>
          <w:sz w:val="24"/>
          <w:szCs w:val="24"/>
          <w:u w:val="single"/>
          <w:lang w:val="en-GB"/>
        </w:rPr>
      </w:pPr>
      <w:r w:rsidRPr="00AC51AF">
        <w:rPr>
          <w:rStyle w:val="DefaultMargins"/>
          <w:rFonts w:ascii="Times New Roman" w:hAnsi="Times New Roman"/>
          <w:spacing w:val="-2"/>
          <w:sz w:val="24"/>
          <w:szCs w:val="24"/>
          <w:lang w:val="en-GB"/>
        </w:rPr>
        <w:t>The proposal is still pending in the Council, where some Member States have reservation</w:t>
      </w:r>
      <w:r w:rsidR="00E62EB7" w:rsidRPr="00AC51AF">
        <w:rPr>
          <w:rStyle w:val="DefaultMargins"/>
          <w:rFonts w:ascii="Times New Roman" w:hAnsi="Times New Roman"/>
          <w:spacing w:val="-2"/>
          <w:sz w:val="24"/>
          <w:szCs w:val="24"/>
          <w:lang w:val="en-GB"/>
        </w:rPr>
        <w:t>s</w:t>
      </w:r>
      <w:r w:rsidRPr="00AC51AF">
        <w:rPr>
          <w:rStyle w:val="DefaultMargins"/>
          <w:rFonts w:ascii="Times New Roman" w:hAnsi="Times New Roman"/>
          <w:spacing w:val="-2"/>
          <w:sz w:val="24"/>
          <w:szCs w:val="24"/>
          <w:lang w:val="en-GB"/>
        </w:rPr>
        <w:t xml:space="preserve"> on other aspects of the package relat</w:t>
      </w:r>
      <w:r w:rsidR="00AC51AF" w:rsidRPr="00AC51AF">
        <w:rPr>
          <w:rStyle w:val="DefaultMargins"/>
          <w:rFonts w:ascii="Times New Roman" w:hAnsi="Times New Roman"/>
          <w:spacing w:val="-2"/>
          <w:sz w:val="24"/>
          <w:szCs w:val="24"/>
          <w:lang w:val="en-GB"/>
        </w:rPr>
        <w:t>ing</w:t>
      </w:r>
      <w:r w:rsidRPr="00AC51AF">
        <w:rPr>
          <w:rStyle w:val="DefaultMargins"/>
          <w:rFonts w:ascii="Times New Roman" w:hAnsi="Times New Roman"/>
          <w:spacing w:val="-2"/>
          <w:sz w:val="24"/>
          <w:szCs w:val="24"/>
          <w:lang w:val="en-GB"/>
        </w:rPr>
        <w:t xml:space="preserve"> to the Turkish Cypriot community. </w:t>
      </w:r>
    </w:p>
    <w:p w:rsidR="00B84281" w:rsidRPr="00AC51AF" w:rsidRDefault="006524F1" w:rsidP="00B84281">
      <w:pPr>
        <w:pStyle w:val="Initial"/>
        <w:tabs>
          <w:tab w:val="clear" w:pos="-720"/>
        </w:tabs>
        <w:spacing w:after="240"/>
        <w:jc w:val="left"/>
        <w:rPr>
          <w:lang w:val="en-GB"/>
        </w:rPr>
      </w:pPr>
      <w:r w:rsidRPr="00AC51AF">
        <w:rPr>
          <w:lang w:val="en-GB"/>
        </w:rPr>
        <w:br w:type="page"/>
      </w:r>
    </w:p>
    <w:p w:rsidR="00B84281" w:rsidRPr="00AC51AF" w:rsidRDefault="00B84281" w:rsidP="00B84281">
      <w:pPr>
        <w:jc w:val="center"/>
      </w:pPr>
      <w:r w:rsidRPr="00AC51AF">
        <w:rPr>
          <w:b/>
        </w:rPr>
        <w:t xml:space="preserve">CONSULTATION PROCEDURE REQUIRING A SINGLE </w:t>
      </w:r>
      <w:smartTag w:uri="urn:schemas-microsoft-com:office:smarttags" w:element="City">
        <w:smartTag w:uri="urn:schemas-microsoft-com:office:smarttags" w:element="place">
          <w:r w:rsidRPr="00AC51AF">
            <w:rPr>
              <w:b/>
            </w:rPr>
            <w:t>READING</w:t>
          </w:r>
        </w:smartTag>
      </w:smartTag>
    </w:p>
    <w:p w:rsidR="00B84281" w:rsidRPr="00AC51AF" w:rsidRDefault="00B84281" w:rsidP="00B84281">
      <w:pPr>
        <w:jc w:val="center"/>
        <w:rPr>
          <w:b/>
        </w:rPr>
      </w:pPr>
      <w:r w:rsidRPr="00AC51AF">
        <w:rPr>
          <w:b/>
        </w:rPr>
        <w:t xml:space="preserve">Commission proposal for a Council Decision amending Decision No </w:t>
      </w:r>
      <w:r w:rsidR="000E5171" w:rsidRPr="00AC51AF">
        <w:rPr>
          <w:b/>
        </w:rPr>
        <w:t xml:space="preserve">2002/463/EC adopting an action </w:t>
      </w:r>
      <w:r w:rsidRPr="00AC51AF">
        <w:rPr>
          <w:b/>
        </w:rPr>
        <w:t>programme for administrative cooperation in the fields of external borders, visa</w:t>
      </w:r>
      <w:r w:rsidR="00AC51AF" w:rsidRPr="00AC51AF">
        <w:rPr>
          <w:b/>
        </w:rPr>
        <w:t>s</w:t>
      </w:r>
      <w:r w:rsidRPr="00AC51AF">
        <w:rPr>
          <w:b/>
        </w:rPr>
        <w:t xml:space="preserve">, asylum and immigration (ARGO programme) </w:t>
      </w:r>
    </w:p>
    <w:p w:rsidR="00B84281" w:rsidRPr="00AC51AF" w:rsidRDefault="00B84281" w:rsidP="00B84281">
      <w:pPr>
        <w:jc w:val="left"/>
        <w:rPr>
          <w:b/>
        </w:rPr>
      </w:pPr>
    </w:p>
    <w:p w:rsidR="00B84281" w:rsidRPr="00AC51AF" w:rsidRDefault="00B84281" w:rsidP="00B84281">
      <w:pPr>
        <w:jc w:val="left"/>
      </w:pPr>
    </w:p>
    <w:p w:rsidR="00B84281" w:rsidRPr="004B449F" w:rsidRDefault="00B84281" w:rsidP="00B84281">
      <w:pPr>
        <w:rPr>
          <w:lang w:val="fr-FR"/>
        </w:rPr>
      </w:pPr>
      <w:r w:rsidRPr="004B449F">
        <w:rPr>
          <w:b/>
          <w:lang w:val="fr-FR"/>
        </w:rPr>
        <w:t>1.</w:t>
      </w:r>
      <w:r w:rsidRPr="004B449F">
        <w:rPr>
          <w:b/>
          <w:lang w:val="fr-FR"/>
        </w:rPr>
        <w:tab/>
        <w:t xml:space="preserve">Rapporteur: </w:t>
      </w:r>
      <w:r w:rsidRPr="004B449F">
        <w:rPr>
          <w:lang w:val="fr-FR"/>
        </w:rPr>
        <w:t>Martine Roure</w:t>
      </w:r>
    </w:p>
    <w:p w:rsidR="00B84281" w:rsidRPr="004B449F" w:rsidRDefault="00B84281" w:rsidP="00B84281">
      <w:pPr>
        <w:rPr>
          <w:lang w:val="fr-FR"/>
        </w:rPr>
      </w:pPr>
      <w:r w:rsidRPr="004B449F">
        <w:rPr>
          <w:b/>
          <w:lang w:val="fr-FR"/>
        </w:rPr>
        <w:t>2.</w:t>
      </w:r>
      <w:r w:rsidRPr="004B449F">
        <w:rPr>
          <w:b/>
          <w:lang w:val="fr-FR"/>
        </w:rPr>
        <w:tab/>
        <w:t xml:space="preserve">EP No: </w:t>
      </w:r>
      <w:r w:rsidRPr="004B449F">
        <w:rPr>
          <w:lang w:val="fr-FR"/>
        </w:rPr>
        <w:t>A6-0019/2004</w:t>
      </w:r>
    </w:p>
    <w:p w:rsidR="00B84281" w:rsidRPr="00AC51AF" w:rsidRDefault="00B84281" w:rsidP="00B84281">
      <w:r w:rsidRPr="00AC51AF">
        <w:rPr>
          <w:b/>
        </w:rPr>
        <w:t>3</w:t>
      </w:r>
      <w:r w:rsidR="000851F9" w:rsidRPr="00AC51AF">
        <w:rPr>
          <w:b/>
        </w:rPr>
        <w:t>.</w:t>
      </w:r>
      <w:r w:rsidR="000851F9" w:rsidRPr="00AC51AF">
        <w:rPr>
          <w:b/>
        </w:rPr>
        <w:tab/>
      </w:r>
      <w:r w:rsidRPr="00AC51AF">
        <w:rPr>
          <w:b/>
        </w:rPr>
        <w:t xml:space="preserve">Date of adoption of the report: </w:t>
      </w:r>
      <w:smartTag w:uri="urn:schemas-microsoft-com:office:smarttags" w:element="date">
        <w:smartTagPr>
          <w:attr w:name="Month" w:val="11"/>
          <w:attr w:name="Day" w:val="17"/>
          <w:attr w:name="Year" w:val="2004"/>
        </w:smartTagPr>
        <w:r w:rsidRPr="00AC51AF">
          <w:t>17 November 2004</w:t>
        </w:r>
      </w:smartTag>
    </w:p>
    <w:p w:rsidR="00B84281" w:rsidRPr="00AC51AF" w:rsidRDefault="00B84281" w:rsidP="00B84281">
      <w:r w:rsidRPr="00AC51AF">
        <w:rPr>
          <w:b/>
        </w:rPr>
        <w:t>4</w:t>
      </w:r>
      <w:r w:rsidR="000851F9" w:rsidRPr="00AC51AF">
        <w:rPr>
          <w:b/>
        </w:rPr>
        <w:t>.</w:t>
      </w:r>
      <w:r w:rsidR="000851F9" w:rsidRPr="00AC51AF">
        <w:rPr>
          <w:b/>
        </w:rPr>
        <w:tab/>
      </w:r>
      <w:r w:rsidRPr="00AC51AF">
        <w:rPr>
          <w:b/>
        </w:rPr>
        <w:t xml:space="preserve">Subject: </w:t>
      </w:r>
      <w:r w:rsidRPr="00AC51AF">
        <w:t>European Action Programme for administrative cooperation in the fields of external borders, visas, asylum and immigration (ARGO)</w:t>
      </w:r>
    </w:p>
    <w:p w:rsidR="00B84281" w:rsidRPr="00AC51AF" w:rsidRDefault="00B84281" w:rsidP="00B84281">
      <w:r w:rsidRPr="00AC51AF">
        <w:rPr>
          <w:b/>
        </w:rPr>
        <w:t>5</w:t>
      </w:r>
      <w:r w:rsidR="000851F9" w:rsidRPr="00AC51AF">
        <w:rPr>
          <w:b/>
        </w:rPr>
        <w:t>.</w:t>
      </w:r>
      <w:r w:rsidR="000851F9" w:rsidRPr="00AC51AF">
        <w:rPr>
          <w:b/>
        </w:rPr>
        <w:tab/>
      </w:r>
      <w:r w:rsidRPr="00AC51AF">
        <w:rPr>
          <w:b/>
        </w:rPr>
        <w:t>Inter-institutional references:</w:t>
      </w:r>
      <w:r w:rsidRPr="00AC51AF">
        <w:t xml:space="preserve"> </w:t>
      </w:r>
      <w:r w:rsidR="009121F0" w:rsidRPr="00AC51AF">
        <w:t>2004/</w:t>
      </w:r>
      <w:r w:rsidR="003D210C" w:rsidRPr="00AC51AF">
        <w:t>0</w:t>
      </w:r>
      <w:r w:rsidR="009121F0" w:rsidRPr="00AC51AF">
        <w:t>122(CNS)</w:t>
      </w:r>
    </w:p>
    <w:p w:rsidR="00B84281" w:rsidRPr="00AC51AF" w:rsidRDefault="00B84281" w:rsidP="00B84281">
      <w:r w:rsidRPr="00AC51AF">
        <w:rPr>
          <w:b/>
        </w:rPr>
        <w:t>6</w:t>
      </w:r>
      <w:r w:rsidR="000851F9" w:rsidRPr="00AC51AF">
        <w:rPr>
          <w:b/>
        </w:rPr>
        <w:t>.</w:t>
      </w:r>
      <w:r w:rsidR="000851F9" w:rsidRPr="00AC51AF">
        <w:rPr>
          <w:b/>
        </w:rPr>
        <w:tab/>
      </w:r>
      <w:r w:rsidRPr="00AC51AF">
        <w:rPr>
          <w:b/>
        </w:rPr>
        <w:t xml:space="preserve">Legal basis: </w:t>
      </w:r>
      <w:r w:rsidRPr="00AC51AF">
        <w:t>Article 66, TEC</w:t>
      </w:r>
    </w:p>
    <w:p w:rsidR="00B84281" w:rsidRPr="00AC51AF" w:rsidRDefault="00B84281" w:rsidP="00B84281">
      <w:pPr>
        <w:rPr>
          <w:b/>
        </w:rPr>
      </w:pPr>
      <w:r w:rsidRPr="00AC51AF">
        <w:rPr>
          <w:b/>
        </w:rPr>
        <w:t>7</w:t>
      </w:r>
      <w:r w:rsidR="000851F9" w:rsidRPr="00AC51AF">
        <w:rPr>
          <w:b/>
        </w:rPr>
        <w:t>.</w:t>
      </w:r>
      <w:r w:rsidR="000851F9" w:rsidRPr="00AC51AF">
        <w:rPr>
          <w:b/>
        </w:rPr>
        <w:tab/>
      </w:r>
      <w:r w:rsidRPr="00AC51AF">
        <w:rPr>
          <w:b/>
        </w:rPr>
        <w:t>Competent parliamentary committee:</w:t>
      </w:r>
    </w:p>
    <w:p w:rsidR="00B84281" w:rsidRPr="00AC51AF" w:rsidRDefault="00B84281" w:rsidP="00B84281">
      <w:r w:rsidRPr="00AC51AF">
        <w:t xml:space="preserve">Committee on </w:t>
      </w:r>
      <w:r w:rsidR="00586C9C" w:rsidRPr="00AC51AF">
        <w:t>Civil Liberties</w:t>
      </w:r>
      <w:r w:rsidRPr="00AC51AF">
        <w:t>, Justice and Home Affairs (LIBE)</w:t>
      </w:r>
    </w:p>
    <w:p w:rsidR="00B84281" w:rsidRPr="00AC51AF" w:rsidRDefault="00B84281" w:rsidP="00B84281">
      <w:pPr>
        <w:rPr>
          <w:b/>
        </w:rPr>
      </w:pPr>
      <w:r w:rsidRPr="00AC51AF">
        <w:rPr>
          <w:b/>
        </w:rPr>
        <w:t>8</w:t>
      </w:r>
      <w:r w:rsidR="000851F9" w:rsidRPr="00AC51AF">
        <w:rPr>
          <w:b/>
        </w:rPr>
        <w:t>.</w:t>
      </w:r>
      <w:r w:rsidR="000851F9" w:rsidRPr="00AC51AF">
        <w:rPr>
          <w:b/>
        </w:rPr>
        <w:tab/>
      </w:r>
      <w:r w:rsidRPr="00AC51AF">
        <w:rPr>
          <w:b/>
        </w:rPr>
        <w:t>Commission’s position:</w:t>
      </w:r>
    </w:p>
    <w:p w:rsidR="00B84281" w:rsidRPr="00AC51AF" w:rsidRDefault="00B84281" w:rsidP="00B84281">
      <w:pPr>
        <w:tabs>
          <w:tab w:val="left" w:pos="1380"/>
        </w:tabs>
      </w:pPr>
      <w:r w:rsidRPr="00AC51AF">
        <w:t xml:space="preserve">The Commission welcomed the full support of the LIBE Committee </w:t>
      </w:r>
      <w:r w:rsidR="00E62EB7" w:rsidRPr="00AC51AF">
        <w:t xml:space="preserve">for </w:t>
      </w:r>
      <w:r w:rsidRPr="00AC51AF">
        <w:t xml:space="preserve">its proposal, though </w:t>
      </w:r>
      <w:r w:rsidRPr="00AC51AF">
        <w:rPr>
          <w:u w:val="single"/>
        </w:rPr>
        <w:t xml:space="preserve">it does not formally accept the amendments proposed by the Committee and adopted by the EP in the Plenary Session of </w:t>
      </w:r>
      <w:smartTag w:uri="urn:schemas-microsoft-com:office:smarttags" w:element="date">
        <w:smartTagPr>
          <w:attr w:name="Month" w:val="11"/>
          <w:attr w:name="Day" w:val="17"/>
          <w:attr w:name="Year" w:val="2004"/>
        </w:smartTagPr>
        <w:r w:rsidRPr="00AC51AF">
          <w:rPr>
            <w:u w:val="single"/>
          </w:rPr>
          <w:t>17 November 2004</w:t>
        </w:r>
      </w:smartTag>
      <w:r w:rsidRPr="00AC51AF">
        <w:rPr>
          <w:u w:val="single"/>
        </w:rPr>
        <w:t>.</w:t>
      </w:r>
      <w:r w:rsidRPr="00AC51AF">
        <w:t xml:space="preserve"> The Commission is of the opinion that its proposal </w:t>
      </w:r>
      <w:r w:rsidR="00E62EB7" w:rsidRPr="00AC51AF">
        <w:t xml:space="preserve">adequately </w:t>
      </w:r>
      <w:r w:rsidRPr="00AC51AF">
        <w:t>reflects the objectives of the amendment of the ARGO Decision</w:t>
      </w:r>
      <w:r w:rsidR="00E62EB7" w:rsidRPr="00AC51AF">
        <w:t xml:space="preserve"> in making it easier for Member States to </w:t>
      </w:r>
      <w:r w:rsidR="00AC51AF" w:rsidRPr="00AC51AF">
        <w:t xml:space="preserve">gain </w:t>
      </w:r>
      <w:r w:rsidR="00E62EB7" w:rsidRPr="00AC51AF">
        <w:t xml:space="preserve">access </w:t>
      </w:r>
      <w:r w:rsidR="00AC51AF" w:rsidRPr="00AC51AF">
        <w:t xml:space="preserve">to </w:t>
      </w:r>
      <w:r w:rsidR="00E62EB7" w:rsidRPr="00AC51AF">
        <w:t>the Programme's grants</w:t>
      </w:r>
      <w:r w:rsidRPr="00AC51AF">
        <w:t>, which now cover purely national actions. However, the Commission committed itself informally to convert</w:t>
      </w:r>
      <w:r w:rsidR="00E62EB7" w:rsidRPr="00AC51AF">
        <w:t>ing</w:t>
      </w:r>
      <w:r w:rsidRPr="00AC51AF">
        <w:t xml:space="preserve"> the substance of the most important amendment proposed by the EP</w:t>
      </w:r>
      <w:r w:rsidR="00E62EB7" w:rsidRPr="00AC51AF">
        <w:t xml:space="preserve"> – </w:t>
      </w:r>
      <w:r w:rsidRPr="00AC51AF">
        <w:t xml:space="preserve">i.e. the annual ceiling </w:t>
      </w:r>
      <w:r w:rsidR="00FB53CD" w:rsidRPr="00AC51AF">
        <w:t>on</w:t>
      </w:r>
      <w:r w:rsidRPr="00AC51AF">
        <w:t xml:space="preserve"> funds allocated to these new actions</w:t>
      </w:r>
      <w:r w:rsidR="00E62EB7" w:rsidRPr="00AC51AF">
        <w:t xml:space="preserve"> –</w:t>
      </w:r>
      <w:r w:rsidRPr="00AC51AF">
        <w:t xml:space="preserve"> into a formal provision of the annual working programme of the ARGO Programme. In this way the EP position is taken on</w:t>
      </w:r>
      <w:r w:rsidR="00E62EB7" w:rsidRPr="00AC51AF">
        <w:t xml:space="preserve"> </w:t>
      </w:r>
      <w:r w:rsidRPr="00AC51AF">
        <w:t xml:space="preserve">board without </w:t>
      </w:r>
      <w:r w:rsidR="00E62EB7" w:rsidRPr="00AC51AF">
        <w:t xml:space="preserve">formally </w:t>
      </w:r>
      <w:r w:rsidRPr="00AC51AF">
        <w:t>amending the proposal.</w:t>
      </w:r>
    </w:p>
    <w:p w:rsidR="00B84281" w:rsidRPr="00AC51AF" w:rsidRDefault="00B84281" w:rsidP="00B84281">
      <w:pPr>
        <w:tabs>
          <w:tab w:val="left" w:pos="1380"/>
        </w:tabs>
      </w:pPr>
      <w:r w:rsidRPr="00AC51AF">
        <w:t>The EP amendments are described</w:t>
      </w:r>
      <w:r w:rsidR="00E62EB7" w:rsidRPr="00AC51AF">
        <w:t xml:space="preserve"> below</w:t>
      </w:r>
      <w:r w:rsidRPr="00AC51AF">
        <w:t>.</w:t>
      </w:r>
    </w:p>
    <w:p w:rsidR="00B84281" w:rsidRPr="00AC51AF" w:rsidRDefault="00B84281" w:rsidP="00B84281">
      <w:pPr>
        <w:tabs>
          <w:tab w:val="left" w:pos="1380"/>
        </w:tabs>
        <w:rPr>
          <w:u w:val="single"/>
        </w:rPr>
      </w:pPr>
      <w:r w:rsidRPr="00AC51AF">
        <w:rPr>
          <w:u w:val="single"/>
        </w:rPr>
        <w:t xml:space="preserve">1. Amendment 1 aims to delete recital 4, mentioning the </w:t>
      </w:r>
      <w:r w:rsidR="00AC51AF" w:rsidRPr="00AC51AF">
        <w:rPr>
          <w:u w:val="single"/>
        </w:rPr>
        <w:t>substantial</w:t>
      </w:r>
      <w:r w:rsidRPr="00AC51AF">
        <w:rPr>
          <w:u w:val="single"/>
        </w:rPr>
        <w:t xml:space="preserve"> increase</w:t>
      </w:r>
      <w:r w:rsidR="00E62EB7" w:rsidRPr="00AC51AF">
        <w:rPr>
          <w:u w:val="single"/>
        </w:rPr>
        <w:t xml:space="preserve"> in</w:t>
      </w:r>
      <w:r w:rsidRPr="00AC51AF">
        <w:rPr>
          <w:u w:val="single"/>
        </w:rPr>
        <w:t xml:space="preserve"> ARGO Programme funds for the external borders in 2004.</w:t>
      </w:r>
    </w:p>
    <w:p w:rsidR="00B84281" w:rsidRPr="00AC51AF" w:rsidRDefault="00B84281" w:rsidP="00B84281">
      <w:pPr>
        <w:tabs>
          <w:tab w:val="left" w:pos="1380"/>
        </w:tabs>
      </w:pPr>
      <w:r w:rsidRPr="00AC51AF">
        <w:rPr>
          <w:b/>
        </w:rPr>
        <w:t xml:space="preserve">The Commission </w:t>
      </w:r>
      <w:r w:rsidRPr="00AC51AF">
        <w:t>cannot agree to the amendment proposed by Parliament, though it was considered acceptable. The reference to the increase is a political statement, fully compatible with the rest of the proposal.</w:t>
      </w:r>
    </w:p>
    <w:p w:rsidR="00B84281" w:rsidRPr="00AC51AF" w:rsidRDefault="00B84281" w:rsidP="00B84281">
      <w:pPr>
        <w:tabs>
          <w:tab w:val="left" w:pos="1380"/>
        </w:tabs>
        <w:rPr>
          <w:u w:val="single"/>
        </w:rPr>
      </w:pPr>
      <w:r w:rsidRPr="00AC51AF">
        <w:rPr>
          <w:u w:val="single"/>
        </w:rPr>
        <w:lastRenderedPageBreak/>
        <w:t xml:space="preserve">2. Amendment 2 to recital 5 to introduce a reference to </w:t>
      </w:r>
      <w:r w:rsidR="00AC51AF" w:rsidRPr="00AC51AF">
        <w:rPr>
          <w:u w:val="single"/>
        </w:rPr>
        <w:t>facilitating</w:t>
      </w:r>
      <w:r w:rsidRPr="00AC51AF">
        <w:rPr>
          <w:u w:val="single"/>
        </w:rPr>
        <w:t xml:space="preserve"> the national services’ access to ARGO funds.</w:t>
      </w:r>
    </w:p>
    <w:p w:rsidR="00B84281" w:rsidRPr="00AC51AF" w:rsidRDefault="00B84281" w:rsidP="00B84281">
      <w:pPr>
        <w:tabs>
          <w:tab w:val="left" w:pos="1380"/>
        </w:tabs>
      </w:pPr>
      <w:r w:rsidRPr="00AC51AF">
        <w:rPr>
          <w:b/>
        </w:rPr>
        <w:t xml:space="preserve">The Commission considers </w:t>
      </w:r>
      <w:r w:rsidRPr="00AC51AF">
        <w:t xml:space="preserve">this reference to accessibility as redundant and cannot agree to the amendment proposed by Parliament because </w:t>
      </w:r>
      <w:r w:rsidR="00E62EB7" w:rsidRPr="00AC51AF">
        <w:t>facilitating</w:t>
      </w:r>
      <w:r w:rsidRPr="00AC51AF">
        <w:t xml:space="preserve"> M</w:t>
      </w:r>
      <w:r w:rsidR="00AC51AF" w:rsidRPr="00AC51AF">
        <w:t xml:space="preserve">ember </w:t>
      </w:r>
      <w:r w:rsidRPr="00AC51AF">
        <w:t>S</w:t>
      </w:r>
      <w:r w:rsidR="00AC51AF" w:rsidRPr="00AC51AF">
        <w:t>tate</w:t>
      </w:r>
      <w:r w:rsidRPr="00AC51AF">
        <w:t>s</w:t>
      </w:r>
      <w:r w:rsidR="00E62EB7" w:rsidRPr="00AC51AF">
        <w:t>’</w:t>
      </w:r>
      <w:r w:rsidRPr="00AC51AF">
        <w:t xml:space="preserve"> access to ARGO funds is the very reason </w:t>
      </w:r>
      <w:r w:rsidR="00E62EB7" w:rsidRPr="00AC51AF">
        <w:t xml:space="preserve">for </w:t>
      </w:r>
      <w:r w:rsidRPr="00AC51AF">
        <w:t xml:space="preserve">the </w:t>
      </w:r>
      <w:r w:rsidR="00E62EB7" w:rsidRPr="00AC51AF">
        <w:t xml:space="preserve">reform of the </w:t>
      </w:r>
      <w:r w:rsidRPr="00AC51AF">
        <w:t>ARGO decision.</w:t>
      </w:r>
    </w:p>
    <w:p w:rsidR="00B84281" w:rsidRPr="00AC51AF" w:rsidRDefault="00B84281" w:rsidP="00B84281">
      <w:pPr>
        <w:tabs>
          <w:tab w:val="left" w:pos="1380"/>
        </w:tabs>
        <w:rPr>
          <w:u w:val="single"/>
        </w:rPr>
      </w:pPr>
      <w:r w:rsidRPr="00AC51AF">
        <w:rPr>
          <w:u w:val="single"/>
        </w:rPr>
        <w:t>3) Amendment to in</w:t>
      </w:r>
      <w:r w:rsidR="00AC51AF" w:rsidRPr="00AC51AF">
        <w:rPr>
          <w:u w:val="single"/>
        </w:rPr>
        <w:t>corpo</w:t>
      </w:r>
      <w:r w:rsidRPr="00AC51AF">
        <w:rPr>
          <w:u w:val="single"/>
        </w:rPr>
        <w:t xml:space="preserve">rate a new recital </w:t>
      </w:r>
      <w:r w:rsidR="00E62EB7" w:rsidRPr="00AC51AF">
        <w:rPr>
          <w:u w:val="single"/>
        </w:rPr>
        <w:t xml:space="preserve">6a </w:t>
      </w:r>
      <w:r w:rsidR="00AF3420" w:rsidRPr="00AC51AF">
        <w:rPr>
          <w:u w:val="single"/>
        </w:rPr>
        <w:t>underlining</w:t>
      </w:r>
      <w:r w:rsidRPr="00AC51AF">
        <w:rPr>
          <w:u w:val="single"/>
        </w:rPr>
        <w:t xml:space="preserve"> the need for </w:t>
      </w:r>
      <w:r w:rsidR="00A165B6" w:rsidRPr="00AC51AF">
        <w:rPr>
          <w:u w:val="single"/>
        </w:rPr>
        <w:t xml:space="preserve">national actions to provide </w:t>
      </w:r>
      <w:r w:rsidRPr="00AC51AF">
        <w:rPr>
          <w:u w:val="single"/>
        </w:rPr>
        <w:t xml:space="preserve">added value and </w:t>
      </w:r>
      <w:r w:rsidR="00A165B6" w:rsidRPr="00AC51AF">
        <w:rPr>
          <w:u w:val="single"/>
        </w:rPr>
        <w:t>set</w:t>
      </w:r>
      <w:r w:rsidR="00AF3420" w:rsidRPr="00AC51AF">
        <w:rPr>
          <w:u w:val="single"/>
        </w:rPr>
        <w:t>ting</w:t>
      </w:r>
      <w:r w:rsidR="00A165B6" w:rsidRPr="00AC51AF">
        <w:rPr>
          <w:u w:val="single"/>
        </w:rPr>
        <w:t xml:space="preserve"> </w:t>
      </w:r>
      <w:r w:rsidRPr="00AC51AF">
        <w:rPr>
          <w:u w:val="single"/>
        </w:rPr>
        <w:t xml:space="preserve">the annual ceiling </w:t>
      </w:r>
      <w:r w:rsidR="00FB53CD" w:rsidRPr="00AC51AF">
        <w:rPr>
          <w:u w:val="single"/>
        </w:rPr>
        <w:t>on</w:t>
      </w:r>
      <w:r w:rsidRPr="00AC51AF">
        <w:rPr>
          <w:u w:val="single"/>
        </w:rPr>
        <w:t xml:space="preserve"> funds allocated </w:t>
      </w:r>
      <w:r w:rsidR="00FB53CD" w:rsidRPr="00AC51AF">
        <w:rPr>
          <w:u w:val="single"/>
        </w:rPr>
        <w:t>to such actions</w:t>
      </w:r>
      <w:r w:rsidRPr="00AC51AF">
        <w:rPr>
          <w:u w:val="single"/>
        </w:rPr>
        <w:t>.</w:t>
      </w:r>
    </w:p>
    <w:p w:rsidR="00B84281" w:rsidRPr="00AC51AF" w:rsidRDefault="00B84281" w:rsidP="00B84281">
      <w:pPr>
        <w:tabs>
          <w:tab w:val="left" w:pos="1380"/>
        </w:tabs>
      </w:pPr>
      <w:r w:rsidRPr="00AC51AF">
        <w:rPr>
          <w:b/>
        </w:rPr>
        <w:t xml:space="preserve">Though the Commission does not </w:t>
      </w:r>
      <w:r w:rsidR="00AC51AF" w:rsidRPr="00AC51AF">
        <w:rPr>
          <w:b/>
        </w:rPr>
        <w:t>accept</w:t>
      </w:r>
      <w:r w:rsidRPr="00AC51AF">
        <w:rPr>
          <w:b/>
        </w:rPr>
        <w:t xml:space="preserve"> </w:t>
      </w:r>
      <w:r w:rsidRPr="00AC51AF">
        <w:t xml:space="preserve">the amendment proposed by Parliament, it is ready to </w:t>
      </w:r>
      <w:r w:rsidR="00A165B6" w:rsidRPr="00AC51AF">
        <w:t>give it due consideration</w:t>
      </w:r>
      <w:r w:rsidRPr="00AC51AF">
        <w:t xml:space="preserve"> in drafting the annual work programme. </w:t>
      </w:r>
    </w:p>
    <w:p w:rsidR="00B84281" w:rsidRPr="00AC51AF" w:rsidRDefault="00B84281" w:rsidP="00B84281">
      <w:pPr>
        <w:tabs>
          <w:tab w:val="left" w:pos="1380"/>
        </w:tabs>
        <w:rPr>
          <w:u w:val="single"/>
        </w:rPr>
      </w:pPr>
      <w:r w:rsidRPr="00AC51AF">
        <w:rPr>
          <w:u w:val="single"/>
        </w:rPr>
        <w:t xml:space="preserve">4) Amendment to Article 1.1 of the proposal to insert mention </w:t>
      </w:r>
      <w:r w:rsidR="00A165B6" w:rsidRPr="00AC51AF">
        <w:rPr>
          <w:u w:val="single"/>
        </w:rPr>
        <w:t xml:space="preserve">of </w:t>
      </w:r>
      <w:r w:rsidRPr="00AC51AF">
        <w:rPr>
          <w:u w:val="single"/>
        </w:rPr>
        <w:t>the EU added value of new national actions.</w:t>
      </w:r>
    </w:p>
    <w:p w:rsidR="00B84281" w:rsidRPr="00AC51AF" w:rsidRDefault="00B84281" w:rsidP="00B84281">
      <w:pPr>
        <w:tabs>
          <w:tab w:val="left" w:pos="1380"/>
        </w:tabs>
      </w:pPr>
      <w:r w:rsidRPr="00AC51AF">
        <w:rPr>
          <w:b/>
        </w:rPr>
        <w:t xml:space="preserve">The Commission </w:t>
      </w:r>
      <w:r w:rsidRPr="00AC51AF">
        <w:t>cannot agree to the amendment proposed by the European Parliament, as it is redu</w:t>
      </w:r>
      <w:r w:rsidR="00AC51AF" w:rsidRPr="00AC51AF">
        <w:t>ndant since the added value of both t</w:t>
      </w:r>
      <w:r w:rsidRPr="00AC51AF">
        <w:t xml:space="preserve">he old </w:t>
      </w:r>
      <w:r w:rsidR="00AC51AF" w:rsidRPr="00AC51AF">
        <w:t>and</w:t>
      </w:r>
      <w:r w:rsidRPr="00AC51AF">
        <w:t xml:space="preserve"> the new actions is a necessary requirement for the selection of the national actions submitted for grants.</w:t>
      </w:r>
    </w:p>
    <w:p w:rsidR="00B84281" w:rsidRPr="00AC51AF" w:rsidRDefault="00B84281" w:rsidP="00B84281">
      <w:pPr>
        <w:tabs>
          <w:tab w:val="left" w:pos="1380"/>
        </w:tabs>
      </w:pPr>
      <w:r w:rsidRPr="00AC51AF">
        <w:t xml:space="preserve">5) Amendment 5 aims to insert in Article 1, paragraph 3, a) </w:t>
      </w:r>
      <w:r w:rsidR="00A165B6" w:rsidRPr="00AC51AF">
        <w:t xml:space="preserve">a </w:t>
      </w:r>
      <w:r w:rsidRPr="00AC51AF">
        <w:t xml:space="preserve">reference to the annual ceiling </w:t>
      </w:r>
      <w:r w:rsidR="00FB53CD" w:rsidRPr="00AC51AF">
        <w:t>on</w:t>
      </w:r>
      <w:r w:rsidRPr="00AC51AF">
        <w:t xml:space="preserve"> funds allocated to new national actions.</w:t>
      </w:r>
    </w:p>
    <w:p w:rsidR="00B84281" w:rsidRPr="00AC51AF" w:rsidRDefault="00B84281" w:rsidP="00B84281">
      <w:pPr>
        <w:tabs>
          <w:tab w:val="left" w:pos="1380"/>
        </w:tabs>
      </w:pPr>
      <w:r w:rsidRPr="00AC51AF">
        <w:t xml:space="preserve">The Commission cannot accept the amendment suggested by Parliament and </w:t>
      </w:r>
      <w:r w:rsidR="00A165B6" w:rsidRPr="00AC51AF">
        <w:t xml:space="preserve">proposes </w:t>
      </w:r>
      <w:r w:rsidRPr="00AC51AF">
        <w:t xml:space="preserve">to take it into account with a specific reference to the “ceiling” </w:t>
      </w:r>
      <w:r w:rsidR="00FB53CD" w:rsidRPr="00AC51AF">
        <w:t xml:space="preserve">on </w:t>
      </w:r>
      <w:r w:rsidRPr="00AC51AF">
        <w:t xml:space="preserve">these funds in the </w:t>
      </w:r>
      <w:r w:rsidR="00AC51AF" w:rsidRPr="00AC51AF">
        <w:t>a</w:t>
      </w:r>
      <w:r w:rsidRPr="00AC51AF">
        <w:t xml:space="preserve">nnual </w:t>
      </w:r>
      <w:r w:rsidR="00AC51AF" w:rsidRPr="00AC51AF">
        <w:t>w</w:t>
      </w:r>
      <w:r w:rsidRPr="00AC51AF">
        <w:t xml:space="preserve">orking </w:t>
      </w:r>
      <w:r w:rsidR="00AC51AF" w:rsidRPr="00AC51AF">
        <w:t>p</w:t>
      </w:r>
      <w:r w:rsidRPr="00AC51AF">
        <w:t xml:space="preserve">rogramme, so as to </w:t>
      </w:r>
      <w:r w:rsidR="00FB53CD" w:rsidRPr="00AC51AF">
        <w:t xml:space="preserve">achieve </w:t>
      </w:r>
      <w:r w:rsidRPr="00AC51AF">
        <w:t>the same objective.</w:t>
      </w:r>
    </w:p>
    <w:p w:rsidR="00B84281" w:rsidRPr="00AC51AF" w:rsidRDefault="00B84281" w:rsidP="00B84281">
      <w:pPr>
        <w:rPr>
          <w:b/>
        </w:rPr>
      </w:pPr>
      <w:r w:rsidRPr="00AC51AF">
        <w:rPr>
          <w:b/>
        </w:rPr>
        <w:t>9</w:t>
      </w:r>
      <w:r w:rsidR="000851F9" w:rsidRPr="00AC51AF">
        <w:rPr>
          <w:b/>
        </w:rPr>
        <w:t>.</w:t>
      </w:r>
      <w:r w:rsidR="000851F9" w:rsidRPr="00AC51AF">
        <w:rPr>
          <w:b/>
        </w:rPr>
        <w:tab/>
      </w:r>
      <w:r w:rsidRPr="00AC51AF">
        <w:rPr>
          <w:b/>
        </w:rPr>
        <w:t>Outlook for amendment of the proposal:</w:t>
      </w:r>
    </w:p>
    <w:p w:rsidR="00B84281" w:rsidRPr="00AC51AF" w:rsidRDefault="00B84281" w:rsidP="00B84281">
      <w:r w:rsidRPr="00AC51AF">
        <w:t xml:space="preserve">There was agreement within the Council to </w:t>
      </w:r>
      <w:r w:rsidR="00AC51AF" w:rsidRPr="00AC51AF">
        <w:t>accept</w:t>
      </w:r>
      <w:r w:rsidRPr="00AC51AF">
        <w:t xml:space="preserve"> two amendments proposed by the European Parliament: the first one deals with the recital covering the establishment of an annual ceiling </w:t>
      </w:r>
      <w:r w:rsidR="00FB53CD" w:rsidRPr="00AC51AF">
        <w:t>on</w:t>
      </w:r>
      <w:r w:rsidRPr="00AC51AF">
        <w:t xml:space="preserve"> funds </w:t>
      </w:r>
      <w:r w:rsidR="00FB53CD" w:rsidRPr="00AC51AF">
        <w:t xml:space="preserve">allocated </w:t>
      </w:r>
      <w:r w:rsidRPr="00AC51AF">
        <w:t xml:space="preserve">to new national actions and the second aims to insert in Article 1, paragraph 3, a) of the amending decision </w:t>
      </w:r>
      <w:r w:rsidR="00A165B6" w:rsidRPr="00AC51AF">
        <w:t xml:space="preserve">a </w:t>
      </w:r>
      <w:r w:rsidRPr="00AC51AF">
        <w:t xml:space="preserve">reference to the ceiling </w:t>
      </w:r>
      <w:r w:rsidR="00FB53CD" w:rsidRPr="00AC51AF">
        <w:t>on</w:t>
      </w:r>
      <w:r w:rsidRPr="00AC51AF">
        <w:t xml:space="preserve"> funds for these new national actions in the annual budget. Similarly, there will be a reference to the application of the comitology consultative procedure for the selection of the actions.</w:t>
      </w:r>
    </w:p>
    <w:p w:rsidR="00B84281" w:rsidRPr="00AC51AF" w:rsidRDefault="00B84281" w:rsidP="00B84281">
      <w:pPr>
        <w:rPr>
          <w:b/>
        </w:rPr>
      </w:pPr>
      <w:r w:rsidRPr="00AC51AF">
        <w:rPr>
          <w:b/>
        </w:rPr>
        <w:t>10</w:t>
      </w:r>
      <w:r w:rsidR="000851F9" w:rsidRPr="00AC51AF">
        <w:rPr>
          <w:b/>
        </w:rPr>
        <w:t>.</w:t>
      </w:r>
      <w:r w:rsidR="000851F9" w:rsidRPr="00AC51AF">
        <w:rPr>
          <w:b/>
        </w:rPr>
        <w:tab/>
      </w:r>
      <w:r w:rsidRPr="00AC51AF">
        <w:rPr>
          <w:b/>
        </w:rPr>
        <w:t>Outlook for the adoption of the proposal:</w:t>
      </w:r>
    </w:p>
    <w:p w:rsidR="00B84281" w:rsidRPr="005A6938" w:rsidRDefault="00AC51AF" w:rsidP="00B84281">
      <w:r w:rsidRPr="00AC51AF">
        <w:t>A</w:t>
      </w:r>
      <w:r w:rsidR="00B84281" w:rsidRPr="00AC51AF">
        <w:t xml:space="preserve">greement on the modified text </w:t>
      </w:r>
      <w:r w:rsidRPr="00AC51AF">
        <w:t xml:space="preserve">having been reached </w:t>
      </w:r>
      <w:r w:rsidR="00B84281" w:rsidRPr="00AC51AF">
        <w:t>at the JHA Counsellors</w:t>
      </w:r>
      <w:r w:rsidRPr="00AC51AF">
        <w:t>’ meeting</w:t>
      </w:r>
      <w:r w:rsidR="00B84281" w:rsidRPr="00AC51AF">
        <w:t xml:space="preserve"> on </w:t>
      </w:r>
      <w:smartTag w:uri="urn:schemas-microsoft-com:office:smarttags" w:element="date">
        <w:smartTagPr>
          <w:attr w:name="Month" w:val="11"/>
          <w:attr w:name="Day" w:val="22"/>
          <w:attr w:name="Year" w:val="2004"/>
        </w:smartTagPr>
        <w:r w:rsidR="00B84281" w:rsidRPr="00AC51AF">
          <w:t>22 November 2004</w:t>
        </w:r>
      </w:smartTag>
      <w:r w:rsidR="00B84281" w:rsidRPr="00AC51AF">
        <w:t>, the text has been sent to the linguist</w:t>
      </w:r>
      <w:r w:rsidRPr="00AC51AF">
        <w:t>s</w:t>
      </w:r>
      <w:r w:rsidR="00B84281" w:rsidRPr="00AC51AF">
        <w:t xml:space="preserve"> before going to COREPER and to the Council, which is expected to formally adopt the proposal in December 2004.</w:t>
      </w:r>
    </w:p>
    <w:p w:rsidR="00C345D1" w:rsidRPr="005A6938" w:rsidRDefault="00E07C66" w:rsidP="00C345D1">
      <w:pPr>
        <w:spacing w:before="100" w:beforeAutospacing="1" w:after="100" w:afterAutospacing="1"/>
      </w:pPr>
      <w:r w:rsidRPr="005A6938">
        <w:br w:type="page"/>
      </w:r>
    </w:p>
    <w:p w:rsidR="00557DE1" w:rsidRPr="005A6938" w:rsidRDefault="00557DE1"/>
    <w:p w:rsidR="0063420F" w:rsidRPr="005A6938" w:rsidRDefault="0063420F">
      <w:pPr>
        <w:jc w:val="center"/>
        <w:rPr>
          <w:b/>
          <w:sz w:val="48"/>
        </w:rPr>
      </w:pPr>
    </w:p>
    <w:p w:rsidR="0063420F" w:rsidRPr="005A6938" w:rsidRDefault="0063420F">
      <w:pPr>
        <w:jc w:val="center"/>
        <w:rPr>
          <w:b/>
          <w:sz w:val="48"/>
        </w:rPr>
      </w:pPr>
    </w:p>
    <w:p w:rsidR="0063420F" w:rsidRPr="005A6938" w:rsidRDefault="0063420F">
      <w:pPr>
        <w:jc w:val="center"/>
        <w:rPr>
          <w:b/>
          <w:sz w:val="48"/>
        </w:rPr>
      </w:pPr>
    </w:p>
    <w:p w:rsidR="0063420F" w:rsidRPr="005A6938" w:rsidRDefault="0063420F">
      <w:pPr>
        <w:jc w:val="center"/>
        <w:rPr>
          <w:b/>
          <w:sz w:val="48"/>
        </w:rPr>
      </w:pPr>
    </w:p>
    <w:p w:rsidR="0063420F" w:rsidRPr="005A6938" w:rsidRDefault="0063420F">
      <w:pPr>
        <w:jc w:val="center"/>
        <w:rPr>
          <w:b/>
          <w:sz w:val="48"/>
        </w:rPr>
      </w:pPr>
    </w:p>
    <w:p w:rsidR="0063420F" w:rsidRPr="005A6938" w:rsidRDefault="003B4EAD">
      <w:pPr>
        <w:jc w:val="center"/>
        <w:rPr>
          <w:b/>
          <w:sz w:val="48"/>
        </w:rPr>
      </w:pPr>
      <w:r>
        <w:rPr>
          <w:b/>
          <w:sz w:val="48"/>
        </w:rPr>
        <w:t>Part Two</w:t>
      </w:r>
      <w:r w:rsidR="0063420F" w:rsidRPr="005A6938">
        <w:rPr>
          <w:b/>
          <w:sz w:val="48"/>
        </w:rPr>
        <w:br/>
      </w:r>
      <w:r>
        <w:rPr>
          <w:b/>
          <w:sz w:val="48"/>
        </w:rPr>
        <w:t>Non-Legislative Resolutions</w:t>
      </w:r>
    </w:p>
    <w:p w:rsidR="0063420F" w:rsidRPr="005A6938" w:rsidRDefault="0063420F">
      <w:pPr>
        <w:spacing w:after="0"/>
        <w:jc w:val="center"/>
        <w:rPr>
          <w:sz w:val="22"/>
        </w:rPr>
      </w:pPr>
      <w:r w:rsidRPr="005A6938">
        <w:br w:type="page"/>
      </w:r>
    </w:p>
    <w:p w:rsidR="00E06C80" w:rsidRPr="005A6938" w:rsidRDefault="001E4AF0" w:rsidP="001E4AF0">
      <w:pPr>
        <w:spacing w:after="0"/>
        <w:jc w:val="center"/>
        <w:rPr>
          <w:sz w:val="22"/>
        </w:rPr>
      </w:pPr>
      <w:r>
        <w:rPr>
          <w:b/>
          <w:bCs/>
          <w:color w:val="000000"/>
          <w:sz w:val="22"/>
          <w:szCs w:val="22"/>
        </w:rPr>
        <w:t>THE COMMISSION DOES NOT INTEND TO RESPOND FORMALLY TO THE FOLLOWING NON-LEGISLATIVE RESOLUTIONS ADOPTED BY THE EUROPEAN PARLIAMENT DURING THE NOVEMBER 2004 PART-SESSION</w:t>
      </w:r>
    </w:p>
    <w:p w:rsidR="007B5CDA" w:rsidRPr="005A6938" w:rsidRDefault="007B5CDA">
      <w:pPr>
        <w:spacing w:after="0"/>
        <w:rPr>
          <w:sz w:val="22"/>
        </w:rPr>
      </w:pPr>
    </w:p>
    <w:p w:rsidR="007B5CDA" w:rsidRPr="005A6938" w:rsidRDefault="007B5CDA">
      <w:pPr>
        <w:spacing w:after="0"/>
        <w:rPr>
          <w:sz w:val="22"/>
          <w:szCs w:val="22"/>
        </w:rPr>
      </w:pPr>
    </w:p>
    <w:p w:rsidR="00F866A1" w:rsidRPr="005A6938" w:rsidRDefault="00F866A1" w:rsidP="002D378E">
      <w:pPr>
        <w:spacing w:after="0"/>
        <w:rPr>
          <w:sz w:val="22"/>
          <w:szCs w:val="22"/>
        </w:rPr>
      </w:pPr>
      <w:r w:rsidRPr="005A6938">
        <w:rPr>
          <w:sz w:val="22"/>
          <w:szCs w:val="22"/>
        </w:rPr>
        <w:t>-</w:t>
      </w:r>
      <w:r w:rsidRPr="005A6938">
        <w:rPr>
          <w:sz w:val="22"/>
          <w:szCs w:val="22"/>
        </w:rPr>
        <w:tab/>
      </w:r>
      <w:r w:rsidR="00CE51F8">
        <w:rPr>
          <w:sz w:val="22"/>
          <w:szCs w:val="22"/>
        </w:rPr>
        <w:t xml:space="preserve">European Parliament resolution on </w:t>
      </w:r>
      <w:smartTag w:uri="urn:schemas-microsoft-com:office:smarttags" w:element="country-region">
        <w:smartTag w:uri="urn:schemas-microsoft-com:office:smarttags" w:element="place">
          <w:r w:rsidR="00CE51F8">
            <w:rPr>
              <w:sz w:val="22"/>
              <w:szCs w:val="22"/>
            </w:rPr>
            <w:t>Cuba</w:t>
          </w:r>
        </w:smartTag>
      </w:smartTag>
    </w:p>
    <w:p w:rsidR="00F866A1" w:rsidRPr="005A6938" w:rsidRDefault="00F866A1" w:rsidP="002D378E">
      <w:pPr>
        <w:spacing w:after="0"/>
        <w:rPr>
          <w:sz w:val="22"/>
          <w:szCs w:val="22"/>
        </w:rPr>
      </w:pPr>
      <w:r w:rsidRPr="005A6938">
        <w:rPr>
          <w:sz w:val="22"/>
          <w:szCs w:val="22"/>
        </w:rPr>
        <w:t>(</w:t>
      </w:r>
      <w:r w:rsidR="00CE51F8">
        <w:rPr>
          <w:sz w:val="22"/>
          <w:szCs w:val="22"/>
        </w:rPr>
        <w:t>EP</w:t>
      </w:r>
      <w:r w:rsidRPr="005A6938">
        <w:rPr>
          <w:sz w:val="22"/>
          <w:szCs w:val="22"/>
        </w:rPr>
        <w:t> : B6-0156/04)</w:t>
      </w:r>
    </w:p>
    <w:p w:rsidR="00F866A1" w:rsidRPr="004B449F" w:rsidRDefault="00CE51F8" w:rsidP="002D378E">
      <w:pPr>
        <w:spacing w:after="0"/>
        <w:rPr>
          <w:sz w:val="22"/>
          <w:szCs w:val="22"/>
          <w:lang w:val="fr-FR"/>
        </w:rPr>
      </w:pPr>
      <w:r w:rsidRPr="004B449F">
        <w:rPr>
          <w:sz w:val="22"/>
          <w:szCs w:val="22"/>
          <w:lang w:val="fr-FR"/>
        </w:rPr>
        <w:t>Minutes, Part 2</w:t>
      </w:r>
      <w:r w:rsidR="00F866A1" w:rsidRPr="004B449F">
        <w:rPr>
          <w:sz w:val="22"/>
          <w:szCs w:val="22"/>
          <w:lang w:val="fr-FR"/>
        </w:rPr>
        <w:t xml:space="preserve">, </w:t>
      </w:r>
      <w:r w:rsidRPr="004B449F">
        <w:rPr>
          <w:sz w:val="22"/>
          <w:szCs w:val="22"/>
          <w:lang w:val="fr-FR"/>
        </w:rPr>
        <w:t xml:space="preserve">17 November </w:t>
      </w:r>
      <w:r w:rsidR="00F866A1" w:rsidRPr="004B449F">
        <w:rPr>
          <w:sz w:val="22"/>
          <w:szCs w:val="22"/>
          <w:lang w:val="fr-FR"/>
        </w:rPr>
        <w:t>2004</w:t>
      </w:r>
    </w:p>
    <w:p w:rsidR="00F866A1" w:rsidRPr="004B449F" w:rsidRDefault="00F866A1" w:rsidP="002D378E">
      <w:pPr>
        <w:spacing w:after="0"/>
        <w:rPr>
          <w:sz w:val="22"/>
          <w:szCs w:val="22"/>
          <w:lang w:val="fr-FR"/>
        </w:rPr>
      </w:pPr>
      <w:r w:rsidRPr="004B449F">
        <w:rPr>
          <w:sz w:val="22"/>
          <w:szCs w:val="22"/>
          <w:lang w:val="fr-FR"/>
        </w:rPr>
        <w:t>Comp</w:t>
      </w:r>
      <w:r w:rsidR="00CE51F8" w:rsidRPr="004B449F">
        <w:rPr>
          <w:sz w:val="22"/>
          <w:szCs w:val="22"/>
          <w:lang w:val="fr-FR"/>
        </w:rPr>
        <w:t>e</w:t>
      </w:r>
      <w:r w:rsidRPr="004B449F">
        <w:rPr>
          <w:sz w:val="22"/>
          <w:szCs w:val="22"/>
          <w:lang w:val="fr-FR"/>
        </w:rPr>
        <w:t xml:space="preserve">tence : </w:t>
      </w:r>
      <w:r w:rsidRPr="004B449F">
        <w:rPr>
          <w:sz w:val="22"/>
          <w:szCs w:val="22"/>
          <w:lang w:val="fr-FR"/>
        </w:rPr>
        <w:tab/>
        <w:t>Louis MICHEL</w:t>
      </w:r>
    </w:p>
    <w:p w:rsidR="00F866A1" w:rsidRPr="005A6938" w:rsidRDefault="00F866A1" w:rsidP="002D378E">
      <w:pPr>
        <w:spacing w:after="0"/>
        <w:rPr>
          <w:sz w:val="22"/>
          <w:szCs w:val="22"/>
        </w:rPr>
      </w:pPr>
      <w:r w:rsidRPr="004B449F">
        <w:rPr>
          <w:sz w:val="22"/>
          <w:szCs w:val="22"/>
          <w:lang w:val="fr-FR"/>
        </w:rPr>
        <w:tab/>
      </w:r>
      <w:r w:rsidRPr="004B449F">
        <w:rPr>
          <w:sz w:val="22"/>
          <w:szCs w:val="22"/>
          <w:lang w:val="fr-FR"/>
        </w:rPr>
        <w:tab/>
      </w:r>
      <w:r w:rsidRPr="005A6938">
        <w:rPr>
          <w:sz w:val="22"/>
          <w:szCs w:val="22"/>
        </w:rPr>
        <w:t>DG D</w:t>
      </w:r>
      <w:r w:rsidR="00CE51F8">
        <w:rPr>
          <w:sz w:val="22"/>
          <w:szCs w:val="22"/>
        </w:rPr>
        <w:t>evelopment</w:t>
      </w:r>
    </w:p>
    <w:p w:rsidR="00CE51F8" w:rsidRDefault="00CE51F8" w:rsidP="00A907EF">
      <w:pPr>
        <w:spacing w:after="0"/>
        <w:rPr>
          <w:color w:val="000000"/>
          <w:sz w:val="22"/>
          <w:szCs w:val="22"/>
        </w:rPr>
      </w:pPr>
      <w:r>
        <w:rPr>
          <w:b/>
          <w:sz w:val="22"/>
          <w:szCs w:val="22"/>
          <w:u w:val="single"/>
        </w:rPr>
        <w:t>Explanation</w:t>
      </w:r>
      <w:r w:rsidR="00E652FD" w:rsidRPr="005A6938">
        <w:rPr>
          <w:sz w:val="22"/>
          <w:szCs w:val="22"/>
        </w:rPr>
        <w:t>:</w:t>
      </w:r>
      <w:r w:rsidR="00E652FD" w:rsidRPr="005A6938">
        <w:rPr>
          <w:sz w:val="22"/>
          <w:szCs w:val="22"/>
        </w:rPr>
        <w:tab/>
      </w:r>
      <w:r>
        <w:rPr>
          <w:color w:val="000000"/>
          <w:sz w:val="22"/>
          <w:szCs w:val="22"/>
        </w:rPr>
        <w:t>The Commission will not be responding form</w:t>
      </w:r>
      <w:r w:rsidR="00D610C3">
        <w:rPr>
          <w:color w:val="000000"/>
          <w:sz w:val="22"/>
          <w:szCs w:val="22"/>
        </w:rPr>
        <w:t>ally</w:t>
      </w:r>
      <w:r w:rsidR="00AC51AF">
        <w:rPr>
          <w:color w:val="000000"/>
          <w:sz w:val="22"/>
          <w:szCs w:val="22"/>
        </w:rPr>
        <w:t>,</w:t>
      </w:r>
      <w:r>
        <w:rPr>
          <w:color w:val="000000"/>
          <w:sz w:val="22"/>
          <w:szCs w:val="22"/>
        </w:rPr>
        <w:t xml:space="preserve"> given that </w:t>
      </w:r>
      <w:r w:rsidR="004B449F">
        <w:rPr>
          <w:color w:val="000000"/>
          <w:sz w:val="22"/>
          <w:szCs w:val="22"/>
        </w:rPr>
        <w:t>Commissioner</w:t>
      </w:r>
      <w:r>
        <w:rPr>
          <w:color w:val="000000"/>
          <w:sz w:val="22"/>
          <w:szCs w:val="22"/>
        </w:rPr>
        <w:t xml:space="preserve"> Nielson has already replied in plenary to the requests contained in the resolution.</w:t>
      </w:r>
    </w:p>
    <w:p w:rsidR="00CE51F8" w:rsidRDefault="00CE51F8" w:rsidP="00A907EF">
      <w:pPr>
        <w:spacing w:after="0"/>
        <w:rPr>
          <w:color w:val="000000"/>
          <w:sz w:val="22"/>
          <w:szCs w:val="22"/>
        </w:rPr>
      </w:pPr>
    </w:p>
    <w:p w:rsidR="00A907EF" w:rsidRPr="005A6938" w:rsidRDefault="002D378E" w:rsidP="00A907EF">
      <w:pPr>
        <w:spacing w:after="0"/>
        <w:rPr>
          <w:sz w:val="22"/>
          <w:szCs w:val="22"/>
        </w:rPr>
      </w:pPr>
      <w:r w:rsidRPr="005A6938">
        <w:rPr>
          <w:sz w:val="22"/>
          <w:szCs w:val="22"/>
        </w:rPr>
        <w:t>-</w:t>
      </w:r>
      <w:r w:rsidRPr="005A6938">
        <w:rPr>
          <w:sz w:val="22"/>
          <w:szCs w:val="22"/>
        </w:rPr>
        <w:tab/>
      </w:r>
      <w:r w:rsidR="00CE51F8">
        <w:rPr>
          <w:sz w:val="22"/>
          <w:szCs w:val="22"/>
        </w:rPr>
        <w:t>European Parliament resolution on</w:t>
      </w:r>
      <w:r w:rsidR="00477DB8">
        <w:rPr>
          <w:sz w:val="22"/>
          <w:szCs w:val="22"/>
        </w:rPr>
        <w:t xml:space="preserve"> </w:t>
      </w:r>
      <w:r w:rsidR="00482BCA">
        <w:rPr>
          <w:sz w:val="22"/>
          <w:szCs w:val="22"/>
        </w:rPr>
        <w:t>th</w:t>
      </w:r>
      <w:r w:rsidR="00D610C3">
        <w:rPr>
          <w:sz w:val="22"/>
          <w:szCs w:val="22"/>
        </w:rPr>
        <w:t xml:space="preserve">e situation in </w:t>
      </w:r>
      <w:smartTag w:uri="urn:schemas-microsoft-com:office:smarttags" w:element="country-region">
        <w:smartTag w:uri="urn:schemas-microsoft-com:office:smarttags" w:element="place">
          <w:r w:rsidR="00477DB8">
            <w:rPr>
              <w:sz w:val="22"/>
              <w:szCs w:val="22"/>
            </w:rPr>
            <w:t>Côte d’Ivoire</w:t>
          </w:r>
        </w:smartTag>
      </w:smartTag>
      <w:r w:rsidR="00CE51F8">
        <w:rPr>
          <w:sz w:val="22"/>
          <w:szCs w:val="22"/>
        </w:rPr>
        <w:t xml:space="preserve"> </w:t>
      </w:r>
    </w:p>
    <w:p w:rsidR="00A907EF" w:rsidRPr="005A6938" w:rsidRDefault="00A907EF" w:rsidP="00A907EF">
      <w:pPr>
        <w:spacing w:after="0"/>
        <w:rPr>
          <w:sz w:val="22"/>
          <w:szCs w:val="22"/>
        </w:rPr>
      </w:pPr>
      <w:r w:rsidRPr="005A6938">
        <w:rPr>
          <w:sz w:val="22"/>
          <w:szCs w:val="22"/>
        </w:rPr>
        <w:t>(</w:t>
      </w:r>
      <w:r w:rsidR="00CE51F8">
        <w:rPr>
          <w:sz w:val="22"/>
          <w:szCs w:val="22"/>
        </w:rPr>
        <w:t>EP</w:t>
      </w:r>
      <w:r w:rsidRPr="005A6938">
        <w:rPr>
          <w:sz w:val="22"/>
          <w:szCs w:val="22"/>
        </w:rPr>
        <w:t> : B</w:t>
      </w:r>
      <w:r w:rsidR="000D5A77" w:rsidRPr="005A6938">
        <w:rPr>
          <w:sz w:val="22"/>
          <w:szCs w:val="22"/>
        </w:rPr>
        <w:t>6</w:t>
      </w:r>
      <w:r w:rsidRPr="005A6938">
        <w:rPr>
          <w:sz w:val="22"/>
          <w:szCs w:val="22"/>
        </w:rPr>
        <w:t>-0166/04)</w:t>
      </w:r>
    </w:p>
    <w:p w:rsidR="00A907EF" w:rsidRPr="005A6938" w:rsidRDefault="00CE51F8" w:rsidP="00A907EF">
      <w:pPr>
        <w:spacing w:after="0"/>
        <w:rPr>
          <w:sz w:val="22"/>
          <w:szCs w:val="22"/>
        </w:rPr>
      </w:pPr>
      <w:r>
        <w:rPr>
          <w:sz w:val="22"/>
          <w:szCs w:val="22"/>
        </w:rPr>
        <w:t xml:space="preserve">Minutes, Part 2, </w:t>
      </w:r>
      <w:smartTag w:uri="urn:schemas-microsoft-com:office:smarttags" w:element="date">
        <w:smartTagPr>
          <w:attr w:name="Month" w:val="11"/>
          <w:attr w:name="Day" w:val="18"/>
          <w:attr w:name="Year" w:val="2004"/>
        </w:smartTagPr>
        <w:r>
          <w:rPr>
            <w:sz w:val="22"/>
            <w:szCs w:val="22"/>
          </w:rPr>
          <w:t>18 November 2004</w:t>
        </w:r>
      </w:smartTag>
    </w:p>
    <w:p w:rsidR="00A907EF" w:rsidRPr="005A6938" w:rsidRDefault="00A907EF" w:rsidP="00A907EF">
      <w:pPr>
        <w:spacing w:after="0"/>
        <w:rPr>
          <w:sz w:val="22"/>
          <w:szCs w:val="22"/>
        </w:rPr>
      </w:pPr>
      <w:r w:rsidRPr="005A6938">
        <w:rPr>
          <w:sz w:val="22"/>
          <w:szCs w:val="22"/>
        </w:rPr>
        <w:t>Comp</w:t>
      </w:r>
      <w:r w:rsidR="00933404">
        <w:rPr>
          <w:sz w:val="22"/>
          <w:szCs w:val="22"/>
        </w:rPr>
        <w:t>e</w:t>
      </w:r>
      <w:r w:rsidRPr="005A6938">
        <w:rPr>
          <w:sz w:val="22"/>
          <w:szCs w:val="22"/>
        </w:rPr>
        <w:t xml:space="preserve">tence : </w:t>
      </w:r>
      <w:r w:rsidRPr="005A6938">
        <w:rPr>
          <w:sz w:val="22"/>
          <w:szCs w:val="22"/>
        </w:rPr>
        <w:tab/>
        <w:t>Louis MICHEL</w:t>
      </w:r>
    </w:p>
    <w:p w:rsidR="00E06C80" w:rsidRPr="005A6938" w:rsidRDefault="00A907EF" w:rsidP="00A907EF">
      <w:pPr>
        <w:spacing w:after="0"/>
        <w:rPr>
          <w:sz w:val="22"/>
          <w:szCs w:val="22"/>
        </w:rPr>
      </w:pPr>
      <w:r w:rsidRPr="005A6938">
        <w:rPr>
          <w:sz w:val="22"/>
          <w:szCs w:val="22"/>
        </w:rPr>
        <w:tab/>
      </w:r>
      <w:r w:rsidRPr="005A6938">
        <w:rPr>
          <w:sz w:val="22"/>
          <w:szCs w:val="22"/>
        </w:rPr>
        <w:tab/>
        <w:t>DG D</w:t>
      </w:r>
      <w:r w:rsidR="00CE51F8">
        <w:rPr>
          <w:sz w:val="22"/>
          <w:szCs w:val="22"/>
        </w:rPr>
        <w:t>evelopment</w:t>
      </w:r>
    </w:p>
    <w:p w:rsidR="00A907EF" w:rsidRPr="005A6938" w:rsidRDefault="00477DB8" w:rsidP="00A907EF">
      <w:pPr>
        <w:spacing w:after="0"/>
        <w:rPr>
          <w:sz w:val="22"/>
          <w:szCs w:val="22"/>
        </w:rPr>
      </w:pPr>
      <w:r>
        <w:rPr>
          <w:b/>
          <w:sz w:val="22"/>
          <w:szCs w:val="22"/>
          <w:u w:val="single"/>
        </w:rPr>
        <w:t>Explanation</w:t>
      </w:r>
      <w:r w:rsidR="00A907EF" w:rsidRPr="005A6938">
        <w:rPr>
          <w:sz w:val="22"/>
          <w:szCs w:val="22"/>
        </w:rPr>
        <w:t>:</w:t>
      </w:r>
      <w:r w:rsidR="00A907EF" w:rsidRPr="005A6938">
        <w:rPr>
          <w:sz w:val="22"/>
          <w:szCs w:val="22"/>
        </w:rPr>
        <w:tab/>
      </w:r>
      <w:r w:rsidR="00CE51F8">
        <w:rPr>
          <w:color w:val="000000"/>
          <w:sz w:val="22"/>
          <w:szCs w:val="22"/>
        </w:rPr>
        <w:t xml:space="preserve">The Commission </w:t>
      </w:r>
      <w:r w:rsidR="00D610C3">
        <w:rPr>
          <w:color w:val="000000"/>
          <w:sz w:val="22"/>
          <w:szCs w:val="22"/>
        </w:rPr>
        <w:t>will not be responding formally</w:t>
      </w:r>
      <w:r w:rsidR="00AC51AF">
        <w:rPr>
          <w:color w:val="000000"/>
          <w:sz w:val="22"/>
          <w:szCs w:val="22"/>
        </w:rPr>
        <w:t>,</w:t>
      </w:r>
      <w:r w:rsidR="00CE51F8">
        <w:rPr>
          <w:color w:val="000000"/>
          <w:sz w:val="22"/>
          <w:szCs w:val="22"/>
        </w:rPr>
        <w:t xml:space="preserve"> given that Commissioner Fige</w:t>
      </w:r>
      <w:r w:rsidR="00CE51F8" w:rsidRPr="002C3D1B">
        <w:rPr>
          <w:sz w:val="22"/>
          <w:szCs w:val="22"/>
        </w:rPr>
        <w:t>ľ</w:t>
      </w:r>
      <w:r w:rsidR="00CE51F8">
        <w:rPr>
          <w:color w:val="000000"/>
          <w:sz w:val="22"/>
          <w:szCs w:val="22"/>
        </w:rPr>
        <w:t xml:space="preserve"> has already replied in plenary to the requests contained in the resolution.</w:t>
      </w:r>
    </w:p>
    <w:p w:rsidR="00E06C80" w:rsidRPr="005A6938" w:rsidRDefault="00E06C80">
      <w:pPr>
        <w:spacing w:after="0"/>
        <w:rPr>
          <w:sz w:val="22"/>
          <w:szCs w:val="22"/>
        </w:rPr>
      </w:pPr>
    </w:p>
    <w:p w:rsidR="0012295B" w:rsidRPr="005A6938" w:rsidRDefault="0012295B" w:rsidP="0012295B">
      <w:pPr>
        <w:spacing w:after="0"/>
        <w:rPr>
          <w:sz w:val="22"/>
          <w:szCs w:val="22"/>
        </w:rPr>
      </w:pPr>
      <w:r w:rsidRPr="005A6938">
        <w:rPr>
          <w:sz w:val="22"/>
          <w:szCs w:val="22"/>
        </w:rPr>
        <w:t>-</w:t>
      </w:r>
      <w:r w:rsidRPr="005A6938">
        <w:rPr>
          <w:sz w:val="22"/>
          <w:szCs w:val="22"/>
        </w:rPr>
        <w:tab/>
      </w:r>
      <w:r w:rsidR="00477DB8">
        <w:rPr>
          <w:sz w:val="22"/>
          <w:szCs w:val="22"/>
        </w:rPr>
        <w:t xml:space="preserve">European Parliament resolution on the human rights situation in </w:t>
      </w:r>
      <w:smartTag w:uri="urn:schemas-microsoft-com:office:smarttags" w:element="country-region">
        <w:smartTag w:uri="urn:schemas-microsoft-com:office:smarttags" w:element="place">
          <w:r w:rsidR="00477DB8">
            <w:rPr>
              <w:sz w:val="22"/>
              <w:szCs w:val="22"/>
            </w:rPr>
            <w:t>Eritrea</w:t>
          </w:r>
        </w:smartTag>
      </w:smartTag>
    </w:p>
    <w:p w:rsidR="0012295B" w:rsidRPr="005A6938" w:rsidRDefault="0012295B" w:rsidP="0012295B">
      <w:pPr>
        <w:spacing w:after="0"/>
        <w:rPr>
          <w:sz w:val="22"/>
          <w:szCs w:val="22"/>
        </w:rPr>
      </w:pPr>
      <w:r w:rsidRPr="005A6938">
        <w:rPr>
          <w:sz w:val="22"/>
          <w:szCs w:val="22"/>
        </w:rPr>
        <w:t>(</w:t>
      </w:r>
      <w:r w:rsidR="00477DB8">
        <w:rPr>
          <w:sz w:val="22"/>
          <w:szCs w:val="22"/>
        </w:rPr>
        <w:t>EP</w:t>
      </w:r>
      <w:r w:rsidRPr="005A6938">
        <w:rPr>
          <w:sz w:val="22"/>
          <w:szCs w:val="22"/>
        </w:rPr>
        <w:t> : B6-0167/04)</w:t>
      </w:r>
    </w:p>
    <w:p w:rsidR="00477DB8" w:rsidRPr="005A6938" w:rsidRDefault="00477DB8" w:rsidP="00477DB8">
      <w:pPr>
        <w:spacing w:after="0"/>
        <w:rPr>
          <w:sz w:val="22"/>
          <w:szCs w:val="22"/>
        </w:rPr>
      </w:pPr>
      <w:r>
        <w:rPr>
          <w:sz w:val="22"/>
          <w:szCs w:val="22"/>
        </w:rPr>
        <w:t xml:space="preserve">Minutes, Part 2, </w:t>
      </w:r>
      <w:smartTag w:uri="urn:schemas-microsoft-com:office:smarttags" w:element="date">
        <w:smartTagPr>
          <w:attr w:name="Month" w:val="11"/>
          <w:attr w:name="Day" w:val="18"/>
          <w:attr w:name="Year" w:val="2004"/>
        </w:smartTagPr>
        <w:r>
          <w:rPr>
            <w:sz w:val="22"/>
            <w:szCs w:val="22"/>
          </w:rPr>
          <w:t>18 November 2004</w:t>
        </w:r>
      </w:smartTag>
    </w:p>
    <w:p w:rsidR="00477DB8" w:rsidRPr="005A6938" w:rsidRDefault="00477DB8" w:rsidP="00477DB8">
      <w:pPr>
        <w:spacing w:after="0"/>
        <w:rPr>
          <w:sz w:val="22"/>
          <w:szCs w:val="22"/>
        </w:rPr>
      </w:pPr>
      <w:r w:rsidRPr="005A6938">
        <w:rPr>
          <w:sz w:val="22"/>
          <w:szCs w:val="22"/>
        </w:rPr>
        <w:t>Comp</w:t>
      </w:r>
      <w:r w:rsidR="00933404">
        <w:rPr>
          <w:sz w:val="22"/>
          <w:szCs w:val="22"/>
        </w:rPr>
        <w:t>e</w:t>
      </w:r>
      <w:r w:rsidRPr="005A6938">
        <w:rPr>
          <w:sz w:val="22"/>
          <w:szCs w:val="22"/>
        </w:rPr>
        <w:t xml:space="preserve">tence : </w:t>
      </w:r>
      <w:r w:rsidRPr="005A6938">
        <w:rPr>
          <w:sz w:val="22"/>
          <w:szCs w:val="22"/>
        </w:rPr>
        <w:tab/>
        <w:t>Louis MICHEL</w:t>
      </w:r>
    </w:p>
    <w:p w:rsidR="00477DB8" w:rsidRPr="005A6938" w:rsidRDefault="00477DB8" w:rsidP="00477DB8">
      <w:pPr>
        <w:spacing w:after="0"/>
        <w:rPr>
          <w:sz w:val="22"/>
          <w:szCs w:val="22"/>
        </w:rPr>
      </w:pPr>
      <w:r w:rsidRPr="005A6938">
        <w:rPr>
          <w:sz w:val="22"/>
          <w:szCs w:val="22"/>
        </w:rPr>
        <w:tab/>
      </w:r>
      <w:r w:rsidRPr="005A6938">
        <w:rPr>
          <w:sz w:val="22"/>
          <w:szCs w:val="22"/>
        </w:rPr>
        <w:tab/>
        <w:t>DG D</w:t>
      </w:r>
      <w:r>
        <w:rPr>
          <w:sz w:val="22"/>
          <w:szCs w:val="22"/>
        </w:rPr>
        <w:t>evelopment</w:t>
      </w:r>
    </w:p>
    <w:p w:rsidR="00477DB8" w:rsidRPr="005A6938" w:rsidRDefault="00477DB8" w:rsidP="00477DB8">
      <w:pPr>
        <w:spacing w:after="0"/>
        <w:rPr>
          <w:sz w:val="22"/>
          <w:szCs w:val="22"/>
        </w:rPr>
      </w:pPr>
      <w:r>
        <w:rPr>
          <w:b/>
          <w:sz w:val="22"/>
          <w:szCs w:val="22"/>
          <w:u w:val="single"/>
        </w:rPr>
        <w:t>Explanation</w:t>
      </w:r>
      <w:r w:rsidRPr="005A6938">
        <w:rPr>
          <w:sz w:val="22"/>
          <w:szCs w:val="22"/>
        </w:rPr>
        <w:t>:</w:t>
      </w:r>
      <w:r w:rsidRPr="005A6938">
        <w:rPr>
          <w:sz w:val="22"/>
          <w:szCs w:val="22"/>
        </w:rPr>
        <w:tab/>
      </w:r>
      <w:r>
        <w:rPr>
          <w:color w:val="000000"/>
          <w:sz w:val="22"/>
          <w:szCs w:val="22"/>
        </w:rPr>
        <w:t xml:space="preserve">The Commission </w:t>
      </w:r>
      <w:r w:rsidR="00D610C3">
        <w:rPr>
          <w:color w:val="000000"/>
          <w:sz w:val="22"/>
          <w:szCs w:val="22"/>
        </w:rPr>
        <w:t>will not be responding formally</w:t>
      </w:r>
      <w:r w:rsidR="00AC51AF">
        <w:rPr>
          <w:color w:val="000000"/>
          <w:sz w:val="22"/>
          <w:szCs w:val="22"/>
        </w:rPr>
        <w:t>,</w:t>
      </w:r>
      <w:r>
        <w:rPr>
          <w:color w:val="000000"/>
          <w:sz w:val="22"/>
          <w:szCs w:val="22"/>
        </w:rPr>
        <w:t xml:space="preserve"> given that Commissioner Fige</w:t>
      </w:r>
      <w:r w:rsidRPr="002C3D1B">
        <w:rPr>
          <w:sz w:val="22"/>
          <w:szCs w:val="22"/>
        </w:rPr>
        <w:t>ľ</w:t>
      </w:r>
      <w:r>
        <w:rPr>
          <w:color w:val="000000"/>
          <w:sz w:val="22"/>
          <w:szCs w:val="22"/>
        </w:rPr>
        <w:t xml:space="preserve"> has already replied in plenary to the requests contained in the resolution.</w:t>
      </w:r>
    </w:p>
    <w:p w:rsidR="00477DB8" w:rsidRDefault="00477DB8" w:rsidP="00E06C80">
      <w:pPr>
        <w:spacing w:after="0"/>
        <w:rPr>
          <w:sz w:val="22"/>
          <w:szCs w:val="22"/>
        </w:rPr>
      </w:pPr>
    </w:p>
    <w:p w:rsidR="00E06C80" w:rsidRDefault="006F5399" w:rsidP="00E06C80">
      <w:pPr>
        <w:spacing w:after="0"/>
        <w:rPr>
          <w:sz w:val="22"/>
          <w:szCs w:val="22"/>
        </w:rPr>
      </w:pPr>
      <w:r w:rsidRPr="005A6938">
        <w:rPr>
          <w:sz w:val="22"/>
          <w:szCs w:val="22"/>
        </w:rPr>
        <w:t>-</w:t>
      </w:r>
      <w:r w:rsidRPr="005A6938">
        <w:rPr>
          <w:sz w:val="22"/>
          <w:szCs w:val="22"/>
        </w:rPr>
        <w:tab/>
      </w:r>
      <w:r w:rsidR="00933404">
        <w:rPr>
          <w:sz w:val="22"/>
          <w:szCs w:val="22"/>
        </w:rPr>
        <w:t xml:space="preserve">European Parliament resolution on the </w:t>
      </w:r>
      <w:r w:rsidR="00933404" w:rsidRPr="004B449F">
        <w:rPr>
          <w:color w:val="000000"/>
          <w:sz w:val="22"/>
          <w:szCs w:val="22"/>
        </w:rPr>
        <w:t>Council's fifth Annual Report</w:t>
      </w:r>
      <w:r w:rsidR="00933404" w:rsidRPr="00933404">
        <w:rPr>
          <w:color w:val="000000"/>
          <w:szCs w:val="24"/>
        </w:rPr>
        <w:t xml:space="preserve"> according to </w:t>
      </w:r>
      <w:r w:rsidR="00933404" w:rsidRPr="00AC51AF">
        <w:rPr>
          <w:color w:val="000000"/>
          <w:sz w:val="22"/>
          <w:szCs w:val="22"/>
        </w:rPr>
        <w:t>Operative Provision 8 of the European Union Code of Conduct on Arms Exports</w:t>
      </w:r>
      <w:r w:rsidR="00E06C80" w:rsidRPr="00AC51AF">
        <w:rPr>
          <w:sz w:val="22"/>
          <w:szCs w:val="22"/>
        </w:rPr>
        <w:t xml:space="preserve"> (2004/2103(INI))</w:t>
      </w:r>
    </w:p>
    <w:p w:rsidR="00E06C80" w:rsidRPr="005A6938" w:rsidRDefault="00933404" w:rsidP="00E06C80">
      <w:pPr>
        <w:spacing w:after="0"/>
        <w:rPr>
          <w:sz w:val="22"/>
          <w:szCs w:val="22"/>
        </w:rPr>
      </w:pPr>
      <w:r>
        <w:rPr>
          <w:sz w:val="22"/>
          <w:szCs w:val="22"/>
          <w:u w:val="single"/>
        </w:rPr>
        <w:t xml:space="preserve">Report </w:t>
      </w:r>
      <w:r w:rsidR="00AC51AF">
        <w:rPr>
          <w:sz w:val="22"/>
          <w:szCs w:val="22"/>
          <w:u w:val="single"/>
        </w:rPr>
        <w:t>by</w:t>
      </w:r>
      <w:r w:rsidR="00E06C80" w:rsidRPr="005A6938">
        <w:rPr>
          <w:sz w:val="22"/>
          <w:szCs w:val="22"/>
          <w:u w:val="single"/>
        </w:rPr>
        <w:t xml:space="preserve"> Raül ROMEVA RUEDA</w:t>
      </w:r>
      <w:r w:rsidR="00E06C80" w:rsidRPr="005A6938">
        <w:rPr>
          <w:sz w:val="22"/>
          <w:szCs w:val="22"/>
        </w:rPr>
        <w:t xml:space="preserve"> (</w:t>
      </w:r>
      <w:r w:rsidR="007326D7">
        <w:rPr>
          <w:sz w:val="22"/>
          <w:szCs w:val="22"/>
        </w:rPr>
        <w:t>EP</w:t>
      </w:r>
      <w:r w:rsidR="00E06C80" w:rsidRPr="005A6938">
        <w:rPr>
          <w:sz w:val="22"/>
          <w:szCs w:val="22"/>
        </w:rPr>
        <w:t> : A6-0022/04)</w:t>
      </w:r>
    </w:p>
    <w:p w:rsidR="00E06C80" w:rsidRPr="005A6938" w:rsidRDefault="00933404" w:rsidP="00E06C80">
      <w:pPr>
        <w:spacing w:after="0"/>
        <w:rPr>
          <w:sz w:val="22"/>
          <w:szCs w:val="22"/>
        </w:rPr>
      </w:pPr>
      <w:r>
        <w:rPr>
          <w:sz w:val="22"/>
          <w:szCs w:val="22"/>
        </w:rPr>
        <w:t xml:space="preserve">Minutes, Part 2, </w:t>
      </w:r>
      <w:smartTag w:uri="urn:schemas-microsoft-com:office:smarttags" w:element="date">
        <w:smartTagPr>
          <w:attr w:name="Month" w:val="11"/>
          <w:attr w:name="Day" w:val="17"/>
          <w:attr w:name="Year" w:val="2004"/>
        </w:smartTagPr>
        <w:r>
          <w:rPr>
            <w:sz w:val="22"/>
            <w:szCs w:val="22"/>
          </w:rPr>
          <w:t>17 November 2004</w:t>
        </w:r>
      </w:smartTag>
    </w:p>
    <w:p w:rsidR="00E06C80" w:rsidRPr="005A6938" w:rsidRDefault="00E06C80" w:rsidP="00E06C80">
      <w:pPr>
        <w:spacing w:after="0"/>
        <w:rPr>
          <w:sz w:val="22"/>
          <w:szCs w:val="22"/>
        </w:rPr>
      </w:pPr>
      <w:r w:rsidRPr="005A6938">
        <w:rPr>
          <w:sz w:val="22"/>
          <w:szCs w:val="22"/>
        </w:rPr>
        <w:t>Comp</w:t>
      </w:r>
      <w:r w:rsidR="00933404">
        <w:rPr>
          <w:sz w:val="22"/>
          <w:szCs w:val="22"/>
        </w:rPr>
        <w:t>e</w:t>
      </w:r>
      <w:r w:rsidRPr="005A6938">
        <w:rPr>
          <w:sz w:val="22"/>
          <w:szCs w:val="22"/>
        </w:rPr>
        <w:t>tence :</w:t>
      </w:r>
      <w:r w:rsidRPr="005A6938">
        <w:rPr>
          <w:sz w:val="22"/>
          <w:szCs w:val="22"/>
        </w:rPr>
        <w:tab/>
        <w:t>Benita FERRERO-WALDNER</w:t>
      </w:r>
    </w:p>
    <w:p w:rsidR="00C43DC7" w:rsidRPr="005A6938" w:rsidRDefault="00E06C80" w:rsidP="00E06C80">
      <w:pPr>
        <w:spacing w:after="0"/>
        <w:rPr>
          <w:sz w:val="20"/>
        </w:rPr>
      </w:pPr>
      <w:r w:rsidRPr="005A6938">
        <w:rPr>
          <w:sz w:val="22"/>
          <w:szCs w:val="22"/>
        </w:rPr>
        <w:tab/>
      </w:r>
      <w:r w:rsidRPr="005A6938">
        <w:rPr>
          <w:sz w:val="22"/>
          <w:szCs w:val="22"/>
        </w:rPr>
        <w:tab/>
        <w:t xml:space="preserve">DG </w:t>
      </w:r>
      <w:r w:rsidR="00933404">
        <w:rPr>
          <w:sz w:val="22"/>
          <w:szCs w:val="22"/>
        </w:rPr>
        <w:t>External Relations</w:t>
      </w:r>
    </w:p>
    <w:p w:rsidR="00E06C80" w:rsidRPr="005A6938" w:rsidRDefault="00933404" w:rsidP="00E06C80">
      <w:pPr>
        <w:spacing w:after="0"/>
        <w:rPr>
          <w:sz w:val="22"/>
          <w:szCs w:val="22"/>
        </w:rPr>
      </w:pPr>
      <w:r w:rsidRPr="00933404">
        <w:rPr>
          <w:b/>
          <w:sz w:val="22"/>
          <w:szCs w:val="22"/>
          <w:u w:val="single"/>
        </w:rPr>
        <w:t>Explanation</w:t>
      </w:r>
      <w:r w:rsidR="006E252C" w:rsidRPr="005A6938">
        <w:rPr>
          <w:sz w:val="22"/>
          <w:szCs w:val="22"/>
        </w:rPr>
        <w:t>:</w:t>
      </w:r>
      <w:r w:rsidR="002224A8" w:rsidRPr="005A6938">
        <w:rPr>
          <w:sz w:val="22"/>
          <w:szCs w:val="22"/>
        </w:rPr>
        <w:tab/>
      </w:r>
      <w:r>
        <w:rPr>
          <w:sz w:val="22"/>
          <w:szCs w:val="22"/>
        </w:rPr>
        <w:t>The Commission will not be responding formally</w:t>
      </w:r>
      <w:r w:rsidR="00AC51AF">
        <w:rPr>
          <w:sz w:val="22"/>
          <w:szCs w:val="22"/>
        </w:rPr>
        <w:t>,</w:t>
      </w:r>
      <w:r>
        <w:rPr>
          <w:sz w:val="22"/>
          <w:szCs w:val="22"/>
        </w:rPr>
        <w:t xml:space="preserve"> as no request has been specifically addressed to it.</w:t>
      </w:r>
    </w:p>
    <w:p w:rsidR="00E06C80" w:rsidRPr="005A6938" w:rsidRDefault="00E06C80" w:rsidP="00E06C80">
      <w:pPr>
        <w:spacing w:after="0"/>
        <w:rPr>
          <w:sz w:val="22"/>
          <w:szCs w:val="22"/>
        </w:rPr>
      </w:pPr>
    </w:p>
    <w:p w:rsidR="00E06C80" w:rsidRPr="005A6938" w:rsidRDefault="00E06C80" w:rsidP="00E06C80">
      <w:pPr>
        <w:spacing w:after="0"/>
        <w:rPr>
          <w:sz w:val="22"/>
          <w:szCs w:val="22"/>
        </w:rPr>
      </w:pPr>
      <w:r w:rsidRPr="005A6938">
        <w:rPr>
          <w:sz w:val="22"/>
          <w:szCs w:val="22"/>
        </w:rPr>
        <w:t>-</w:t>
      </w:r>
      <w:r w:rsidRPr="005A6938">
        <w:rPr>
          <w:sz w:val="22"/>
          <w:szCs w:val="22"/>
        </w:rPr>
        <w:tab/>
      </w:r>
      <w:r w:rsidR="007326D7">
        <w:rPr>
          <w:sz w:val="22"/>
          <w:szCs w:val="22"/>
        </w:rPr>
        <w:t xml:space="preserve">European Parliament resolution on </w:t>
      </w:r>
      <w:smartTag w:uri="urn:schemas-microsoft-com:office:smarttags" w:element="country-region">
        <w:smartTag w:uri="urn:schemas-microsoft-com:office:smarttags" w:element="place">
          <w:r w:rsidR="007326D7">
            <w:rPr>
              <w:sz w:val="22"/>
              <w:szCs w:val="22"/>
            </w:rPr>
            <w:t>Tibet</w:t>
          </w:r>
        </w:smartTag>
      </w:smartTag>
      <w:r w:rsidR="007326D7">
        <w:rPr>
          <w:sz w:val="22"/>
          <w:szCs w:val="22"/>
        </w:rPr>
        <w:t xml:space="preserve"> and the case of Tenzin Delek Rinpoche</w:t>
      </w:r>
      <w:r w:rsidRPr="005A6938">
        <w:rPr>
          <w:sz w:val="22"/>
          <w:szCs w:val="22"/>
        </w:rPr>
        <w:t xml:space="preserve"> </w:t>
      </w:r>
    </w:p>
    <w:p w:rsidR="00E06C80" w:rsidRPr="005A6938" w:rsidRDefault="00E06C80" w:rsidP="00E06C80">
      <w:pPr>
        <w:spacing w:after="0"/>
        <w:rPr>
          <w:sz w:val="22"/>
          <w:szCs w:val="22"/>
        </w:rPr>
      </w:pPr>
      <w:r w:rsidRPr="005A6938">
        <w:rPr>
          <w:sz w:val="22"/>
          <w:szCs w:val="22"/>
        </w:rPr>
        <w:t>(</w:t>
      </w:r>
      <w:r w:rsidR="007326D7">
        <w:rPr>
          <w:sz w:val="22"/>
          <w:szCs w:val="22"/>
        </w:rPr>
        <w:t>EP</w:t>
      </w:r>
      <w:r w:rsidRPr="005A6938">
        <w:rPr>
          <w:sz w:val="22"/>
          <w:szCs w:val="22"/>
        </w:rPr>
        <w:t> : B6-0169/04)</w:t>
      </w:r>
    </w:p>
    <w:p w:rsidR="00E06C80" w:rsidRPr="005A6938" w:rsidRDefault="007326D7" w:rsidP="00E06C80">
      <w:pPr>
        <w:spacing w:after="0"/>
        <w:rPr>
          <w:sz w:val="22"/>
          <w:szCs w:val="22"/>
        </w:rPr>
      </w:pPr>
      <w:r>
        <w:rPr>
          <w:sz w:val="22"/>
          <w:szCs w:val="22"/>
        </w:rPr>
        <w:t xml:space="preserve">Minutes, Part 2, </w:t>
      </w:r>
      <w:smartTag w:uri="urn:schemas-microsoft-com:office:smarttags" w:element="date">
        <w:smartTagPr>
          <w:attr w:name="Month" w:val="11"/>
          <w:attr w:name="Day" w:val="18"/>
          <w:attr w:name="Year" w:val="2004"/>
        </w:smartTagPr>
        <w:r>
          <w:rPr>
            <w:sz w:val="22"/>
            <w:szCs w:val="22"/>
          </w:rPr>
          <w:t>18 November 2004</w:t>
        </w:r>
      </w:smartTag>
    </w:p>
    <w:p w:rsidR="007326D7" w:rsidRPr="005A6938" w:rsidRDefault="007326D7" w:rsidP="007326D7">
      <w:pPr>
        <w:spacing w:after="0"/>
        <w:rPr>
          <w:sz w:val="22"/>
          <w:szCs w:val="22"/>
        </w:rPr>
      </w:pPr>
      <w:r w:rsidRPr="005A6938">
        <w:rPr>
          <w:sz w:val="22"/>
          <w:szCs w:val="22"/>
        </w:rPr>
        <w:t>Comp</w:t>
      </w:r>
      <w:r>
        <w:rPr>
          <w:sz w:val="22"/>
          <w:szCs w:val="22"/>
        </w:rPr>
        <w:t>e</w:t>
      </w:r>
      <w:r w:rsidRPr="005A6938">
        <w:rPr>
          <w:sz w:val="22"/>
          <w:szCs w:val="22"/>
        </w:rPr>
        <w:t>tence :</w:t>
      </w:r>
      <w:r w:rsidRPr="005A6938">
        <w:rPr>
          <w:sz w:val="22"/>
          <w:szCs w:val="22"/>
        </w:rPr>
        <w:tab/>
        <w:t>Benita FERRERO-WALDNER</w:t>
      </w:r>
    </w:p>
    <w:p w:rsidR="007326D7" w:rsidRPr="005A6938" w:rsidRDefault="007326D7" w:rsidP="007326D7">
      <w:pPr>
        <w:spacing w:after="0"/>
        <w:rPr>
          <w:sz w:val="20"/>
        </w:rPr>
      </w:pPr>
      <w:r w:rsidRPr="005A6938">
        <w:rPr>
          <w:sz w:val="22"/>
          <w:szCs w:val="22"/>
        </w:rPr>
        <w:tab/>
      </w:r>
      <w:r w:rsidRPr="005A6938">
        <w:rPr>
          <w:sz w:val="22"/>
          <w:szCs w:val="22"/>
        </w:rPr>
        <w:tab/>
        <w:t xml:space="preserve">DG </w:t>
      </w:r>
      <w:r>
        <w:rPr>
          <w:sz w:val="22"/>
          <w:szCs w:val="22"/>
        </w:rPr>
        <w:t>External Relations</w:t>
      </w:r>
    </w:p>
    <w:p w:rsidR="00E06C80" w:rsidRPr="005A6938" w:rsidRDefault="00933404" w:rsidP="00E06C80">
      <w:pPr>
        <w:spacing w:after="0"/>
        <w:rPr>
          <w:sz w:val="22"/>
          <w:szCs w:val="22"/>
        </w:rPr>
      </w:pPr>
      <w:r w:rsidRPr="00933404">
        <w:rPr>
          <w:b/>
          <w:sz w:val="22"/>
          <w:szCs w:val="22"/>
          <w:u w:val="single"/>
        </w:rPr>
        <w:t>Explanation</w:t>
      </w:r>
      <w:r w:rsidR="006E252C" w:rsidRPr="005A6938">
        <w:rPr>
          <w:sz w:val="22"/>
          <w:szCs w:val="22"/>
        </w:rPr>
        <w:t xml:space="preserve">: </w:t>
      </w:r>
      <w:r w:rsidR="007326D7">
        <w:rPr>
          <w:color w:val="000000"/>
          <w:sz w:val="22"/>
          <w:szCs w:val="22"/>
        </w:rPr>
        <w:t>The Commission will not be responding formally, given that Commissioner Fige</w:t>
      </w:r>
      <w:r w:rsidR="007326D7" w:rsidRPr="002C3D1B">
        <w:rPr>
          <w:sz w:val="22"/>
          <w:szCs w:val="22"/>
        </w:rPr>
        <w:t>ľ</w:t>
      </w:r>
      <w:r w:rsidR="007326D7">
        <w:rPr>
          <w:color w:val="000000"/>
          <w:sz w:val="22"/>
          <w:szCs w:val="22"/>
        </w:rPr>
        <w:t xml:space="preserve"> has already replied in plenary to the requests contained in the resolution.</w:t>
      </w:r>
    </w:p>
    <w:p w:rsidR="00440612" w:rsidRPr="005A6938" w:rsidRDefault="00440612" w:rsidP="00BE0809">
      <w:pPr>
        <w:spacing w:after="0"/>
        <w:rPr>
          <w:sz w:val="22"/>
          <w:szCs w:val="22"/>
        </w:rPr>
      </w:pPr>
    </w:p>
    <w:p w:rsidR="0063420F" w:rsidRPr="005A6938" w:rsidRDefault="00E815A8">
      <w:pPr>
        <w:spacing w:after="0"/>
        <w:jc w:val="center"/>
        <w:rPr>
          <w:sz w:val="22"/>
          <w:szCs w:val="22"/>
        </w:rPr>
      </w:pPr>
      <w:r w:rsidRPr="005A6938">
        <w:rPr>
          <w:sz w:val="22"/>
          <w:szCs w:val="22"/>
        </w:rPr>
        <w:t>-------</w:t>
      </w:r>
      <w:r w:rsidR="0063420F" w:rsidRPr="005A6938">
        <w:rPr>
          <w:sz w:val="22"/>
          <w:szCs w:val="22"/>
        </w:rPr>
        <w:t>------</w:t>
      </w:r>
    </w:p>
    <w:sectPr w:rsidR="0063420F" w:rsidRPr="005A6938" w:rsidSect="00206CE0">
      <w:footerReference w:type="default" r:id="rId8"/>
      <w:headerReference w:type="first" r:id="rId9"/>
      <w:footerReference w:type="first" r:id="rId10"/>
      <w:pgSz w:w="11906" w:h="16838" w:code="9"/>
      <w:pgMar w:top="1418" w:right="1418"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D724C">
      <w:pPr>
        <w:spacing w:after="0"/>
      </w:pPr>
      <w:r>
        <w:separator/>
      </w:r>
    </w:p>
  </w:endnote>
  <w:endnote w:type="continuationSeparator" w:id="0">
    <w:p w:rsidR="00000000" w:rsidRDefault="000D72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40" w:rsidRDefault="005B1040">
    <w:pPr>
      <w:pStyle w:val="Footer"/>
      <w:jc w:val="center"/>
    </w:pPr>
    <w:r>
      <w:fldChar w:fldCharType="begin"/>
    </w:r>
    <w:r>
      <w:instrText>PAGE</w:instrText>
    </w:r>
    <w:r>
      <w:fldChar w:fldCharType="separate"/>
    </w:r>
    <w:r w:rsidR="000D724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40" w:rsidRDefault="005B1040">
    <w:pPr>
      <w:pStyle w:val="Footer"/>
      <w:rPr>
        <w:sz w:val="24"/>
      </w:rPr>
    </w:pPr>
  </w:p>
  <w:p w:rsidR="005B1040" w:rsidRDefault="005B1040">
    <w:pPr>
      <w:pStyle w:val="Footer"/>
    </w:pPr>
    <w:r>
      <w:t>Commission européenne, B-1049 Bruxelles – Belgique, Téléphone : (32-2) 299 11 11.</w:t>
    </w:r>
  </w:p>
  <w:p w:rsidR="005B1040" w:rsidRDefault="005B1040">
    <w:pPr>
      <w:pStyle w:val="Footer"/>
    </w:pPr>
    <w:r>
      <w:t xml:space="preserve">Bureau: BERL 7/358, Téléphone: ligne directe (32-2) 295 07 46, Télécopieur: 296 59 57.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D724C">
      <w:pPr>
        <w:spacing w:after="0"/>
      </w:pPr>
      <w:r>
        <w:separator/>
      </w:r>
    </w:p>
  </w:footnote>
  <w:footnote w:type="continuationSeparator" w:id="0">
    <w:p w:rsidR="00000000" w:rsidRDefault="000D72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40" w:rsidRDefault="005B1040">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60FD1F3C"/>
    <w:multiLevelType w:val="hybridMultilevel"/>
    <w:tmpl w:val="F3F46C6A"/>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4"/>
  </w:num>
  <w:num w:numId="8">
    <w:abstractNumId w:val="3"/>
  </w:num>
  <w:num w:numId="9">
    <w:abstractNumId w:val="17"/>
  </w:num>
  <w:num w:numId="10">
    <w:abstractNumId w:val="16"/>
  </w:num>
  <w:num w:numId="11">
    <w:abstractNumId w:val="18"/>
  </w:num>
  <w:num w:numId="12">
    <w:abstractNumId w:val="6"/>
  </w:num>
  <w:num w:numId="13">
    <w:abstractNumId w:val="9"/>
  </w:num>
  <w:num w:numId="14">
    <w:abstractNumId w:val="11"/>
  </w:num>
  <w:num w:numId="15">
    <w:abstractNumId w:val="10"/>
  </w:num>
  <w:num w:numId="16">
    <w:abstractNumId w:val="2"/>
  </w:num>
  <w:num w:numId="17">
    <w:abstractNumId w:val="12"/>
  </w:num>
  <w:num w:numId="18">
    <w:abstractNumId w:val="5"/>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Language" w:val="2057"/>
    <w:docVar w:name="LW_DocType" w:val="NOT"/>
    <w:docVar w:name="Stamp" w:val="\\dossiers.dgt.cec.eu.int\Dossiers\SP\SP-2004-03173\SP-2004-03173-00-00-EN-TRA-00.DOC"/>
  </w:docVars>
  <w:rsids>
    <w:rsidRoot w:val="001349AB"/>
    <w:rsid w:val="0000667C"/>
    <w:rsid w:val="00011606"/>
    <w:rsid w:val="00013033"/>
    <w:rsid w:val="00014B1E"/>
    <w:rsid w:val="00015253"/>
    <w:rsid w:val="000220C0"/>
    <w:rsid w:val="0002436D"/>
    <w:rsid w:val="0002480C"/>
    <w:rsid w:val="00027C0D"/>
    <w:rsid w:val="00031F91"/>
    <w:rsid w:val="00032328"/>
    <w:rsid w:val="0005458A"/>
    <w:rsid w:val="00057A61"/>
    <w:rsid w:val="000615D6"/>
    <w:rsid w:val="00075B85"/>
    <w:rsid w:val="0007606A"/>
    <w:rsid w:val="0007618B"/>
    <w:rsid w:val="000824B1"/>
    <w:rsid w:val="00082834"/>
    <w:rsid w:val="00084252"/>
    <w:rsid w:val="000851F9"/>
    <w:rsid w:val="000852E0"/>
    <w:rsid w:val="000906D0"/>
    <w:rsid w:val="00093C24"/>
    <w:rsid w:val="000A05CA"/>
    <w:rsid w:val="000A302C"/>
    <w:rsid w:val="000B02B4"/>
    <w:rsid w:val="000B3530"/>
    <w:rsid w:val="000B3C53"/>
    <w:rsid w:val="000B51FE"/>
    <w:rsid w:val="000C0530"/>
    <w:rsid w:val="000C1703"/>
    <w:rsid w:val="000C5046"/>
    <w:rsid w:val="000C5DB2"/>
    <w:rsid w:val="000D2864"/>
    <w:rsid w:val="000D5A77"/>
    <w:rsid w:val="000D5C5C"/>
    <w:rsid w:val="000D724C"/>
    <w:rsid w:val="000E1D72"/>
    <w:rsid w:val="000E3AC2"/>
    <w:rsid w:val="000E5171"/>
    <w:rsid w:val="000E5696"/>
    <w:rsid w:val="000E5ADB"/>
    <w:rsid w:val="000E718D"/>
    <w:rsid w:val="000F2152"/>
    <w:rsid w:val="000F3185"/>
    <w:rsid w:val="001007C5"/>
    <w:rsid w:val="001022DD"/>
    <w:rsid w:val="001050C6"/>
    <w:rsid w:val="00107E13"/>
    <w:rsid w:val="00107ED1"/>
    <w:rsid w:val="00112673"/>
    <w:rsid w:val="00116919"/>
    <w:rsid w:val="00116AEB"/>
    <w:rsid w:val="00116BA5"/>
    <w:rsid w:val="001207A7"/>
    <w:rsid w:val="0012295B"/>
    <w:rsid w:val="001277A5"/>
    <w:rsid w:val="00132221"/>
    <w:rsid w:val="001324FF"/>
    <w:rsid w:val="001349AB"/>
    <w:rsid w:val="0014173C"/>
    <w:rsid w:val="00142430"/>
    <w:rsid w:val="0014269F"/>
    <w:rsid w:val="00142EDF"/>
    <w:rsid w:val="00145833"/>
    <w:rsid w:val="00146EEB"/>
    <w:rsid w:val="0015044B"/>
    <w:rsid w:val="00153009"/>
    <w:rsid w:val="00154C1C"/>
    <w:rsid w:val="00156FAD"/>
    <w:rsid w:val="001618F9"/>
    <w:rsid w:val="00164179"/>
    <w:rsid w:val="001662D7"/>
    <w:rsid w:val="00167044"/>
    <w:rsid w:val="001748C0"/>
    <w:rsid w:val="00175EF9"/>
    <w:rsid w:val="001820A2"/>
    <w:rsid w:val="0019299D"/>
    <w:rsid w:val="0019373F"/>
    <w:rsid w:val="001A6A34"/>
    <w:rsid w:val="001A75CD"/>
    <w:rsid w:val="001B632E"/>
    <w:rsid w:val="001C64BB"/>
    <w:rsid w:val="001D3C86"/>
    <w:rsid w:val="001D4689"/>
    <w:rsid w:val="001D55E9"/>
    <w:rsid w:val="001D7558"/>
    <w:rsid w:val="001E1F96"/>
    <w:rsid w:val="001E3693"/>
    <w:rsid w:val="001E36F5"/>
    <w:rsid w:val="001E3D07"/>
    <w:rsid w:val="001E4A5E"/>
    <w:rsid w:val="001E4AF0"/>
    <w:rsid w:val="001E684C"/>
    <w:rsid w:val="001E7740"/>
    <w:rsid w:val="001F129E"/>
    <w:rsid w:val="001F1383"/>
    <w:rsid w:val="001F29DE"/>
    <w:rsid w:val="001F351F"/>
    <w:rsid w:val="001F3923"/>
    <w:rsid w:val="001F4CBB"/>
    <w:rsid w:val="001F7346"/>
    <w:rsid w:val="00200C6F"/>
    <w:rsid w:val="00202D6C"/>
    <w:rsid w:val="00205A3B"/>
    <w:rsid w:val="00206CE0"/>
    <w:rsid w:val="002100D7"/>
    <w:rsid w:val="00213823"/>
    <w:rsid w:val="00214AEF"/>
    <w:rsid w:val="00214B28"/>
    <w:rsid w:val="002224A8"/>
    <w:rsid w:val="002225CB"/>
    <w:rsid w:val="00235499"/>
    <w:rsid w:val="00235AF4"/>
    <w:rsid w:val="00237A4F"/>
    <w:rsid w:val="00237CB9"/>
    <w:rsid w:val="002524F7"/>
    <w:rsid w:val="002557CF"/>
    <w:rsid w:val="002566F1"/>
    <w:rsid w:val="002752DC"/>
    <w:rsid w:val="00283FEE"/>
    <w:rsid w:val="002862E0"/>
    <w:rsid w:val="00293BD1"/>
    <w:rsid w:val="00295FEF"/>
    <w:rsid w:val="002A0400"/>
    <w:rsid w:val="002B1AAB"/>
    <w:rsid w:val="002B3E66"/>
    <w:rsid w:val="002B444A"/>
    <w:rsid w:val="002B48CA"/>
    <w:rsid w:val="002C39AF"/>
    <w:rsid w:val="002C49FF"/>
    <w:rsid w:val="002C6D0D"/>
    <w:rsid w:val="002D25DE"/>
    <w:rsid w:val="002D378E"/>
    <w:rsid w:val="002E719B"/>
    <w:rsid w:val="002F1C67"/>
    <w:rsid w:val="002F407A"/>
    <w:rsid w:val="002F48B6"/>
    <w:rsid w:val="00301619"/>
    <w:rsid w:val="00302786"/>
    <w:rsid w:val="003046BA"/>
    <w:rsid w:val="00311BA5"/>
    <w:rsid w:val="00314013"/>
    <w:rsid w:val="00320D78"/>
    <w:rsid w:val="0032113A"/>
    <w:rsid w:val="003255A2"/>
    <w:rsid w:val="0032746F"/>
    <w:rsid w:val="00330D1A"/>
    <w:rsid w:val="003343BF"/>
    <w:rsid w:val="003346A2"/>
    <w:rsid w:val="00344180"/>
    <w:rsid w:val="0035454A"/>
    <w:rsid w:val="00356D8C"/>
    <w:rsid w:val="0036572D"/>
    <w:rsid w:val="00365E6D"/>
    <w:rsid w:val="00366A5A"/>
    <w:rsid w:val="00370DF9"/>
    <w:rsid w:val="0037700B"/>
    <w:rsid w:val="0038412B"/>
    <w:rsid w:val="00384FCE"/>
    <w:rsid w:val="00390AA1"/>
    <w:rsid w:val="0039355D"/>
    <w:rsid w:val="003A5F16"/>
    <w:rsid w:val="003A6BCE"/>
    <w:rsid w:val="003B0B1E"/>
    <w:rsid w:val="003B1AD7"/>
    <w:rsid w:val="003B4EAD"/>
    <w:rsid w:val="003B5B81"/>
    <w:rsid w:val="003B5D47"/>
    <w:rsid w:val="003C275D"/>
    <w:rsid w:val="003C41E7"/>
    <w:rsid w:val="003C5C41"/>
    <w:rsid w:val="003C7681"/>
    <w:rsid w:val="003D1339"/>
    <w:rsid w:val="003D210C"/>
    <w:rsid w:val="003D2CBF"/>
    <w:rsid w:val="003D319B"/>
    <w:rsid w:val="003D3ED4"/>
    <w:rsid w:val="003E11BD"/>
    <w:rsid w:val="003E2343"/>
    <w:rsid w:val="003F039C"/>
    <w:rsid w:val="003F2BEB"/>
    <w:rsid w:val="003F384B"/>
    <w:rsid w:val="003F4263"/>
    <w:rsid w:val="003F79CE"/>
    <w:rsid w:val="0040083A"/>
    <w:rsid w:val="00400CB5"/>
    <w:rsid w:val="00403672"/>
    <w:rsid w:val="00406812"/>
    <w:rsid w:val="004122AF"/>
    <w:rsid w:val="00412739"/>
    <w:rsid w:val="00413678"/>
    <w:rsid w:val="00432680"/>
    <w:rsid w:val="00440612"/>
    <w:rsid w:val="004424D2"/>
    <w:rsid w:val="004439E0"/>
    <w:rsid w:val="00443B16"/>
    <w:rsid w:val="0044781C"/>
    <w:rsid w:val="00454101"/>
    <w:rsid w:val="00455A57"/>
    <w:rsid w:val="00457863"/>
    <w:rsid w:val="004705C6"/>
    <w:rsid w:val="00474BA1"/>
    <w:rsid w:val="00476B0A"/>
    <w:rsid w:val="00477DB8"/>
    <w:rsid w:val="00482BCA"/>
    <w:rsid w:val="00485544"/>
    <w:rsid w:val="00485FE2"/>
    <w:rsid w:val="00494449"/>
    <w:rsid w:val="004A0A8E"/>
    <w:rsid w:val="004A58DF"/>
    <w:rsid w:val="004A70B9"/>
    <w:rsid w:val="004B41D6"/>
    <w:rsid w:val="004B449F"/>
    <w:rsid w:val="004D19F0"/>
    <w:rsid w:val="004D797A"/>
    <w:rsid w:val="004D7E15"/>
    <w:rsid w:val="004E631D"/>
    <w:rsid w:val="004E671D"/>
    <w:rsid w:val="004F0BE3"/>
    <w:rsid w:val="004F1C83"/>
    <w:rsid w:val="00506AC9"/>
    <w:rsid w:val="00507E3A"/>
    <w:rsid w:val="00507F2D"/>
    <w:rsid w:val="00523C54"/>
    <w:rsid w:val="005265A9"/>
    <w:rsid w:val="00527812"/>
    <w:rsid w:val="0053306B"/>
    <w:rsid w:val="00535554"/>
    <w:rsid w:val="005422BE"/>
    <w:rsid w:val="0054480B"/>
    <w:rsid w:val="00545509"/>
    <w:rsid w:val="00545B84"/>
    <w:rsid w:val="00546E0C"/>
    <w:rsid w:val="00547AE2"/>
    <w:rsid w:val="005504AC"/>
    <w:rsid w:val="00553308"/>
    <w:rsid w:val="00557DE1"/>
    <w:rsid w:val="00565F48"/>
    <w:rsid w:val="00567FB7"/>
    <w:rsid w:val="00574375"/>
    <w:rsid w:val="005768CE"/>
    <w:rsid w:val="005772D4"/>
    <w:rsid w:val="005809D6"/>
    <w:rsid w:val="00580C69"/>
    <w:rsid w:val="005819F9"/>
    <w:rsid w:val="00582919"/>
    <w:rsid w:val="00586ACF"/>
    <w:rsid w:val="00586C9C"/>
    <w:rsid w:val="00586D98"/>
    <w:rsid w:val="00590DBE"/>
    <w:rsid w:val="00595E96"/>
    <w:rsid w:val="0059662D"/>
    <w:rsid w:val="005A2B3D"/>
    <w:rsid w:val="005A418A"/>
    <w:rsid w:val="005A5ABF"/>
    <w:rsid w:val="005A6938"/>
    <w:rsid w:val="005A7F18"/>
    <w:rsid w:val="005B1040"/>
    <w:rsid w:val="005B2B0F"/>
    <w:rsid w:val="005B2B96"/>
    <w:rsid w:val="005B77DA"/>
    <w:rsid w:val="005C0B71"/>
    <w:rsid w:val="005C0D9C"/>
    <w:rsid w:val="005C11CF"/>
    <w:rsid w:val="005C25E7"/>
    <w:rsid w:val="005C28A9"/>
    <w:rsid w:val="005C3B7A"/>
    <w:rsid w:val="005C6297"/>
    <w:rsid w:val="005C6A7E"/>
    <w:rsid w:val="005C6CA2"/>
    <w:rsid w:val="005C6D15"/>
    <w:rsid w:val="005D7FF5"/>
    <w:rsid w:val="005F30D8"/>
    <w:rsid w:val="005F5937"/>
    <w:rsid w:val="00602BF4"/>
    <w:rsid w:val="00604036"/>
    <w:rsid w:val="00607053"/>
    <w:rsid w:val="0060770B"/>
    <w:rsid w:val="00625D15"/>
    <w:rsid w:val="00626B5D"/>
    <w:rsid w:val="0063420F"/>
    <w:rsid w:val="00635E7C"/>
    <w:rsid w:val="00636CEE"/>
    <w:rsid w:val="00637F49"/>
    <w:rsid w:val="00641627"/>
    <w:rsid w:val="00645AA6"/>
    <w:rsid w:val="00645AF9"/>
    <w:rsid w:val="00646CDB"/>
    <w:rsid w:val="006477F4"/>
    <w:rsid w:val="00651579"/>
    <w:rsid w:val="006524F1"/>
    <w:rsid w:val="00654626"/>
    <w:rsid w:val="006566A3"/>
    <w:rsid w:val="00675B62"/>
    <w:rsid w:val="006808A0"/>
    <w:rsid w:val="00683C6D"/>
    <w:rsid w:val="0068414B"/>
    <w:rsid w:val="00694FAA"/>
    <w:rsid w:val="00695C86"/>
    <w:rsid w:val="006B01A2"/>
    <w:rsid w:val="006B6642"/>
    <w:rsid w:val="006C4B8C"/>
    <w:rsid w:val="006D0546"/>
    <w:rsid w:val="006D088D"/>
    <w:rsid w:val="006D4531"/>
    <w:rsid w:val="006D7A86"/>
    <w:rsid w:val="006E252C"/>
    <w:rsid w:val="006E5850"/>
    <w:rsid w:val="006F1F98"/>
    <w:rsid w:val="006F5399"/>
    <w:rsid w:val="006F6834"/>
    <w:rsid w:val="006F74F1"/>
    <w:rsid w:val="00701BBD"/>
    <w:rsid w:val="00705F01"/>
    <w:rsid w:val="00706FF2"/>
    <w:rsid w:val="00707E99"/>
    <w:rsid w:val="007102E5"/>
    <w:rsid w:val="007162AA"/>
    <w:rsid w:val="00717E22"/>
    <w:rsid w:val="0072434A"/>
    <w:rsid w:val="00730499"/>
    <w:rsid w:val="0073256C"/>
    <w:rsid w:val="007326D7"/>
    <w:rsid w:val="00733D97"/>
    <w:rsid w:val="007371C6"/>
    <w:rsid w:val="00737E83"/>
    <w:rsid w:val="00743AD7"/>
    <w:rsid w:val="0074436B"/>
    <w:rsid w:val="00751682"/>
    <w:rsid w:val="00751F13"/>
    <w:rsid w:val="00753D4A"/>
    <w:rsid w:val="0075530D"/>
    <w:rsid w:val="00760F58"/>
    <w:rsid w:val="0076601A"/>
    <w:rsid w:val="00771534"/>
    <w:rsid w:val="007722BC"/>
    <w:rsid w:val="0077331E"/>
    <w:rsid w:val="0077480B"/>
    <w:rsid w:val="007838F7"/>
    <w:rsid w:val="0079166B"/>
    <w:rsid w:val="0079487F"/>
    <w:rsid w:val="0079696E"/>
    <w:rsid w:val="00796E41"/>
    <w:rsid w:val="00797538"/>
    <w:rsid w:val="007A2746"/>
    <w:rsid w:val="007A3084"/>
    <w:rsid w:val="007A59B2"/>
    <w:rsid w:val="007A6120"/>
    <w:rsid w:val="007B08F7"/>
    <w:rsid w:val="007B32C0"/>
    <w:rsid w:val="007B38D0"/>
    <w:rsid w:val="007B5CDA"/>
    <w:rsid w:val="007C5198"/>
    <w:rsid w:val="007E26BF"/>
    <w:rsid w:val="007E3EF1"/>
    <w:rsid w:val="007E46A3"/>
    <w:rsid w:val="007F01CF"/>
    <w:rsid w:val="007F1038"/>
    <w:rsid w:val="007F5629"/>
    <w:rsid w:val="007F5E16"/>
    <w:rsid w:val="00802592"/>
    <w:rsid w:val="008029FE"/>
    <w:rsid w:val="0080352D"/>
    <w:rsid w:val="00803AE3"/>
    <w:rsid w:val="00804DA6"/>
    <w:rsid w:val="00804EA0"/>
    <w:rsid w:val="00806B7E"/>
    <w:rsid w:val="00813192"/>
    <w:rsid w:val="00814199"/>
    <w:rsid w:val="0082394F"/>
    <w:rsid w:val="00823FDA"/>
    <w:rsid w:val="0082435E"/>
    <w:rsid w:val="00830E80"/>
    <w:rsid w:val="0083323D"/>
    <w:rsid w:val="00835B17"/>
    <w:rsid w:val="00835DD9"/>
    <w:rsid w:val="00841F7E"/>
    <w:rsid w:val="00862D47"/>
    <w:rsid w:val="008707DD"/>
    <w:rsid w:val="00874A6F"/>
    <w:rsid w:val="00874BA2"/>
    <w:rsid w:val="00875AFA"/>
    <w:rsid w:val="00880156"/>
    <w:rsid w:val="008852A3"/>
    <w:rsid w:val="00885372"/>
    <w:rsid w:val="008853D9"/>
    <w:rsid w:val="008933E8"/>
    <w:rsid w:val="00894376"/>
    <w:rsid w:val="0089577C"/>
    <w:rsid w:val="008B1A39"/>
    <w:rsid w:val="008B5623"/>
    <w:rsid w:val="008C4BFF"/>
    <w:rsid w:val="008D03EE"/>
    <w:rsid w:val="008D27CC"/>
    <w:rsid w:val="008D4E7D"/>
    <w:rsid w:val="008D57F0"/>
    <w:rsid w:val="008E050D"/>
    <w:rsid w:val="008E7E6C"/>
    <w:rsid w:val="00905757"/>
    <w:rsid w:val="00911750"/>
    <w:rsid w:val="009121F0"/>
    <w:rsid w:val="0091324E"/>
    <w:rsid w:val="00915503"/>
    <w:rsid w:val="00917BF0"/>
    <w:rsid w:val="00920172"/>
    <w:rsid w:val="00920DBC"/>
    <w:rsid w:val="00921385"/>
    <w:rsid w:val="009220A3"/>
    <w:rsid w:val="00925856"/>
    <w:rsid w:val="0092760A"/>
    <w:rsid w:val="00933404"/>
    <w:rsid w:val="009354AA"/>
    <w:rsid w:val="00942FAB"/>
    <w:rsid w:val="00943705"/>
    <w:rsid w:val="0094677C"/>
    <w:rsid w:val="00947CF6"/>
    <w:rsid w:val="00950394"/>
    <w:rsid w:val="00955F51"/>
    <w:rsid w:val="0096181E"/>
    <w:rsid w:val="00971FBC"/>
    <w:rsid w:val="009726D6"/>
    <w:rsid w:val="00975656"/>
    <w:rsid w:val="009766FD"/>
    <w:rsid w:val="00976850"/>
    <w:rsid w:val="0098379D"/>
    <w:rsid w:val="009847DD"/>
    <w:rsid w:val="009915C0"/>
    <w:rsid w:val="00991F58"/>
    <w:rsid w:val="009945BA"/>
    <w:rsid w:val="00996BA1"/>
    <w:rsid w:val="009A2677"/>
    <w:rsid w:val="009A3F0F"/>
    <w:rsid w:val="009A3FCE"/>
    <w:rsid w:val="009A746F"/>
    <w:rsid w:val="009B44D7"/>
    <w:rsid w:val="009B6C9C"/>
    <w:rsid w:val="009B788F"/>
    <w:rsid w:val="009C039C"/>
    <w:rsid w:val="009C03AE"/>
    <w:rsid w:val="009C297C"/>
    <w:rsid w:val="009C3EBF"/>
    <w:rsid w:val="009D03A5"/>
    <w:rsid w:val="009D3F0C"/>
    <w:rsid w:val="009D6AAC"/>
    <w:rsid w:val="009E0299"/>
    <w:rsid w:val="009E2BA7"/>
    <w:rsid w:val="009F040B"/>
    <w:rsid w:val="009F0B22"/>
    <w:rsid w:val="009F746A"/>
    <w:rsid w:val="00A00BE5"/>
    <w:rsid w:val="00A07DFF"/>
    <w:rsid w:val="00A10B55"/>
    <w:rsid w:val="00A12F2B"/>
    <w:rsid w:val="00A165B6"/>
    <w:rsid w:val="00A16C9F"/>
    <w:rsid w:val="00A22D0E"/>
    <w:rsid w:val="00A3180C"/>
    <w:rsid w:val="00A33ECD"/>
    <w:rsid w:val="00A37C97"/>
    <w:rsid w:val="00A40DD0"/>
    <w:rsid w:val="00A43284"/>
    <w:rsid w:val="00A53DE2"/>
    <w:rsid w:val="00A54FCE"/>
    <w:rsid w:val="00A65A2F"/>
    <w:rsid w:val="00A664EE"/>
    <w:rsid w:val="00A677CB"/>
    <w:rsid w:val="00A74531"/>
    <w:rsid w:val="00A837C1"/>
    <w:rsid w:val="00A850A9"/>
    <w:rsid w:val="00A86312"/>
    <w:rsid w:val="00A907EF"/>
    <w:rsid w:val="00A935FA"/>
    <w:rsid w:val="00A94225"/>
    <w:rsid w:val="00A957A6"/>
    <w:rsid w:val="00AA32A1"/>
    <w:rsid w:val="00AA6295"/>
    <w:rsid w:val="00AA7AAA"/>
    <w:rsid w:val="00AB06C8"/>
    <w:rsid w:val="00AC16F6"/>
    <w:rsid w:val="00AC51AF"/>
    <w:rsid w:val="00AC648E"/>
    <w:rsid w:val="00AC6C03"/>
    <w:rsid w:val="00AC6C4E"/>
    <w:rsid w:val="00AC6E35"/>
    <w:rsid w:val="00AC7ABA"/>
    <w:rsid w:val="00AD16BB"/>
    <w:rsid w:val="00AE4821"/>
    <w:rsid w:val="00AF3420"/>
    <w:rsid w:val="00AF4F59"/>
    <w:rsid w:val="00AF537D"/>
    <w:rsid w:val="00B12F35"/>
    <w:rsid w:val="00B22A62"/>
    <w:rsid w:val="00B231E2"/>
    <w:rsid w:val="00B2401E"/>
    <w:rsid w:val="00B24A40"/>
    <w:rsid w:val="00B33E99"/>
    <w:rsid w:val="00B353E4"/>
    <w:rsid w:val="00B35D39"/>
    <w:rsid w:val="00B542AA"/>
    <w:rsid w:val="00B57D9E"/>
    <w:rsid w:val="00B6689B"/>
    <w:rsid w:val="00B66FBE"/>
    <w:rsid w:val="00B67572"/>
    <w:rsid w:val="00B7287D"/>
    <w:rsid w:val="00B730CB"/>
    <w:rsid w:val="00B81E1B"/>
    <w:rsid w:val="00B838AE"/>
    <w:rsid w:val="00B83C28"/>
    <w:rsid w:val="00B84281"/>
    <w:rsid w:val="00B858AE"/>
    <w:rsid w:val="00B87821"/>
    <w:rsid w:val="00B90AEC"/>
    <w:rsid w:val="00B946DD"/>
    <w:rsid w:val="00B9781E"/>
    <w:rsid w:val="00BA28EC"/>
    <w:rsid w:val="00BA7C54"/>
    <w:rsid w:val="00BB4300"/>
    <w:rsid w:val="00BB5F59"/>
    <w:rsid w:val="00BC17C5"/>
    <w:rsid w:val="00BC74F4"/>
    <w:rsid w:val="00BC7896"/>
    <w:rsid w:val="00BC7F76"/>
    <w:rsid w:val="00BE0809"/>
    <w:rsid w:val="00BE1659"/>
    <w:rsid w:val="00BE3CBC"/>
    <w:rsid w:val="00BF4F1B"/>
    <w:rsid w:val="00BF6529"/>
    <w:rsid w:val="00C13944"/>
    <w:rsid w:val="00C13EEE"/>
    <w:rsid w:val="00C16C5C"/>
    <w:rsid w:val="00C20969"/>
    <w:rsid w:val="00C2097A"/>
    <w:rsid w:val="00C2202D"/>
    <w:rsid w:val="00C250DF"/>
    <w:rsid w:val="00C26E0F"/>
    <w:rsid w:val="00C32768"/>
    <w:rsid w:val="00C345D1"/>
    <w:rsid w:val="00C347AC"/>
    <w:rsid w:val="00C43DC7"/>
    <w:rsid w:val="00C50024"/>
    <w:rsid w:val="00C51FA2"/>
    <w:rsid w:val="00C53A48"/>
    <w:rsid w:val="00C576BF"/>
    <w:rsid w:val="00C605F4"/>
    <w:rsid w:val="00C6385B"/>
    <w:rsid w:val="00C6652B"/>
    <w:rsid w:val="00C71B8A"/>
    <w:rsid w:val="00C72310"/>
    <w:rsid w:val="00C7422B"/>
    <w:rsid w:val="00C76EC0"/>
    <w:rsid w:val="00C80AE5"/>
    <w:rsid w:val="00C81097"/>
    <w:rsid w:val="00C816AA"/>
    <w:rsid w:val="00C831F6"/>
    <w:rsid w:val="00C86F86"/>
    <w:rsid w:val="00C8770A"/>
    <w:rsid w:val="00CA0125"/>
    <w:rsid w:val="00CA2957"/>
    <w:rsid w:val="00CB0B7B"/>
    <w:rsid w:val="00CB0E97"/>
    <w:rsid w:val="00CB1533"/>
    <w:rsid w:val="00CB34C1"/>
    <w:rsid w:val="00CB4A8F"/>
    <w:rsid w:val="00CB4E8B"/>
    <w:rsid w:val="00CB5EBA"/>
    <w:rsid w:val="00CB6982"/>
    <w:rsid w:val="00CC7214"/>
    <w:rsid w:val="00CC7D01"/>
    <w:rsid w:val="00CD1D08"/>
    <w:rsid w:val="00CD3267"/>
    <w:rsid w:val="00CD3E64"/>
    <w:rsid w:val="00CD502A"/>
    <w:rsid w:val="00CD7D65"/>
    <w:rsid w:val="00CE0367"/>
    <w:rsid w:val="00CE2276"/>
    <w:rsid w:val="00CE51F8"/>
    <w:rsid w:val="00CE6E3F"/>
    <w:rsid w:val="00CF2F80"/>
    <w:rsid w:val="00D00063"/>
    <w:rsid w:val="00D0120D"/>
    <w:rsid w:val="00D06F57"/>
    <w:rsid w:val="00D07A60"/>
    <w:rsid w:val="00D11D9E"/>
    <w:rsid w:val="00D14B7D"/>
    <w:rsid w:val="00D223B1"/>
    <w:rsid w:val="00D33A51"/>
    <w:rsid w:val="00D34773"/>
    <w:rsid w:val="00D357C9"/>
    <w:rsid w:val="00D35D01"/>
    <w:rsid w:val="00D41DC0"/>
    <w:rsid w:val="00D4347F"/>
    <w:rsid w:val="00D43B31"/>
    <w:rsid w:val="00D4443A"/>
    <w:rsid w:val="00D45E1D"/>
    <w:rsid w:val="00D478B3"/>
    <w:rsid w:val="00D51442"/>
    <w:rsid w:val="00D5509F"/>
    <w:rsid w:val="00D55771"/>
    <w:rsid w:val="00D5752C"/>
    <w:rsid w:val="00D610C3"/>
    <w:rsid w:val="00D6418B"/>
    <w:rsid w:val="00D66908"/>
    <w:rsid w:val="00D72DDE"/>
    <w:rsid w:val="00D7693A"/>
    <w:rsid w:val="00D81B78"/>
    <w:rsid w:val="00D83021"/>
    <w:rsid w:val="00D83AB1"/>
    <w:rsid w:val="00D83DBB"/>
    <w:rsid w:val="00D8475E"/>
    <w:rsid w:val="00D85E9E"/>
    <w:rsid w:val="00D877B5"/>
    <w:rsid w:val="00D96FE9"/>
    <w:rsid w:val="00D974F4"/>
    <w:rsid w:val="00DA1469"/>
    <w:rsid w:val="00DA1501"/>
    <w:rsid w:val="00DA152B"/>
    <w:rsid w:val="00DA1CA4"/>
    <w:rsid w:val="00DA2C52"/>
    <w:rsid w:val="00DB15E0"/>
    <w:rsid w:val="00DB4258"/>
    <w:rsid w:val="00DB42A6"/>
    <w:rsid w:val="00DB5AF6"/>
    <w:rsid w:val="00DC0394"/>
    <w:rsid w:val="00DC0892"/>
    <w:rsid w:val="00DC6B89"/>
    <w:rsid w:val="00DD0A2E"/>
    <w:rsid w:val="00DD4452"/>
    <w:rsid w:val="00DE077E"/>
    <w:rsid w:val="00DE15EB"/>
    <w:rsid w:val="00DE4989"/>
    <w:rsid w:val="00DF1E34"/>
    <w:rsid w:val="00DF2E37"/>
    <w:rsid w:val="00DF2FC7"/>
    <w:rsid w:val="00DF4D78"/>
    <w:rsid w:val="00DF5EF2"/>
    <w:rsid w:val="00DF6BB7"/>
    <w:rsid w:val="00E00734"/>
    <w:rsid w:val="00E03E46"/>
    <w:rsid w:val="00E05587"/>
    <w:rsid w:val="00E06C80"/>
    <w:rsid w:val="00E07C66"/>
    <w:rsid w:val="00E103E8"/>
    <w:rsid w:val="00E104A9"/>
    <w:rsid w:val="00E1275A"/>
    <w:rsid w:val="00E14B3C"/>
    <w:rsid w:val="00E15AF1"/>
    <w:rsid w:val="00E16540"/>
    <w:rsid w:val="00E20AB2"/>
    <w:rsid w:val="00E2505E"/>
    <w:rsid w:val="00E314C2"/>
    <w:rsid w:val="00E330BC"/>
    <w:rsid w:val="00E3617B"/>
    <w:rsid w:val="00E432DD"/>
    <w:rsid w:val="00E43ECD"/>
    <w:rsid w:val="00E4451D"/>
    <w:rsid w:val="00E45042"/>
    <w:rsid w:val="00E45AE6"/>
    <w:rsid w:val="00E464AE"/>
    <w:rsid w:val="00E47FB9"/>
    <w:rsid w:val="00E50C15"/>
    <w:rsid w:val="00E52CF2"/>
    <w:rsid w:val="00E55C5F"/>
    <w:rsid w:val="00E577C6"/>
    <w:rsid w:val="00E6019A"/>
    <w:rsid w:val="00E62760"/>
    <w:rsid w:val="00E62EB7"/>
    <w:rsid w:val="00E63E0A"/>
    <w:rsid w:val="00E652FD"/>
    <w:rsid w:val="00E671DC"/>
    <w:rsid w:val="00E67A1D"/>
    <w:rsid w:val="00E70C8A"/>
    <w:rsid w:val="00E7313F"/>
    <w:rsid w:val="00E815A8"/>
    <w:rsid w:val="00E83B32"/>
    <w:rsid w:val="00E85E2C"/>
    <w:rsid w:val="00E91513"/>
    <w:rsid w:val="00E976BF"/>
    <w:rsid w:val="00EA4588"/>
    <w:rsid w:val="00EA4AD3"/>
    <w:rsid w:val="00EA7328"/>
    <w:rsid w:val="00EB0353"/>
    <w:rsid w:val="00EB2BFF"/>
    <w:rsid w:val="00EB3A99"/>
    <w:rsid w:val="00EC1C29"/>
    <w:rsid w:val="00EC5B35"/>
    <w:rsid w:val="00EC606A"/>
    <w:rsid w:val="00ED1612"/>
    <w:rsid w:val="00ED1D88"/>
    <w:rsid w:val="00EE0096"/>
    <w:rsid w:val="00EE0F2D"/>
    <w:rsid w:val="00EE1991"/>
    <w:rsid w:val="00EE74AA"/>
    <w:rsid w:val="00EF273A"/>
    <w:rsid w:val="00F06A19"/>
    <w:rsid w:val="00F104F1"/>
    <w:rsid w:val="00F12147"/>
    <w:rsid w:val="00F15A51"/>
    <w:rsid w:val="00F17099"/>
    <w:rsid w:val="00F218CE"/>
    <w:rsid w:val="00F21F65"/>
    <w:rsid w:val="00F23C34"/>
    <w:rsid w:val="00F343D0"/>
    <w:rsid w:val="00F35C15"/>
    <w:rsid w:val="00F36320"/>
    <w:rsid w:val="00F367B8"/>
    <w:rsid w:val="00F5153A"/>
    <w:rsid w:val="00F53085"/>
    <w:rsid w:val="00F53A90"/>
    <w:rsid w:val="00F55611"/>
    <w:rsid w:val="00F55C2C"/>
    <w:rsid w:val="00F623C4"/>
    <w:rsid w:val="00F65928"/>
    <w:rsid w:val="00F65A72"/>
    <w:rsid w:val="00F66ADB"/>
    <w:rsid w:val="00F676F9"/>
    <w:rsid w:val="00F67FD7"/>
    <w:rsid w:val="00F70411"/>
    <w:rsid w:val="00F70F00"/>
    <w:rsid w:val="00F71F53"/>
    <w:rsid w:val="00F7267C"/>
    <w:rsid w:val="00F75450"/>
    <w:rsid w:val="00F77D99"/>
    <w:rsid w:val="00F81139"/>
    <w:rsid w:val="00F82C5C"/>
    <w:rsid w:val="00F83CDD"/>
    <w:rsid w:val="00F849A2"/>
    <w:rsid w:val="00F866A1"/>
    <w:rsid w:val="00F95EE1"/>
    <w:rsid w:val="00F96494"/>
    <w:rsid w:val="00FA3865"/>
    <w:rsid w:val="00FA7B55"/>
    <w:rsid w:val="00FB0143"/>
    <w:rsid w:val="00FB4192"/>
    <w:rsid w:val="00FB53CD"/>
    <w:rsid w:val="00FB79AE"/>
    <w:rsid w:val="00FC455E"/>
    <w:rsid w:val="00FC77CC"/>
    <w:rsid w:val="00FD1F53"/>
    <w:rsid w:val="00FD722C"/>
    <w:rsid w:val="00FE1B06"/>
    <w:rsid w:val="00FE2471"/>
    <w:rsid w:val="00FE5476"/>
    <w:rsid w:val="00FE69E7"/>
    <w:rsid w:val="00FF642E"/>
    <w:rsid w:val="00FF6652"/>
    <w:rsid w:val="00FF7377"/>
    <w:rsid w:val="00FF7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dat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38DCD355-87D0-49DD-9981-ABDDE6D7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rPr>
      <w:lang w:val="de-DE"/>
    </w:rPr>
  </w:style>
  <w:style w:type="paragraph" w:customStyle="1" w:styleId="Contact">
    <w:name w:val="Contact"/>
    <w:basedOn w:val="Normal"/>
    <w:next w:val="Enclosures"/>
    <w:pPr>
      <w:spacing w:before="480" w:after="0"/>
      <w:ind w:left="567" w:hanging="567"/>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5"/>
      </w:numPr>
    </w:pPr>
  </w:style>
  <w:style w:type="paragraph" w:customStyle="1" w:styleId="ListDash">
    <w:name w:val="List Dash"/>
    <w:basedOn w:val="Normal"/>
    <w:pPr>
      <w:numPr>
        <w:numId w:val="19"/>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qFormat/>
    <w:pPr>
      <w:keepNext/>
      <w:spacing w:before="240"/>
      <w:jc w:val="center"/>
    </w:pPr>
    <w:rPr>
      <w:b/>
    </w:rPr>
  </w:style>
  <w:style w:type="paragraph" w:customStyle="1" w:styleId="ZCom">
    <w:name w:val="Z_Com"/>
    <w:basedOn w:val="Normal"/>
    <w:next w:val="ZDGName"/>
    <w:pPr>
      <w:widowControl w:val="0"/>
      <w:spacing w:after="0"/>
      <w:ind w:right="85"/>
    </w:pPr>
    <w:rPr>
      <w:rFonts w:ascii="Arial" w:hAnsi="Arial"/>
      <w:snapToGrid w:val="0"/>
      <w:lang w:eastAsia="en-US"/>
    </w:rPr>
  </w:style>
  <w:style w:type="paragraph" w:customStyle="1" w:styleId="ZDGName">
    <w:name w:val="Z_DGName"/>
    <w:basedOn w:val="Normal"/>
    <w:pPr>
      <w:widowControl w:val="0"/>
      <w:spacing w:after="0"/>
      <w:ind w:right="85"/>
      <w:jc w:val="left"/>
    </w:pPr>
    <w:rPr>
      <w:rFonts w:ascii="Arial" w:hAnsi="Arial"/>
      <w:snapToGrid w:val="0"/>
      <w:sz w:val="16"/>
      <w:lang w:eastAsia="en-US"/>
    </w:rPr>
  </w:style>
  <w:style w:type="paragraph" w:customStyle="1" w:styleId="Disclaimer">
    <w:name w:val="Disclaimer"/>
    <w:basedOn w:val="Normal"/>
    <w:pPr>
      <w:keepLines/>
      <w:pBdr>
        <w:top w:val="single" w:sz="4" w:space="1" w:color="auto"/>
      </w:pBdr>
      <w:spacing w:before="480" w:after="0"/>
    </w:pPr>
    <w:rPr>
      <w:i/>
    </w:rPr>
  </w:style>
  <w:style w:type="character" w:customStyle="1" w:styleId="DefaultMargins">
    <w:name w:val="DefaultMargins"/>
    <w:basedOn w:val="DefaultParagraphFont"/>
    <w:rPr>
      <w:rFonts w:ascii="Courier New" w:hAnsi="Courier New"/>
      <w:noProof w:val="0"/>
      <w:sz w:val="20"/>
      <w:lang w:val="en-US"/>
    </w:rPr>
  </w:style>
  <w:style w:type="paragraph" w:customStyle="1" w:styleId="Initial">
    <w:name w:val="Initial"/>
    <w:pPr>
      <w:tabs>
        <w:tab w:val="left" w:pos="-720"/>
      </w:tabs>
      <w:suppressAutoHyphens/>
      <w:jc w:val="both"/>
    </w:pPr>
    <w:rPr>
      <w:spacing w:val="-3"/>
      <w:sz w:val="24"/>
      <w:lang w:val="en-US"/>
    </w:rPr>
  </w:style>
  <w:style w:type="paragraph" w:customStyle="1" w:styleId="Statut">
    <w:name w:val="Statut"/>
    <w:basedOn w:val="Normal"/>
    <w:next w:val="Normal"/>
    <w:pPr>
      <w:spacing w:before="360" w:after="0"/>
      <w:jc w:val="center"/>
    </w:pPr>
  </w:style>
  <w:style w:type="paragraph" w:customStyle="1" w:styleId="Dput">
    <w:name w:val="Député"/>
    <w:basedOn w:val="Normal"/>
    <w:pPr>
      <w:widowControl w:val="0"/>
      <w:ind w:left="1418"/>
      <w:jc w:val="left"/>
    </w:pPr>
    <w:rPr>
      <w:snapToGrid w:val="0"/>
      <w:lang w:eastAsia="en-US"/>
    </w:rPr>
  </w:style>
  <w:style w:type="paragraph" w:customStyle="1" w:styleId="Rfrencesproposition">
    <w:name w:val="Références proposition"/>
    <w:basedOn w:val="Normal"/>
    <w:next w:val="Normal"/>
    <w:pPr>
      <w:widowControl w:val="0"/>
      <w:spacing w:after="480"/>
      <w:ind w:left="1418"/>
      <w:jc w:val="left"/>
    </w:pPr>
    <w:rPr>
      <w:snapToGrid w:val="0"/>
      <w:lang w:eastAsia="en-US"/>
    </w:rPr>
  </w:style>
  <w:style w:type="paragraph" w:customStyle="1" w:styleId="Typedudocument">
    <w:name w:val="Type du document"/>
    <w:basedOn w:val="Normal"/>
    <w:next w:val="Normal"/>
    <w:pPr>
      <w:spacing w:before="360" w:after="0"/>
      <w:jc w:val="center"/>
    </w:pPr>
    <w:rPr>
      <w:b/>
    </w:rPr>
  </w:style>
  <w:style w:type="paragraph" w:customStyle="1" w:styleId="Titreobjet">
    <w:name w:val="Titre objet"/>
    <w:basedOn w:val="Normal"/>
    <w:next w:val="Normal"/>
    <w:pPr>
      <w:spacing w:before="360" w:after="360"/>
      <w:jc w:val="center"/>
    </w:pPr>
    <w:rPr>
      <w:b/>
    </w:rPr>
  </w:style>
  <w:style w:type="character" w:customStyle="1" w:styleId="Marker">
    <w:name w:val="Marker"/>
    <w:basedOn w:val="DefaultParagraphFont"/>
    <w:rPr>
      <w:noProof w:val="0"/>
      <w:color w:val="0000FF"/>
      <w:lang w:val="en-GB"/>
    </w:rPr>
  </w:style>
  <w:style w:type="paragraph" w:customStyle="1" w:styleId="Rfrenceinstitutionelle">
    <w:name w:val="Référence institutionelle"/>
    <w:basedOn w:val="Normal"/>
    <w:next w:val="Normal"/>
    <w:pPr>
      <w:ind w:left="5103"/>
      <w:jc w:val="left"/>
    </w:pPr>
  </w:style>
  <w:style w:type="paragraph" w:customStyle="1" w:styleId="PointDouble0">
    <w:name w:val="PointDouble 0"/>
    <w:basedOn w:val="Normal"/>
    <w:pPr>
      <w:tabs>
        <w:tab w:val="left" w:pos="851"/>
      </w:tabs>
      <w:spacing w:before="120" w:after="120"/>
      <w:ind w:left="1418" w:hanging="1418"/>
    </w:pPr>
    <w:rPr>
      <w:lang w:val="de-DE"/>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customStyle="1" w:styleId="HideTWBExt">
    <w:name w:val="HideTWBExt"/>
    <w:basedOn w:val="DefaultParagraphFont"/>
    <w:rPr>
      <w:rFonts w:ascii="Arial" w:hAnsi="Arial"/>
      <w:noProof/>
      <w:vanish/>
      <w:color w:val="000080"/>
      <w:sz w:val="16"/>
    </w:rPr>
  </w:style>
  <w:style w:type="paragraph" w:customStyle="1" w:styleId="TextToAmendAM">
    <w:name w:val="Text To Amend AM"/>
    <w:basedOn w:val="Normal"/>
    <w:pPr>
      <w:tabs>
        <w:tab w:val="left" w:pos="-720"/>
      </w:tabs>
      <w:spacing w:after="480"/>
      <w:jc w:val="left"/>
    </w:pPr>
  </w:style>
  <w:style w:type="character" w:customStyle="1" w:styleId="HideTWBInt">
    <w:name w:val="HideTWBInt"/>
    <w:basedOn w:val="DefaultParagraphFont"/>
    <w:rPr>
      <w:vanish/>
      <w:color w:val="808080"/>
    </w:rPr>
  </w:style>
  <w:style w:type="paragraph" w:customStyle="1" w:styleId="ManualHeading2">
    <w:name w:val="Manual Heading 2"/>
    <w:basedOn w:val="Heading2"/>
    <w:next w:val="Text2"/>
    <w:pPr>
      <w:tabs>
        <w:tab w:val="num" w:pos="851"/>
      </w:tabs>
      <w:spacing w:before="120" w:after="120"/>
      <w:ind w:left="851" w:hanging="851"/>
    </w:pPr>
  </w:style>
  <w:style w:type="character" w:styleId="Emphasis">
    <w:name w:val="Emphasis"/>
    <w:basedOn w:val="DefaultParagraphFont"/>
    <w:qFormat/>
    <w:rPr>
      <w:i/>
    </w:rPr>
  </w:style>
  <w:style w:type="paragraph" w:customStyle="1" w:styleId="Tiret0">
    <w:name w:val="Tiret 0"/>
    <w:basedOn w:val="Normal"/>
    <w:pPr>
      <w:spacing w:before="120" w:after="120"/>
      <w:ind w:left="851" w:hanging="851"/>
    </w:pPr>
  </w:style>
  <w:style w:type="paragraph" w:customStyle="1" w:styleId="ATHeading3">
    <w:name w:val="AT Heading 3"/>
    <w:basedOn w:val="Normal"/>
    <w:next w:val="Normal"/>
    <w:pPr>
      <w:keepNext/>
      <w:keepLines/>
      <w:spacing w:before="120" w:after="120"/>
      <w:jc w:val="left"/>
      <w:outlineLvl w:val="2"/>
    </w:pPr>
    <w:rPr>
      <w:b/>
      <w:noProof/>
    </w:rPr>
  </w:style>
  <w:style w:type="paragraph" w:customStyle="1" w:styleId="Prliminairetitre">
    <w:name w:val="Préliminaire titre"/>
    <w:basedOn w:val="Normal"/>
    <w:next w:val="Normal"/>
    <w:pPr>
      <w:spacing w:before="360" w:after="360"/>
      <w:jc w:val="center"/>
    </w:pPr>
    <w:rPr>
      <w:b/>
    </w:rPr>
  </w:style>
  <w:style w:type="paragraph" w:customStyle="1" w:styleId="Par-dash">
    <w:name w:val="Par-dash"/>
    <w:basedOn w:val="Normal"/>
    <w:next w:val="Normal"/>
    <w:pPr>
      <w:widowControl w:val="0"/>
      <w:numPr>
        <w:numId w:val="18"/>
      </w:numPr>
      <w:spacing w:after="0" w:line="360" w:lineRule="auto"/>
      <w:jc w:val="left"/>
    </w:pPr>
  </w:style>
  <w:style w:type="paragraph" w:customStyle="1" w:styleId="Rfrencestatut">
    <w:name w:val="Référence statut"/>
    <w:basedOn w:val="Normal"/>
    <w:next w:val="Normal"/>
    <w:pPr>
      <w:keepNext/>
      <w:keepLines/>
      <w:widowControl w:val="0"/>
      <w:spacing w:after="0"/>
      <w:jc w:val="right"/>
    </w:pPr>
    <w:rPr>
      <w:rFonts w:ascii="Arial" w:hAnsi="Arial"/>
      <w:snapToGrid w:val="0"/>
      <w:lang w:eastAsia="en-US"/>
    </w:rPr>
  </w:style>
  <w:style w:type="character" w:customStyle="1" w:styleId="Point0Char">
    <w:name w:val="Point 0 Char"/>
    <w:basedOn w:val="DefaultParagraphFont"/>
    <w:rPr>
      <w:noProof w:val="0"/>
      <w:sz w:val="24"/>
      <w:lang w:val="fr-FR" w:eastAsia="ko-KR" w:bidi="ar-SA"/>
    </w:rPr>
  </w:style>
  <w:style w:type="paragraph" w:customStyle="1" w:styleId="ManualHeading3">
    <w:name w:val="Manual Heading 3"/>
    <w:basedOn w:val="Heading3"/>
    <w:next w:val="Text3"/>
    <w:pPr>
      <w:tabs>
        <w:tab w:val="num" w:pos="851"/>
      </w:tabs>
      <w:spacing w:before="120" w:after="120"/>
      <w:ind w:left="850" w:hanging="850"/>
    </w:pPr>
  </w:style>
  <w:style w:type="paragraph" w:customStyle="1" w:styleId="titreobjet0">
    <w:name w:val="titreobjet"/>
    <w:basedOn w:val="Normal"/>
    <w:pPr>
      <w:snapToGrid w:val="0"/>
      <w:spacing w:after="0"/>
      <w:ind w:left="1418"/>
      <w:jc w:val="left"/>
    </w:pPr>
  </w:style>
  <w:style w:type="paragraph" w:customStyle="1" w:styleId="text10">
    <w:name w:val="text1"/>
    <w:basedOn w:val="Normal"/>
    <w:pPr>
      <w:ind w:left="482"/>
    </w:pPr>
  </w:style>
  <w:style w:type="paragraph" w:customStyle="1" w:styleId="notehead0">
    <w:name w:val="notehead"/>
    <w:basedOn w:val="Normal"/>
    <w:pPr>
      <w:spacing w:before="720" w:after="720"/>
      <w:jc w:val="center"/>
    </w:pPr>
    <w:rPr>
      <w:b/>
      <w:smallCaps/>
    </w:rPr>
  </w:style>
  <w:style w:type="paragraph" w:customStyle="1" w:styleId="numpar10">
    <w:name w:val="numpar1"/>
    <w:basedOn w:val="Normal"/>
    <w:pPr>
      <w:ind w:left="480" w:hanging="480"/>
    </w:pPr>
  </w:style>
  <w:style w:type="paragraph" w:customStyle="1" w:styleId="Point0">
    <w:name w:val="Point 0"/>
    <w:basedOn w:val="Normal"/>
    <w:rsid w:val="00027C0D"/>
    <w:pPr>
      <w:spacing w:before="120" w:after="120"/>
      <w:ind w:left="850" w:hanging="850"/>
    </w:pPr>
  </w:style>
  <w:style w:type="paragraph" w:customStyle="1" w:styleId="Rfrenceinterinstitutionelle">
    <w:name w:val="Référence interinstitutionelle"/>
    <w:basedOn w:val="Normal"/>
    <w:next w:val="Normal"/>
    <w:rsid w:val="00027C0D"/>
    <w:pPr>
      <w:spacing w:after="0"/>
      <w:ind w:left="5103"/>
      <w:jc w:val="left"/>
    </w:pPr>
  </w:style>
  <w:style w:type="paragraph" w:customStyle="1" w:styleId="5Normal">
    <w:name w:val="5 Normal"/>
    <w:rsid w:val="002B48C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jc w:val="both"/>
    </w:pPr>
    <w:rPr>
      <w:spacing w:val="-2"/>
      <w:sz w:val="24"/>
      <w:szCs w:val="24"/>
    </w:rPr>
  </w:style>
  <w:style w:type="paragraph" w:customStyle="1" w:styleId="normal0">
    <w:name w:val="normal"/>
    <w:rsid w:val="002225CB"/>
    <w:pPr>
      <w:spacing w:after="170"/>
      <w:jc w:val="both"/>
    </w:pPr>
    <w:rPr>
      <w:rFonts w:ascii="Helvetica" w:hAnsi="Helvetica"/>
      <w:snapToGrid w:val="0"/>
      <w:color w:val="000000"/>
      <w:lang w:eastAsia="en-US"/>
    </w:rPr>
  </w:style>
  <w:style w:type="paragraph" w:customStyle="1" w:styleId="paragraphe1">
    <w:name w:val="paragraphe1"/>
    <w:basedOn w:val="normal0"/>
    <w:rsid w:val="002225CB"/>
    <w:pPr>
      <w:tabs>
        <w:tab w:val="left" w:pos="283"/>
      </w:tabs>
      <w:ind w:left="283" w:hanging="283"/>
    </w:pPr>
    <w:rPr>
      <w:color w:val="auto"/>
    </w:rPr>
  </w:style>
  <w:style w:type="paragraph" w:customStyle="1" w:styleId="Normal12Centre">
    <w:name w:val="Normal12Centre"/>
    <w:basedOn w:val="Normal"/>
    <w:rsid w:val="00CB6982"/>
    <w:pPr>
      <w:widowControl w:val="0"/>
      <w:jc w:val="center"/>
    </w:pPr>
  </w:style>
  <w:style w:type="paragraph" w:customStyle="1" w:styleId="Normal12Italic">
    <w:name w:val="Normal12Italic"/>
    <w:basedOn w:val="Normal"/>
    <w:rsid w:val="00CB6982"/>
    <w:pPr>
      <w:widowControl w:val="0"/>
      <w:jc w:val="left"/>
    </w:pPr>
    <w:rPr>
      <w:i/>
    </w:rPr>
  </w:style>
  <w:style w:type="paragraph" w:customStyle="1" w:styleId="Normal12Center">
    <w:name w:val="Normal12Center"/>
    <w:basedOn w:val="Normal"/>
    <w:rsid w:val="00CB6982"/>
    <w:pPr>
      <w:widowControl w:val="0"/>
      <w:jc w:val="center"/>
    </w:pPr>
  </w:style>
  <w:style w:type="table" w:styleId="TableGrid">
    <w:name w:val="Table Grid"/>
    <w:basedOn w:val="TableNormal"/>
    <w:rsid w:val="00D8475E"/>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NumPar1">
    <w:name w:val="Manual NumPar 1"/>
    <w:basedOn w:val="Normal"/>
    <w:next w:val="Normal"/>
    <w:rsid w:val="00DF4D78"/>
    <w:pPr>
      <w:spacing w:before="120" w:after="120"/>
      <w:ind w:left="851" w:hanging="851"/>
    </w:pPr>
  </w:style>
  <w:style w:type="paragraph" w:customStyle="1" w:styleId="ManualNumPar2">
    <w:name w:val="Manual NumPar 2"/>
    <w:basedOn w:val="Normal"/>
    <w:next w:val="Normal"/>
    <w:rsid w:val="002862E0"/>
    <w:pPr>
      <w:spacing w:before="120" w:after="120"/>
      <w:ind w:left="851" w:hanging="851"/>
    </w:pPr>
  </w:style>
  <w:style w:type="paragraph" w:customStyle="1" w:styleId="CoverNormal">
    <w:name w:val="CoverNormal"/>
    <w:basedOn w:val="Normal"/>
    <w:rsid w:val="00547AE2"/>
    <w:pPr>
      <w:widowControl w:val="0"/>
      <w:spacing w:after="0"/>
      <w:ind w:left="1418"/>
      <w:jc w:val="left"/>
    </w:pPr>
  </w:style>
  <w:style w:type="paragraph" w:customStyle="1" w:styleId="RefStatus">
    <w:name w:val="RefStatus"/>
    <w:basedOn w:val="Normal"/>
    <w:rsid w:val="005C6CA2"/>
    <w:pPr>
      <w:widowControl w:val="0"/>
      <w:spacing w:after="0"/>
      <w:jc w:val="right"/>
    </w:pPr>
    <w:rPr>
      <w:rFonts w:ascii="Arial" w:hAnsi="Arial"/>
      <w:caps/>
    </w:rPr>
  </w:style>
  <w:style w:type="paragraph" w:styleId="NormalWeb">
    <w:name w:val="Normal (Web)"/>
    <w:basedOn w:val="Normal"/>
    <w:rsid w:val="005C6CA2"/>
    <w:pPr>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14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not.dot</Template>
  <TotalTime>0</TotalTime>
  <Pages>11</Pages>
  <Words>1688</Words>
  <Characters>9623</Characters>
  <Application>Microsoft Office Word</Application>
  <DocSecurity>0</DocSecurity>
  <PresentationFormat>Microsoft Word 8.0b</PresentationFormat>
  <Lines>80</Lines>
  <Paragraphs>22</Paragraphs>
  <ScaleCrop>false</ScaleCrop>
  <HeadingPairs>
    <vt:vector size="2" baseType="variant">
      <vt:variant>
        <vt:lpstr>Title</vt:lpstr>
      </vt:variant>
      <vt:variant>
        <vt:i4>1</vt:i4>
      </vt:variant>
    </vt:vector>
  </HeadingPairs>
  <TitlesOfParts>
    <vt:vector size="1" baseType="lpstr">
      <vt:lpstr>SP-2004-03173-00-00-EN-TRA-00 (FR)</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SP-2004-03173-00-00-EN-TRA-00 (FR)</dc:title>
  <dc:subject>Commission Communication on follow-up actions taken further to the opinions and resolutions adopted by the European Parliament during its November 2004 session.</dc:subject>
  <dc:creator>gartojo</dc:creator>
  <cp:keywords>EL4</cp:keywords>
  <cp:lastModifiedBy>GALLONE Frederic</cp:lastModifiedBy>
  <cp:revision>2</cp:revision>
  <cp:lastPrinted>2005-01-18T10:18:00Z</cp:lastPrinted>
  <dcterms:created xsi:type="dcterms:W3CDTF">2024-10-17T15:50:00Z</dcterms:created>
  <dcterms:modified xsi:type="dcterms:W3CDTF">2024-10-17T15:50:00Z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4.1eTp XP1 [20020325]</vt:lpwstr>
  </property>
  <property fmtid="{D5CDD505-2E9C-101B-9397-08002B2CF9AE}" pid="7" name="EL_Author">
    <vt:lpwstr>M. WERKER</vt:lpwstr>
  </property>
  <property fmtid="{D5CDD505-2E9C-101B-9397-08002B2CF9AE}" pid="8" name="Type">
    <vt:lpwstr>Eurolook Note &amp; Letter</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_AdHocReviewCycleID">
    <vt:i4>2059141537</vt:i4>
  </property>
  <property fmtid="{D5CDD505-2E9C-101B-9397-08002B2CF9AE}" pid="13" name="_EmailSubject">
    <vt:lpwstr>Communication novembre</vt:lpwstr>
  </property>
  <property fmtid="{D5CDD505-2E9C-101B-9397-08002B2CF9AE}" pid="14" name="_AuthorEmail">
    <vt:lpwstr>Anna.KARAMARKOU@cec.eu.int</vt:lpwstr>
  </property>
  <property fmtid="{D5CDD505-2E9C-101B-9397-08002B2CF9AE}" pid="15" name="_AuthorEmailDisplayName">
    <vt:lpwstr>KARAMARKOU Anna (SG)</vt:lpwstr>
  </property>
  <property fmtid="{D5CDD505-2E9C-101B-9397-08002B2CF9AE}" pid="16" name="_PreviousAdHocReviewCycleID">
    <vt:i4>-2015135424</vt:i4>
  </property>
  <property fmtid="{D5CDD505-2E9C-101B-9397-08002B2CF9AE}" pid="17" name="_ReviewingToolsShownOnce">
    <vt:lpwstr/>
  </property>
</Properties>
</file>