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7655"/>
      </w:tblGrid>
      <w:tr w:rsidR="00634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/>
        </w:trPr>
        <w:tc>
          <w:tcPr>
            <w:tcW w:w="1814" w:type="dxa"/>
          </w:tcPr>
          <w:p w:rsidR="0063420F" w:rsidRDefault="00C64E89">
            <w:pPr>
              <w:jc w:val="left"/>
            </w:pPr>
            <w:bookmarkStart w:id="0" w:name="_GoBack"/>
            <w:bookmarkEnd w:id="0"/>
            <w:r>
              <w:rPr>
                <w:noProof/>
                <w:sz w:val="20"/>
                <w:lang w:val="en-GB"/>
              </w:rPr>
              <w:drawing>
                <wp:inline distT="0" distB="0" distL="0" distR="0">
                  <wp:extent cx="1009650" cy="6718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3420F" w:rsidRDefault="0063420F">
            <w:pPr>
              <w:pStyle w:val="ZCom"/>
              <w:widowControl/>
            </w:pPr>
            <w:r>
              <w:t>COMMISSION EUROPÉENNE</w:t>
            </w:r>
          </w:p>
          <w:p w:rsidR="0063420F" w:rsidRDefault="0063420F">
            <w:pPr>
              <w:pStyle w:val="ZDGName"/>
              <w:widowControl/>
            </w:pPr>
            <w:r>
              <w:t>SECRÉTARIAT GÉNÉRAL</w:t>
            </w:r>
          </w:p>
          <w:p w:rsidR="0063420F" w:rsidRDefault="0063420F">
            <w:pPr>
              <w:pStyle w:val="ZDGName"/>
              <w:widowControl/>
            </w:pPr>
            <w:r>
              <w:t>Direction E</w:t>
            </w:r>
          </w:p>
          <w:p w:rsidR="0063420F" w:rsidRDefault="0063420F">
            <w:pPr>
              <w:pStyle w:val="ZDGName"/>
              <w:widowControl/>
            </w:pPr>
            <w:r>
              <w:rPr>
                <w:b/>
              </w:rPr>
              <w:t>Relations avec le Parlement européen, le médiateur européen, le Comité économique et social européen et le Comité des régions</w:t>
            </w:r>
          </w:p>
          <w:p w:rsidR="0063420F" w:rsidRDefault="0063420F">
            <w:pPr>
              <w:spacing w:after="0"/>
            </w:pPr>
          </w:p>
        </w:tc>
      </w:tr>
    </w:tbl>
    <w:p w:rsidR="0063420F" w:rsidRDefault="0063420F">
      <w:pPr>
        <w:pStyle w:val="Date"/>
      </w:pPr>
      <w:r>
        <w:t>Bruxelles, le</w:t>
      </w:r>
      <w:r w:rsidR="00586C9C">
        <w:t xml:space="preserve"> </w:t>
      </w:r>
      <w:r w:rsidR="00733D97">
        <w:t>15</w:t>
      </w:r>
      <w:r w:rsidR="00586C9C">
        <w:t xml:space="preserve"> décembre 2004</w:t>
      </w:r>
    </w:p>
    <w:p w:rsidR="0063420F" w:rsidRDefault="0063420F">
      <w:pPr>
        <w:pStyle w:val="Reference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976"/>
        <w:gridCol w:w="786"/>
      </w:tblGrid>
      <w:tr w:rsidR="00634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3420F" w:rsidRDefault="0063420F">
            <w:r>
              <w:rPr>
                <w:b/>
              </w:rPr>
              <w:t>SP(200</w:t>
            </w:r>
            <w:r w:rsidR="00804EA0">
              <w:rPr>
                <w:b/>
              </w:rPr>
              <w:t>4</w:t>
            </w:r>
            <w:r>
              <w:rPr>
                <w:b/>
              </w:rPr>
              <w:t>)</w:t>
            </w:r>
            <w:r w:rsidR="00C16C5C">
              <w:rPr>
                <w:b/>
              </w:rPr>
              <w:t>3173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43ECD" w:rsidRDefault="00E43ECD" w:rsidP="008D27CC">
            <w:pPr>
              <w:spacing w:after="0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63420F" w:rsidRDefault="0063420F"/>
        </w:tc>
      </w:tr>
    </w:tbl>
    <w:p w:rsidR="0063420F" w:rsidRDefault="0063420F">
      <w:pPr>
        <w:spacing w:after="120"/>
        <w:rPr>
          <w:sz w:val="48"/>
        </w:rPr>
      </w:pPr>
    </w:p>
    <w:p w:rsidR="0063420F" w:rsidRDefault="0063420F">
      <w:pPr>
        <w:jc w:val="center"/>
        <w:rPr>
          <w:b/>
          <w:sz w:val="48"/>
        </w:rPr>
      </w:pPr>
    </w:p>
    <w:p w:rsidR="0063420F" w:rsidRDefault="0063420F">
      <w:pPr>
        <w:jc w:val="center"/>
        <w:rPr>
          <w:b/>
          <w:sz w:val="48"/>
        </w:rPr>
      </w:pPr>
      <w:r>
        <w:rPr>
          <w:b/>
          <w:sz w:val="48"/>
        </w:rPr>
        <w:t>Communication de la Commission</w:t>
      </w:r>
      <w:r>
        <w:rPr>
          <w:b/>
          <w:sz w:val="48"/>
        </w:rPr>
        <w:br/>
        <w:t>sur les suites données aux avis et résolutions adoptés par le Parlement européen lors de</w:t>
      </w:r>
      <w:r w:rsidR="0074436B">
        <w:rPr>
          <w:b/>
          <w:sz w:val="48"/>
        </w:rPr>
        <w:t xml:space="preserve"> la</w:t>
      </w:r>
      <w:r w:rsidR="00E07C66">
        <w:rPr>
          <w:b/>
          <w:sz w:val="48"/>
        </w:rPr>
        <w:t xml:space="preserve"> </w:t>
      </w:r>
      <w:r>
        <w:rPr>
          <w:b/>
          <w:sz w:val="48"/>
        </w:rPr>
        <w:t>session</w:t>
      </w:r>
      <w:r w:rsidR="00E07C66">
        <w:rPr>
          <w:b/>
          <w:sz w:val="48"/>
        </w:rPr>
        <w:t xml:space="preserve"> </w:t>
      </w:r>
      <w:r>
        <w:rPr>
          <w:b/>
          <w:sz w:val="48"/>
        </w:rPr>
        <w:t>d</w:t>
      </w:r>
      <w:r w:rsidR="0074436B">
        <w:rPr>
          <w:b/>
          <w:sz w:val="48"/>
        </w:rPr>
        <w:t xml:space="preserve">e </w:t>
      </w:r>
      <w:r w:rsidR="00E83B32">
        <w:rPr>
          <w:b/>
          <w:sz w:val="48"/>
        </w:rPr>
        <w:t>novembre</w:t>
      </w:r>
      <w:r>
        <w:rPr>
          <w:b/>
          <w:sz w:val="48"/>
        </w:rPr>
        <w:t xml:space="preserve"> 200</w:t>
      </w:r>
      <w:r w:rsidR="008933E8">
        <w:rPr>
          <w:b/>
          <w:sz w:val="48"/>
        </w:rPr>
        <w:t>4</w:t>
      </w:r>
    </w:p>
    <w:p w:rsidR="0063420F" w:rsidRDefault="0063420F">
      <w:pPr>
        <w:rPr>
          <w:b/>
        </w:rPr>
      </w:pPr>
      <w:r>
        <w:br w:type="page"/>
      </w:r>
    </w:p>
    <w:p w:rsidR="0063420F" w:rsidRDefault="0063420F">
      <w:pPr>
        <w:rPr>
          <w:b/>
          <w:smallCaps/>
        </w:rPr>
      </w:pPr>
      <w:r>
        <w:rPr>
          <w:b/>
          <w:smallCaps/>
        </w:rPr>
        <w:lastRenderedPageBreak/>
        <w:t>Dans la première partie, cette communication informe le Parlement européen sur les suites que la Commission a données aux amendements adoptés par lui sur ses propositions législatives au cours de</w:t>
      </w:r>
      <w:r w:rsidR="00E83B32">
        <w:rPr>
          <w:b/>
          <w:smallCaps/>
        </w:rPr>
        <w:t xml:space="preserve"> la</w:t>
      </w:r>
      <w:r w:rsidR="00E07C66">
        <w:rPr>
          <w:b/>
          <w:smallCaps/>
        </w:rPr>
        <w:t xml:space="preserve"> </w:t>
      </w:r>
      <w:r>
        <w:rPr>
          <w:b/>
          <w:smallCaps/>
        </w:rPr>
        <w:t>session plénière du mois d</w:t>
      </w:r>
      <w:r w:rsidR="00E83B32">
        <w:rPr>
          <w:b/>
          <w:smallCaps/>
        </w:rPr>
        <w:t>e novembre</w:t>
      </w:r>
      <w:r>
        <w:rPr>
          <w:b/>
          <w:smallCaps/>
        </w:rPr>
        <w:t xml:space="preserve"> 200</w:t>
      </w:r>
      <w:r w:rsidR="00814199">
        <w:rPr>
          <w:b/>
          <w:smallCaps/>
        </w:rPr>
        <w:t>4</w:t>
      </w:r>
      <w:r>
        <w:rPr>
          <w:b/>
          <w:smallCaps/>
        </w:rPr>
        <w:t>.</w:t>
      </w:r>
    </w:p>
    <w:p w:rsidR="0063420F" w:rsidRDefault="0063420F">
      <w:pPr>
        <w:rPr>
          <w:b/>
          <w:smallCaps/>
        </w:rPr>
      </w:pPr>
      <w:r>
        <w:rPr>
          <w:b/>
          <w:smallCaps/>
        </w:rPr>
        <w:t xml:space="preserve">Dans la deuxième partie, la Commission dresse la liste d'un certain nombre de résolutions </w:t>
      </w:r>
      <w:r w:rsidR="00D33A51">
        <w:rPr>
          <w:b/>
          <w:smallCaps/>
        </w:rPr>
        <w:t>non legislatives</w:t>
      </w:r>
      <w:r>
        <w:rPr>
          <w:b/>
          <w:smallCaps/>
        </w:rPr>
        <w:t xml:space="preserve"> adoptées par le </w:t>
      </w:r>
      <w:r w:rsidR="005819F9">
        <w:rPr>
          <w:b/>
          <w:smallCaps/>
        </w:rPr>
        <w:t>p</w:t>
      </w:r>
      <w:r>
        <w:rPr>
          <w:b/>
          <w:smallCaps/>
        </w:rPr>
        <w:t xml:space="preserve">arlement au cours de </w:t>
      </w:r>
      <w:r w:rsidR="00E83B32">
        <w:rPr>
          <w:b/>
          <w:smallCaps/>
        </w:rPr>
        <w:t xml:space="preserve">la </w:t>
      </w:r>
      <w:r>
        <w:rPr>
          <w:b/>
          <w:smallCaps/>
        </w:rPr>
        <w:t>meme session plénière</w:t>
      </w:r>
      <w:r w:rsidR="001D7558">
        <w:rPr>
          <w:b/>
          <w:smallCaps/>
        </w:rPr>
        <w:t>,</w:t>
      </w:r>
      <w:r>
        <w:rPr>
          <w:b/>
          <w:smallCaps/>
        </w:rPr>
        <w:t xml:space="preserve"> </w:t>
      </w:r>
      <w:r w:rsidR="00D33A51">
        <w:rPr>
          <w:b/>
          <w:smallCaps/>
        </w:rPr>
        <w:t xml:space="preserve">pour lesquelles </w:t>
      </w:r>
      <w:r>
        <w:rPr>
          <w:b/>
          <w:smallCaps/>
        </w:rPr>
        <w:t xml:space="preserve">elle </w:t>
      </w:r>
      <w:r w:rsidR="003C5C41">
        <w:rPr>
          <w:b/>
          <w:smallCaps/>
        </w:rPr>
        <w:t>n</w:t>
      </w:r>
      <w:r w:rsidR="009C03AE">
        <w:rPr>
          <w:b/>
          <w:smallCaps/>
        </w:rPr>
        <w:t>’entend pas donner</w:t>
      </w:r>
      <w:r>
        <w:rPr>
          <w:b/>
          <w:smallCaps/>
        </w:rPr>
        <w:t xml:space="preserve"> suite </w:t>
      </w:r>
      <w:r w:rsidR="00D33A51">
        <w:rPr>
          <w:b/>
          <w:smallCaps/>
        </w:rPr>
        <w:t>sous forme de fiche</w:t>
      </w:r>
      <w:r w:rsidR="009C03AE">
        <w:rPr>
          <w:b/>
          <w:smallCaps/>
        </w:rPr>
        <w:t xml:space="preserve"> en justifiant les raisons</w:t>
      </w:r>
      <w:r>
        <w:rPr>
          <w:b/>
          <w:smallCaps/>
        </w:rPr>
        <w:t>.</w:t>
      </w:r>
    </w:p>
    <w:p w:rsidR="0063420F" w:rsidRDefault="0063420F">
      <w:pPr>
        <w:spacing w:after="0"/>
        <w:rPr>
          <w:b/>
          <w:smallCaps/>
        </w:rPr>
      </w:pPr>
      <w:r>
        <w:rPr>
          <w:b/>
          <w:smallCaps/>
        </w:rPr>
        <w:br w:type="page"/>
      </w:r>
    </w:p>
    <w:p w:rsidR="0063420F" w:rsidRDefault="0063420F">
      <w:pPr>
        <w:spacing w:after="0"/>
        <w:jc w:val="center"/>
        <w:rPr>
          <w:b/>
        </w:rPr>
      </w:pPr>
    </w:p>
    <w:p w:rsidR="0063420F" w:rsidRDefault="0063420F">
      <w:pPr>
        <w:spacing w:after="0"/>
        <w:jc w:val="center"/>
        <w:rPr>
          <w:b/>
        </w:rPr>
      </w:pPr>
      <w:r>
        <w:rPr>
          <w:b/>
        </w:rPr>
        <w:t>SOMMAIRE</w:t>
      </w:r>
    </w:p>
    <w:p w:rsidR="0063420F" w:rsidRDefault="0063420F">
      <w:pPr>
        <w:spacing w:after="0"/>
        <w:jc w:val="center"/>
      </w:pPr>
    </w:p>
    <w:p w:rsidR="0063420F" w:rsidRDefault="0063420F">
      <w:pPr>
        <w:spacing w:after="0"/>
        <w:jc w:val="center"/>
      </w:pPr>
    </w:p>
    <w:p w:rsidR="0063420F" w:rsidRDefault="0063420F">
      <w:pPr>
        <w:spacing w:after="0"/>
        <w:jc w:val="center"/>
      </w:pPr>
    </w:p>
    <w:p w:rsidR="0063420F" w:rsidRDefault="0063420F">
      <w:pPr>
        <w:spacing w:after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21"/>
        <w:gridCol w:w="1134"/>
      </w:tblGrid>
      <w:tr w:rsidR="0063420F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D14B7D" w:rsidRDefault="00D14B7D">
            <w:pPr>
              <w:spacing w:after="0"/>
              <w:rPr>
                <w:b/>
              </w:rPr>
            </w:pPr>
          </w:p>
          <w:p w:rsidR="00D14B7D" w:rsidRDefault="00D14B7D">
            <w:pPr>
              <w:spacing w:after="0"/>
              <w:rPr>
                <w:b/>
              </w:rPr>
            </w:pPr>
          </w:p>
          <w:p w:rsidR="0063420F" w:rsidRDefault="0063420F">
            <w:pPr>
              <w:spacing w:after="0"/>
              <w:rPr>
                <w:b/>
                <w:smallCaps/>
              </w:rPr>
            </w:pPr>
            <w:r>
              <w:rPr>
                <w:b/>
              </w:rPr>
              <w:t xml:space="preserve">PREMIERE PARTIE – </w:t>
            </w:r>
            <w:r>
              <w:rPr>
                <w:b/>
                <w:smallCaps/>
              </w:rPr>
              <w:t>Avis Législatifs</w:t>
            </w:r>
          </w:p>
          <w:p w:rsidR="0063420F" w:rsidRDefault="0063420F">
            <w:pPr>
              <w:spacing w:after="0"/>
              <w:rPr>
                <w:b/>
              </w:rPr>
            </w:pPr>
          </w:p>
        </w:tc>
        <w:tc>
          <w:tcPr>
            <w:tcW w:w="1134" w:type="dxa"/>
          </w:tcPr>
          <w:p w:rsidR="00235AF4" w:rsidRDefault="00235AF4">
            <w:pPr>
              <w:spacing w:after="0"/>
              <w:jc w:val="right"/>
              <w:rPr>
                <w:b/>
              </w:rPr>
            </w:pPr>
          </w:p>
          <w:p w:rsidR="00235AF4" w:rsidRDefault="00235AF4">
            <w:pPr>
              <w:spacing w:after="0"/>
              <w:jc w:val="right"/>
              <w:rPr>
                <w:b/>
              </w:rPr>
            </w:pPr>
          </w:p>
          <w:p w:rsidR="0063420F" w:rsidRDefault="00CE0367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3420F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582919" w:rsidRDefault="00582919">
            <w:pPr>
              <w:spacing w:after="0"/>
              <w:rPr>
                <w:b/>
                <w:smallCaps/>
              </w:rPr>
            </w:pPr>
          </w:p>
          <w:p w:rsidR="00582919" w:rsidRDefault="00582919">
            <w:pPr>
              <w:spacing w:after="0"/>
              <w:rPr>
                <w:b/>
                <w:smallCaps/>
              </w:rPr>
            </w:pPr>
          </w:p>
          <w:p w:rsidR="0063420F" w:rsidRDefault="0063420F">
            <w:pPr>
              <w:spacing w:after="0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Procédure de </w:t>
            </w:r>
            <w:r w:rsidR="00A43284">
              <w:rPr>
                <w:b/>
                <w:smallCaps/>
              </w:rPr>
              <w:t>codecision – 1ère lecture</w:t>
            </w:r>
          </w:p>
          <w:p w:rsidR="0063420F" w:rsidRDefault="0063420F">
            <w:pPr>
              <w:spacing w:after="0"/>
              <w:rPr>
                <w:b/>
                <w:smallCaps/>
              </w:rPr>
            </w:pPr>
          </w:p>
        </w:tc>
        <w:tc>
          <w:tcPr>
            <w:tcW w:w="1134" w:type="dxa"/>
          </w:tcPr>
          <w:p w:rsidR="0063420F" w:rsidRDefault="0063420F">
            <w:pPr>
              <w:spacing w:after="0"/>
              <w:jc w:val="right"/>
            </w:pPr>
          </w:p>
        </w:tc>
      </w:tr>
      <w:tr w:rsidR="0002436D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A43284" w:rsidRDefault="002752DC" w:rsidP="0002436D">
            <w:pPr>
              <w:spacing w:after="0"/>
            </w:pPr>
            <w:r>
              <w:t>Emballages et déchets d’emballages</w:t>
            </w:r>
          </w:p>
          <w:p w:rsidR="002752DC" w:rsidRDefault="002752DC" w:rsidP="0002436D">
            <w:pPr>
              <w:spacing w:after="0"/>
            </w:pPr>
            <w:r>
              <w:t>Dorette CORBEY – A6-0027/2004</w:t>
            </w:r>
          </w:p>
          <w:p w:rsidR="0002436D" w:rsidRDefault="0002436D" w:rsidP="0002436D">
            <w:pPr>
              <w:spacing w:after="0"/>
              <w:rPr>
                <w:b/>
                <w:smallCaps/>
              </w:rPr>
            </w:pPr>
          </w:p>
        </w:tc>
        <w:tc>
          <w:tcPr>
            <w:tcW w:w="1134" w:type="dxa"/>
          </w:tcPr>
          <w:p w:rsidR="0002436D" w:rsidRDefault="002752DC">
            <w:pPr>
              <w:spacing w:after="0"/>
              <w:jc w:val="right"/>
            </w:pPr>
            <w:r>
              <w:t>5</w:t>
            </w:r>
          </w:p>
        </w:tc>
      </w:tr>
      <w:tr w:rsidR="00950394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950394" w:rsidRDefault="00950394" w:rsidP="0002436D">
            <w:pPr>
              <w:spacing w:after="0"/>
            </w:pPr>
          </w:p>
          <w:p w:rsidR="00FA3865" w:rsidRDefault="00FA3865" w:rsidP="0002436D">
            <w:pPr>
              <w:spacing w:after="0"/>
            </w:pPr>
          </w:p>
          <w:p w:rsidR="00FA3865" w:rsidRDefault="00FA3865" w:rsidP="0002436D">
            <w:pPr>
              <w:spacing w:after="0"/>
              <w:rPr>
                <w:b/>
                <w:smallCaps/>
              </w:rPr>
            </w:pPr>
            <w:r>
              <w:rPr>
                <w:b/>
                <w:smallCaps/>
              </w:rPr>
              <w:t>Procédure de consultation necessitant une seule lecture</w:t>
            </w:r>
          </w:p>
          <w:p w:rsidR="00950394" w:rsidRDefault="00950394" w:rsidP="0002436D">
            <w:pPr>
              <w:spacing w:after="0"/>
            </w:pPr>
          </w:p>
        </w:tc>
        <w:tc>
          <w:tcPr>
            <w:tcW w:w="1134" w:type="dxa"/>
          </w:tcPr>
          <w:p w:rsidR="00950394" w:rsidRDefault="00950394">
            <w:pPr>
              <w:spacing w:after="0"/>
              <w:jc w:val="right"/>
            </w:pPr>
          </w:p>
        </w:tc>
      </w:tr>
      <w:tr w:rsidR="00950394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950394" w:rsidRDefault="00FA3865" w:rsidP="0002436D">
            <w:pPr>
              <w:spacing w:after="0"/>
            </w:pPr>
            <w:r>
              <w:t>Agence européenne pour la reconstruction</w:t>
            </w:r>
          </w:p>
          <w:p w:rsidR="00FA3865" w:rsidRDefault="00FA3865" w:rsidP="0002436D">
            <w:pPr>
              <w:spacing w:after="0"/>
            </w:pPr>
            <w:r>
              <w:t>Anders SAMUELSEN – A6-0031/2004</w:t>
            </w:r>
          </w:p>
          <w:p w:rsidR="00950394" w:rsidRDefault="00950394" w:rsidP="0002436D">
            <w:pPr>
              <w:spacing w:after="0"/>
            </w:pPr>
          </w:p>
        </w:tc>
        <w:tc>
          <w:tcPr>
            <w:tcW w:w="1134" w:type="dxa"/>
          </w:tcPr>
          <w:p w:rsidR="00950394" w:rsidRDefault="003D210C">
            <w:pPr>
              <w:spacing w:after="0"/>
              <w:jc w:val="right"/>
            </w:pPr>
            <w:r>
              <w:t>6</w:t>
            </w:r>
          </w:p>
        </w:tc>
      </w:tr>
      <w:tr w:rsidR="00FA3865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FA3865" w:rsidRDefault="00FA3865" w:rsidP="0002436D">
            <w:pPr>
              <w:spacing w:after="0"/>
            </w:pPr>
            <w:r>
              <w:t>Instrument de soutien financier (Chypre)</w:t>
            </w:r>
          </w:p>
          <w:p w:rsidR="00FA3865" w:rsidRDefault="00FA3865" w:rsidP="0002436D">
            <w:pPr>
              <w:spacing w:after="0"/>
            </w:pPr>
            <w:r>
              <w:t>Mechtild ROTHE – A6-0032/2004</w:t>
            </w:r>
          </w:p>
          <w:p w:rsidR="00FA3865" w:rsidRDefault="00FA3865" w:rsidP="0002436D">
            <w:pPr>
              <w:spacing w:after="0"/>
            </w:pPr>
          </w:p>
        </w:tc>
        <w:tc>
          <w:tcPr>
            <w:tcW w:w="1134" w:type="dxa"/>
          </w:tcPr>
          <w:p w:rsidR="00FA3865" w:rsidRDefault="003D210C">
            <w:pPr>
              <w:spacing w:after="0"/>
              <w:jc w:val="right"/>
            </w:pPr>
            <w:r>
              <w:t>7</w:t>
            </w:r>
          </w:p>
        </w:tc>
      </w:tr>
      <w:tr w:rsidR="00FA3865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FA3865" w:rsidRDefault="00FA3865" w:rsidP="0002436D">
            <w:pPr>
              <w:spacing w:after="0"/>
            </w:pPr>
            <w:r>
              <w:t>Programme ARGO</w:t>
            </w:r>
          </w:p>
          <w:p w:rsidR="00FA3865" w:rsidRDefault="00FA3865" w:rsidP="0002436D">
            <w:pPr>
              <w:spacing w:after="0"/>
            </w:pPr>
            <w:r>
              <w:t>Martine ROURE – A6-0019/2004</w:t>
            </w:r>
          </w:p>
          <w:p w:rsidR="00FA3865" w:rsidRDefault="00FA3865" w:rsidP="0002436D">
            <w:pPr>
              <w:spacing w:after="0"/>
            </w:pPr>
          </w:p>
        </w:tc>
        <w:tc>
          <w:tcPr>
            <w:tcW w:w="1134" w:type="dxa"/>
          </w:tcPr>
          <w:p w:rsidR="00FA3865" w:rsidRDefault="003D210C">
            <w:pPr>
              <w:spacing w:after="0"/>
              <w:jc w:val="right"/>
            </w:pPr>
            <w:r>
              <w:t>8</w:t>
            </w:r>
          </w:p>
        </w:tc>
      </w:tr>
      <w:tr w:rsidR="0063420F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63420F" w:rsidRDefault="0063420F">
            <w:pPr>
              <w:spacing w:after="0"/>
              <w:rPr>
                <w:b/>
              </w:rPr>
            </w:pPr>
          </w:p>
          <w:p w:rsidR="003F2BEB" w:rsidRPr="00F53A90" w:rsidRDefault="003F2BEB">
            <w:pPr>
              <w:spacing w:after="0"/>
              <w:rPr>
                <w:b/>
              </w:rPr>
            </w:pPr>
          </w:p>
          <w:p w:rsidR="0063420F" w:rsidRDefault="0063420F">
            <w:pPr>
              <w:spacing w:after="0"/>
              <w:rPr>
                <w:b/>
                <w:smallCaps/>
              </w:rPr>
            </w:pPr>
            <w:r>
              <w:rPr>
                <w:b/>
              </w:rPr>
              <w:t xml:space="preserve">DEUXIEME PARTIE – </w:t>
            </w:r>
            <w:r>
              <w:rPr>
                <w:b/>
                <w:smallCaps/>
              </w:rPr>
              <w:t xml:space="preserve">Résolutions </w:t>
            </w:r>
            <w:r w:rsidR="00B12F35">
              <w:rPr>
                <w:b/>
                <w:smallCaps/>
              </w:rPr>
              <w:t>non legislatives</w:t>
            </w:r>
          </w:p>
          <w:p w:rsidR="0063420F" w:rsidRDefault="0063420F">
            <w:pPr>
              <w:spacing w:after="0"/>
            </w:pPr>
          </w:p>
        </w:tc>
        <w:tc>
          <w:tcPr>
            <w:tcW w:w="1134" w:type="dxa"/>
          </w:tcPr>
          <w:p w:rsidR="00235AF4" w:rsidRDefault="00235AF4">
            <w:pPr>
              <w:spacing w:after="0"/>
              <w:jc w:val="right"/>
              <w:rPr>
                <w:b/>
              </w:rPr>
            </w:pPr>
          </w:p>
          <w:p w:rsidR="004A70B9" w:rsidRDefault="004A70B9">
            <w:pPr>
              <w:spacing w:after="0"/>
              <w:jc w:val="right"/>
              <w:rPr>
                <w:b/>
              </w:rPr>
            </w:pPr>
          </w:p>
          <w:p w:rsidR="00235AF4" w:rsidRDefault="003D210C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  <w:p w:rsidR="0063420F" w:rsidRDefault="0063420F">
            <w:pPr>
              <w:spacing w:after="0"/>
              <w:jc w:val="right"/>
              <w:rPr>
                <w:b/>
              </w:rPr>
            </w:pPr>
          </w:p>
        </w:tc>
      </w:tr>
    </w:tbl>
    <w:p w:rsidR="0063420F" w:rsidRDefault="0063420F">
      <w:pPr>
        <w:pStyle w:val="Initial"/>
        <w:tabs>
          <w:tab w:val="clear" w:pos="-720"/>
        </w:tabs>
        <w:spacing w:after="240"/>
        <w:rPr>
          <w:b/>
          <w:smallCaps/>
          <w:lang w:val="fr-FR"/>
        </w:rPr>
      </w:pPr>
    </w:p>
    <w:p w:rsidR="00D14B7D" w:rsidRDefault="00D14B7D" w:rsidP="00D14B7D"/>
    <w:p w:rsidR="0063420F" w:rsidRDefault="00D14B7D" w:rsidP="00EA4AD3">
      <w:pPr>
        <w:jc w:val="left"/>
      </w:pPr>
      <w:r>
        <w:br w:type="page"/>
      </w:r>
    </w:p>
    <w:p w:rsidR="00EA4AD3" w:rsidRDefault="00EA4AD3" w:rsidP="00EA4AD3">
      <w:pPr>
        <w:jc w:val="left"/>
      </w:pPr>
    </w:p>
    <w:p w:rsidR="00EA4AD3" w:rsidRDefault="00EA4AD3" w:rsidP="00D14B7D">
      <w:pPr>
        <w:jc w:val="center"/>
        <w:rPr>
          <w:sz w:val="48"/>
        </w:rPr>
      </w:pPr>
    </w:p>
    <w:p w:rsidR="0063420F" w:rsidRDefault="0063420F" w:rsidP="00D14B7D">
      <w:pPr>
        <w:jc w:val="center"/>
        <w:rPr>
          <w:b/>
          <w:smallCaps/>
          <w:sz w:val="48"/>
        </w:rPr>
      </w:pPr>
    </w:p>
    <w:p w:rsidR="00EA4AD3" w:rsidRDefault="00EA4AD3" w:rsidP="00D14B7D">
      <w:pPr>
        <w:jc w:val="center"/>
        <w:rPr>
          <w:b/>
          <w:smallCaps/>
          <w:sz w:val="48"/>
        </w:rPr>
      </w:pPr>
    </w:p>
    <w:p w:rsidR="00EA4AD3" w:rsidRDefault="00EA4AD3" w:rsidP="00D14B7D">
      <w:pPr>
        <w:jc w:val="center"/>
        <w:rPr>
          <w:b/>
          <w:smallCaps/>
          <w:sz w:val="48"/>
        </w:rPr>
      </w:pPr>
    </w:p>
    <w:p w:rsidR="0063420F" w:rsidRDefault="0063420F" w:rsidP="00D14B7D">
      <w:pPr>
        <w:jc w:val="center"/>
        <w:rPr>
          <w:b/>
          <w:smallCaps/>
          <w:sz w:val="48"/>
        </w:rPr>
      </w:pPr>
    </w:p>
    <w:p w:rsidR="0063420F" w:rsidRDefault="0063420F">
      <w:pPr>
        <w:jc w:val="center"/>
        <w:rPr>
          <w:b/>
          <w:sz w:val="48"/>
        </w:rPr>
      </w:pPr>
      <w:r>
        <w:rPr>
          <w:b/>
          <w:sz w:val="48"/>
        </w:rPr>
        <w:t>Première partie</w:t>
      </w:r>
      <w:r>
        <w:rPr>
          <w:b/>
          <w:sz w:val="48"/>
        </w:rPr>
        <w:br/>
        <w:t>Avis législatifs</w:t>
      </w:r>
    </w:p>
    <w:p w:rsidR="0063420F" w:rsidRDefault="0063420F" w:rsidP="0039355D">
      <w:pPr>
        <w:pStyle w:val="Initial"/>
        <w:tabs>
          <w:tab w:val="clear" w:pos="-720"/>
        </w:tabs>
        <w:spacing w:after="240"/>
        <w:jc w:val="left"/>
        <w:rPr>
          <w:lang w:val="fr-FR"/>
        </w:rPr>
      </w:pPr>
      <w:r w:rsidRPr="002C6D0D">
        <w:rPr>
          <w:lang w:val="fr-FR"/>
        </w:rPr>
        <w:br w:type="page"/>
      </w:r>
    </w:p>
    <w:p w:rsidR="0039355D" w:rsidRPr="0039355D" w:rsidRDefault="00381713" w:rsidP="0039355D">
      <w:pPr>
        <w:pStyle w:val="Subject"/>
        <w:spacing w:after="240"/>
        <w:jc w:val="center"/>
        <w:rPr>
          <w:lang w:val="en-GB"/>
        </w:rPr>
      </w:pPr>
      <w:smartTag w:uri="urn:schemas-microsoft-com:office:smarttags" w:element="place">
        <w:smartTag w:uri="urn:schemas-microsoft-com:office:smarttags" w:element="City">
          <w:r w:rsidRPr="0039355D">
            <w:rPr>
              <w:lang w:val="en-GB"/>
            </w:rPr>
            <w:t>PROCEDURE</w:t>
          </w:r>
        </w:smartTag>
        <w:r w:rsidRPr="0039355D">
          <w:rPr>
            <w:lang w:val="en-GB"/>
          </w:rPr>
          <w:t xml:space="preserve"> </w:t>
        </w:r>
        <w:smartTag w:uri="urn:schemas-microsoft-com:office:smarttags" w:element="State">
          <w:r>
            <w:rPr>
              <w:lang w:val="en-GB"/>
            </w:rPr>
            <w:t>DE</w:t>
          </w:r>
        </w:smartTag>
      </w:smartTag>
      <w:r w:rsidRPr="00381713">
        <w:rPr>
          <w:lang w:val="en-GB"/>
        </w:rPr>
        <w:t xml:space="preserve"> </w:t>
      </w:r>
      <w:r w:rsidRPr="0039355D">
        <w:rPr>
          <w:lang w:val="en-GB"/>
        </w:rPr>
        <w:t xml:space="preserve">CODECISION </w:t>
      </w:r>
      <w:r w:rsidR="0039355D" w:rsidRPr="0039355D">
        <w:rPr>
          <w:lang w:val="en-GB"/>
        </w:rPr>
        <w:t xml:space="preserve">– </w:t>
      </w:r>
      <w:r>
        <w:rPr>
          <w:lang w:val="en-GB"/>
        </w:rPr>
        <w:t>Première lecture</w:t>
      </w:r>
    </w:p>
    <w:p w:rsidR="0039355D" w:rsidRPr="00AC5807" w:rsidRDefault="0039355D" w:rsidP="0039355D">
      <w:pPr>
        <w:jc w:val="center"/>
        <w:rPr>
          <w:b/>
        </w:rPr>
      </w:pPr>
      <w:r w:rsidRPr="00AC5807">
        <w:rPr>
          <w:b/>
          <w:color w:val="000000"/>
        </w:rPr>
        <w:t>Propos</w:t>
      </w:r>
      <w:r w:rsidR="00381713" w:rsidRPr="00AC5807">
        <w:rPr>
          <w:b/>
          <w:color w:val="000000"/>
        </w:rPr>
        <w:t xml:space="preserve">ition de directive modifiant la </w:t>
      </w:r>
      <w:r w:rsidR="00381713" w:rsidRPr="00AC5807">
        <w:rPr>
          <w:b/>
        </w:rPr>
        <w:t>d</w:t>
      </w:r>
      <w:r w:rsidRPr="00AC5807">
        <w:rPr>
          <w:b/>
        </w:rPr>
        <w:t>irective 94/62/</w:t>
      </w:r>
      <w:r w:rsidR="00381713" w:rsidRPr="00AC5807">
        <w:rPr>
          <w:b/>
        </w:rPr>
        <w:t>C</w:t>
      </w:r>
      <w:r w:rsidRPr="00AC5807">
        <w:rPr>
          <w:b/>
        </w:rPr>
        <w:t xml:space="preserve">E </w:t>
      </w:r>
      <w:r w:rsidR="00B57425" w:rsidRPr="00AC5807">
        <w:rPr>
          <w:b/>
        </w:rPr>
        <w:t>relative aux</w:t>
      </w:r>
      <w:r w:rsidR="00381713" w:rsidRPr="00AC5807">
        <w:rPr>
          <w:b/>
        </w:rPr>
        <w:t xml:space="preserve"> emballages et </w:t>
      </w:r>
      <w:r w:rsidR="00B57425" w:rsidRPr="00AC5807">
        <w:rPr>
          <w:b/>
        </w:rPr>
        <w:t xml:space="preserve">aux </w:t>
      </w:r>
      <w:r w:rsidR="00381713" w:rsidRPr="00AC5807">
        <w:rPr>
          <w:b/>
        </w:rPr>
        <w:t>déchets d’emballages</w:t>
      </w:r>
    </w:p>
    <w:p w:rsidR="0039355D" w:rsidRPr="00AC5807" w:rsidRDefault="0039355D" w:rsidP="0039355D"/>
    <w:p w:rsidR="0039355D" w:rsidRPr="00AC5807" w:rsidRDefault="0039355D" w:rsidP="0039355D"/>
    <w:p w:rsidR="0039355D" w:rsidRPr="00AC5807" w:rsidRDefault="0039355D" w:rsidP="0039355D">
      <w:r w:rsidRPr="00AC5807">
        <w:rPr>
          <w:b/>
        </w:rPr>
        <w:t>1.</w:t>
      </w:r>
      <w:r w:rsidRPr="00AC5807">
        <w:rPr>
          <w:b/>
        </w:rPr>
        <w:tab/>
        <w:t xml:space="preserve">Rapporteur: </w:t>
      </w:r>
      <w:r w:rsidRPr="00AC5807">
        <w:t>Dorette Corbey</w:t>
      </w:r>
    </w:p>
    <w:p w:rsidR="0039355D" w:rsidRPr="00AC5807" w:rsidRDefault="00381713" w:rsidP="0039355D">
      <w:r w:rsidRPr="00AC5807">
        <w:rPr>
          <w:b/>
        </w:rPr>
        <w:t>2.</w:t>
      </w:r>
      <w:r w:rsidRPr="00AC5807">
        <w:rPr>
          <w:b/>
        </w:rPr>
        <w:tab/>
      </w:r>
      <w:r w:rsidR="0039355D" w:rsidRPr="00AC5807">
        <w:rPr>
          <w:b/>
        </w:rPr>
        <w:t>N</w:t>
      </w:r>
      <w:r w:rsidRPr="00AC5807">
        <w:rPr>
          <w:b/>
        </w:rPr>
        <w:t>° PE</w:t>
      </w:r>
      <w:r w:rsidR="0039355D" w:rsidRPr="00AC5807">
        <w:rPr>
          <w:b/>
        </w:rPr>
        <w:t xml:space="preserve">: </w:t>
      </w:r>
      <w:r w:rsidR="0039355D" w:rsidRPr="00AC5807">
        <w:t>A6-0027/2004</w:t>
      </w:r>
    </w:p>
    <w:p w:rsidR="0039355D" w:rsidRPr="00AC5807" w:rsidRDefault="0039355D" w:rsidP="0039355D">
      <w:r w:rsidRPr="00AC5807">
        <w:rPr>
          <w:b/>
        </w:rPr>
        <w:t>3.</w:t>
      </w:r>
      <w:r w:rsidRPr="00AC5807">
        <w:rPr>
          <w:b/>
        </w:rPr>
        <w:tab/>
        <w:t xml:space="preserve">Date </w:t>
      </w:r>
      <w:r w:rsidR="00381713" w:rsidRPr="00AC5807">
        <w:rPr>
          <w:b/>
        </w:rPr>
        <w:t>d’</w:t>
      </w:r>
      <w:r w:rsidRPr="00AC5807">
        <w:rPr>
          <w:b/>
        </w:rPr>
        <w:t xml:space="preserve">adoption </w:t>
      </w:r>
      <w:r w:rsidR="00381713" w:rsidRPr="00AC5807">
        <w:rPr>
          <w:b/>
        </w:rPr>
        <w:t>du</w:t>
      </w:r>
      <w:r w:rsidRPr="00AC5807">
        <w:rPr>
          <w:b/>
        </w:rPr>
        <w:t xml:space="preserve"> r</w:t>
      </w:r>
      <w:r w:rsidR="00381713" w:rsidRPr="00AC5807">
        <w:rPr>
          <w:b/>
        </w:rPr>
        <w:t>ap</w:t>
      </w:r>
      <w:r w:rsidRPr="00AC5807">
        <w:rPr>
          <w:b/>
        </w:rPr>
        <w:t xml:space="preserve">port: </w:t>
      </w:r>
      <w:r w:rsidR="00381713" w:rsidRPr="00AC5807">
        <w:t>le</w:t>
      </w:r>
      <w:r w:rsidR="00381713" w:rsidRPr="00AC5807">
        <w:rPr>
          <w:b/>
        </w:rPr>
        <w:t xml:space="preserve"> </w:t>
      </w:r>
      <w:r w:rsidRPr="00AC5807">
        <w:t xml:space="preserve">17 </w:t>
      </w:r>
      <w:r w:rsidR="00381713" w:rsidRPr="00AC5807">
        <w:t>n</w:t>
      </w:r>
      <w:r w:rsidRPr="00AC5807">
        <w:t>ovembr</w:t>
      </w:r>
      <w:r w:rsidR="00381713" w:rsidRPr="00AC5807">
        <w:t>e</w:t>
      </w:r>
      <w:r w:rsidRPr="00AC5807">
        <w:t xml:space="preserve"> 2004</w:t>
      </w:r>
    </w:p>
    <w:p w:rsidR="0039355D" w:rsidRPr="00AC5807" w:rsidRDefault="0039355D" w:rsidP="0039355D">
      <w:pPr>
        <w:rPr>
          <w:b/>
        </w:rPr>
      </w:pPr>
      <w:r w:rsidRPr="00AC5807">
        <w:rPr>
          <w:b/>
        </w:rPr>
        <w:t>4.</w:t>
      </w:r>
      <w:r w:rsidRPr="00AC5807">
        <w:rPr>
          <w:b/>
        </w:rPr>
        <w:tab/>
      </w:r>
      <w:r w:rsidR="00381713" w:rsidRPr="00AC5807">
        <w:rPr>
          <w:b/>
        </w:rPr>
        <w:t>O</w:t>
      </w:r>
      <w:r w:rsidRPr="00AC5807">
        <w:rPr>
          <w:b/>
        </w:rPr>
        <w:t>bjet:</w:t>
      </w:r>
    </w:p>
    <w:p w:rsidR="0039355D" w:rsidRPr="00AC5807" w:rsidRDefault="0039355D" w:rsidP="0039355D">
      <w:r w:rsidRPr="00AC5807">
        <w:rPr>
          <w:color w:val="000000"/>
        </w:rPr>
        <w:t>Propos</w:t>
      </w:r>
      <w:r w:rsidR="00381713" w:rsidRPr="00AC5807">
        <w:rPr>
          <w:color w:val="000000"/>
        </w:rPr>
        <w:t>ition de d</w:t>
      </w:r>
      <w:r w:rsidRPr="00AC5807">
        <w:t xml:space="preserve">irective </w:t>
      </w:r>
      <w:r w:rsidR="00381713" w:rsidRPr="00AC5807">
        <w:t>modifiant la</w:t>
      </w:r>
      <w:r w:rsidRPr="00AC5807">
        <w:t xml:space="preserve"> </w:t>
      </w:r>
      <w:r w:rsidR="00381713" w:rsidRPr="00AC5807">
        <w:t>d</w:t>
      </w:r>
      <w:r w:rsidRPr="00AC5807">
        <w:t>irective 94/62/</w:t>
      </w:r>
      <w:r w:rsidR="00381713" w:rsidRPr="00AC5807">
        <w:t>C</w:t>
      </w:r>
      <w:r w:rsidRPr="00AC5807">
        <w:t>E</w:t>
      </w:r>
      <w:r w:rsidR="00381713" w:rsidRPr="00AC5807">
        <w:t xml:space="preserve"> </w:t>
      </w:r>
      <w:r w:rsidR="00B57425" w:rsidRPr="00AC5807">
        <w:t>relative aux</w:t>
      </w:r>
      <w:r w:rsidR="00381713" w:rsidRPr="00AC5807">
        <w:t xml:space="preserve"> emballages et </w:t>
      </w:r>
      <w:r w:rsidR="00B57425" w:rsidRPr="00AC5807">
        <w:t xml:space="preserve">aux </w:t>
      </w:r>
      <w:r w:rsidR="00381713" w:rsidRPr="00AC5807">
        <w:t>déchets d’emballages</w:t>
      </w:r>
    </w:p>
    <w:p w:rsidR="0039355D" w:rsidRPr="00AC5807" w:rsidRDefault="0039355D" w:rsidP="0039355D">
      <w:pPr>
        <w:ind w:left="284" w:hanging="284"/>
      </w:pPr>
      <w:r w:rsidRPr="00AC5807">
        <w:rPr>
          <w:b/>
        </w:rPr>
        <w:t>5.</w:t>
      </w:r>
      <w:r w:rsidRPr="00AC5807">
        <w:rPr>
          <w:b/>
        </w:rPr>
        <w:tab/>
      </w:r>
      <w:r w:rsidRPr="00AC5807">
        <w:rPr>
          <w:b/>
        </w:rPr>
        <w:tab/>
      </w:r>
      <w:r w:rsidR="00381713" w:rsidRPr="00AC5807">
        <w:rPr>
          <w:b/>
        </w:rPr>
        <w:t>Références i</w:t>
      </w:r>
      <w:r w:rsidRPr="00AC5807">
        <w:rPr>
          <w:b/>
        </w:rPr>
        <w:t>nterinstitution</w:t>
      </w:r>
      <w:r w:rsidR="00381713" w:rsidRPr="00AC5807">
        <w:rPr>
          <w:b/>
        </w:rPr>
        <w:t>ne</w:t>
      </w:r>
      <w:r w:rsidRPr="00AC5807">
        <w:rPr>
          <w:b/>
        </w:rPr>
        <w:t>l</w:t>
      </w:r>
      <w:r w:rsidR="00381713" w:rsidRPr="00AC5807">
        <w:rPr>
          <w:b/>
        </w:rPr>
        <w:t>les</w:t>
      </w:r>
      <w:r w:rsidRPr="00AC5807">
        <w:rPr>
          <w:b/>
        </w:rPr>
        <w:t xml:space="preserve">: </w:t>
      </w:r>
      <w:r w:rsidRPr="00AC5807">
        <w:rPr>
          <w:snapToGrid w:val="0"/>
          <w:lang w:eastAsia="en-US"/>
        </w:rPr>
        <w:t>2004</w:t>
      </w:r>
      <w:r w:rsidR="00646CDB" w:rsidRPr="00AC5807">
        <w:rPr>
          <w:snapToGrid w:val="0"/>
          <w:lang w:eastAsia="en-US"/>
        </w:rPr>
        <w:t>/0045</w:t>
      </w:r>
      <w:r w:rsidRPr="00AC5807">
        <w:rPr>
          <w:snapToGrid w:val="0"/>
          <w:lang w:eastAsia="en-US"/>
        </w:rPr>
        <w:t>(COD)</w:t>
      </w:r>
    </w:p>
    <w:p w:rsidR="0039355D" w:rsidRPr="00AC5807" w:rsidRDefault="0039355D" w:rsidP="0039355D">
      <w:r w:rsidRPr="00AC5807">
        <w:rPr>
          <w:b/>
        </w:rPr>
        <w:t>6.</w:t>
      </w:r>
      <w:r w:rsidRPr="00AC5807">
        <w:rPr>
          <w:b/>
        </w:rPr>
        <w:tab/>
      </w:r>
      <w:r w:rsidR="00381713" w:rsidRPr="00AC5807">
        <w:rPr>
          <w:b/>
        </w:rPr>
        <w:t>Base juridique</w:t>
      </w:r>
      <w:r w:rsidRPr="00AC5807">
        <w:rPr>
          <w:b/>
        </w:rPr>
        <w:t xml:space="preserve">: </w:t>
      </w:r>
      <w:r w:rsidRPr="00AC5807">
        <w:t xml:space="preserve">Article 95 </w:t>
      </w:r>
      <w:r w:rsidR="00381713" w:rsidRPr="00AC5807">
        <w:t xml:space="preserve">du traité </w:t>
      </w:r>
      <w:r w:rsidRPr="00AC5807">
        <w:t>C</w:t>
      </w:r>
      <w:r w:rsidR="00381713" w:rsidRPr="00AC5807">
        <w:t>E</w:t>
      </w:r>
    </w:p>
    <w:p w:rsidR="0039355D" w:rsidRPr="00AC5807" w:rsidRDefault="0039355D" w:rsidP="0039355D">
      <w:pPr>
        <w:ind w:left="284" w:hanging="284"/>
        <w:rPr>
          <w:b/>
        </w:rPr>
      </w:pPr>
      <w:r w:rsidRPr="00AC5807">
        <w:rPr>
          <w:b/>
        </w:rPr>
        <w:t>7.</w:t>
      </w:r>
      <w:r w:rsidRPr="00AC5807">
        <w:rPr>
          <w:b/>
        </w:rPr>
        <w:tab/>
      </w:r>
      <w:r w:rsidRPr="00AC5807">
        <w:rPr>
          <w:b/>
        </w:rPr>
        <w:tab/>
      </w:r>
      <w:r w:rsidR="00381713" w:rsidRPr="00AC5807">
        <w:rPr>
          <w:b/>
        </w:rPr>
        <w:t>Commission parlementaire c</w:t>
      </w:r>
      <w:r w:rsidRPr="00AC5807">
        <w:rPr>
          <w:b/>
        </w:rPr>
        <w:t>omp</w:t>
      </w:r>
      <w:r w:rsidR="00381713" w:rsidRPr="00AC5807">
        <w:rPr>
          <w:b/>
        </w:rPr>
        <w:t>é</w:t>
      </w:r>
      <w:r w:rsidRPr="00AC5807">
        <w:rPr>
          <w:b/>
        </w:rPr>
        <w:t>tent</w:t>
      </w:r>
      <w:r w:rsidR="00381713" w:rsidRPr="00AC5807">
        <w:rPr>
          <w:b/>
        </w:rPr>
        <w:t>e</w:t>
      </w:r>
      <w:r w:rsidRPr="00AC5807">
        <w:rPr>
          <w:b/>
        </w:rPr>
        <w:t>:</w:t>
      </w:r>
    </w:p>
    <w:p w:rsidR="0039355D" w:rsidRPr="00AC5807" w:rsidRDefault="0039355D" w:rsidP="0039355D">
      <w:pPr>
        <w:ind w:left="284" w:hanging="284"/>
        <w:rPr>
          <w:b/>
        </w:rPr>
      </w:pPr>
      <w:r w:rsidRPr="00AC5807">
        <w:t>Environ</w:t>
      </w:r>
      <w:r w:rsidR="00381713" w:rsidRPr="00AC5807">
        <w:t>ne</w:t>
      </w:r>
      <w:r w:rsidRPr="00AC5807">
        <w:t xml:space="preserve">ment, </w:t>
      </w:r>
      <w:r w:rsidR="00381713" w:rsidRPr="00AC5807">
        <w:t>santé publique et sécurité alimentaire</w:t>
      </w:r>
    </w:p>
    <w:p w:rsidR="0039355D" w:rsidRPr="00AC5807" w:rsidRDefault="0039355D" w:rsidP="0039355D">
      <w:pPr>
        <w:ind w:left="284" w:hanging="284"/>
        <w:rPr>
          <w:b/>
        </w:rPr>
      </w:pPr>
      <w:r w:rsidRPr="00AC5807">
        <w:rPr>
          <w:b/>
        </w:rPr>
        <w:t>8.</w:t>
      </w:r>
      <w:r w:rsidRPr="00AC5807">
        <w:rPr>
          <w:b/>
        </w:rPr>
        <w:tab/>
      </w:r>
      <w:r w:rsidR="003A5F16" w:rsidRPr="00AC5807">
        <w:rPr>
          <w:b/>
        </w:rPr>
        <w:tab/>
      </w:r>
      <w:r w:rsidR="00381713" w:rsidRPr="00AC5807">
        <w:rPr>
          <w:b/>
        </w:rPr>
        <w:t xml:space="preserve">Position de la </w:t>
      </w:r>
      <w:r w:rsidRPr="00AC5807">
        <w:rPr>
          <w:b/>
        </w:rPr>
        <w:t>Commission:</w:t>
      </w:r>
    </w:p>
    <w:p w:rsidR="0039355D" w:rsidRPr="00AC5807" w:rsidRDefault="00381713" w:rsidP="0039355D">
      <w:r w:rsidRPr="00AC5807">
        <w:t>Le</w:t>
      </w:r>
      <w:r w:rsidR="0039355D" w:rsidRPr="00AC5807">
        <w:t xml:space="preserve"> 17 </w:t>
      </w:r>
      <w:r w:rsidRPr="00AC5807">
        <w:t>n</w:t>
      </w:r>
      <w:r w:rsidR="0039355D" w:rsidRPr="00AC5807">
        <w:t>ovembr</w:t>
      </w:r>
      <w:r w:rsidRPr="00AC5807">
        <w:t>e</w:t>
      </w:r>
      <w:r w:rsidR="0039355D" w:rsidRPr="00AC5807">
        <w:t xml:space="preserve"> 2004, </w:t>
      </w:r>
      <w:r w:rsidRPr="00AC5807">
        <w:t>l</w:t>
      </w:r>
      <w:r w:rsidR="0039355D" w:rsidRPr="00AC5807">
        <w:t>e Parl</w:t>
      </w:r>
      <w:r w:rsidRPr="00AC5807">
        <w:t>e</w:t>
      </w:r>
      <w:r w:rsidR="0039355D" w:rsidRPr="00AC5807">
        <w:t xml:space="preserve">ment </w:t>
      </w:r>
      <w:r w:rsidRPr="00AC5807">
        <w:t xml:space="preserve">européen a </w:t>
      </w:r>
      <w:r w:rsidR="0039355D" w:rsidRPr="00AC5807">
        <w:t>adopt</w:t>
      </w:r>
      <w:r w:rsidRPr="00AC5807">
        <w:t>é</w:t>
      </w:r>
      <w:r w:rsidR="0039355D" w:rsidRPr="00AC5807">
        <w:t xml:space="preserve"> t</w:t>
      </w:r>
      <w:r w:rsidRPr="00AC5807">
        <w:t>rois</w:t>
      </w:r>
      <w:r w:rsidR="0039355D" w:rsidRPr="00AC5807">
        <w:t xml:space="preserve"> amend</w:t>
      </w:r>
      <w:r w:rsidRPr="00AC5807">
        <w:t>e</w:t>
      </w:r>
      <w:r w:rsidR="0039355D" w:rsidRPr="00AC5807">
        <w:t xml:space="preserve">ments </w:t>
      </w:r>
      <w:r w:rsidRPr="00AC5807">
        <w:t>qui conduiront à l’</w:t>
      </w:r>
      <w:r w:rsidR="0039355D" w:rsidRPr="00AC5807">
        <w:t xml:space="preserve">adoption </w:t>
      </w:r>
      <w:r w:rsidRPr="00AC5807">
        <w:t>e</w:t>
      </w:r>
      <w:r w:rsidR="0039355D" w:rsidRPr="00AC5807">
        <w:t xml:space="preserve">n </w:t>
      </w:r>
      <w:r w:rsidRPr="00AC5807">
        <w:t xml:space="preserve">première lecture et que </w:t>
      </w:r>
      <w:r w:rsidRPr="00AC5807">
        <w:rPr>
          <w:u w:val="single"/>
        </w:rPr>
        <w:t>la</w:t>
      </w:r>
      <w:r w:rsidR="0039355D" w:rsidRPr="00AC5807">
        <w:rPr>
          <w:u w:val="single"/>
        </w:rPr>
        <w:t xml:space="preserve"> Commission </w:t>
      </w:r>
      <w:r w:rsidRPr="00AC5807">
        <w:rPr>
          <w:u w:val="single"/>
        </w:rPr>
        <w:t>peut</w:t>
      </w:r>
      <w:r w:rsidR="002C3B4D" w:rsidRPr="00AC5807">
        <w:rPr>
          <w:u w:val="single"/>
        </w:rPr>
        <w:t xml:space="preserve"> </w:t>
      </w:r>
      <w:r w:rsidR="003427F2" w:rsidRPr="00AC5807">
        <w:rPr>
          <w:u w:val="single"/>
        </w:rPr>
        <w:t>soutenir</w:t>
      </w:r>
      <w:r w:rsidR="0039355D" w:rsidRPr="00AC5807">
        <w:t>.</w:t>
      </w:r>
    </w:p>
    <w:p w:rsidR="0039355D" w:rsidRPr="00AC5807" w:rsidRDefault="0039355D" w:rsidP="0039355D">
      <w:pPr>
        <w:ind w:left="284" w:hanging="284"/>
        <w:rPr>
          <w:b/>
        </w:rPr>
      </w:pPr>
      <w:r w:rsidRPr="00AC5807">
        <w:rPr>
          <w:b/>
        </w:rPr>
        <w:t>9.</w:t>
      </w:r>
      <w:r w:rsidRPr="00AC5807">
        <w:rPr>
          <w:b/>
        </w:rPr>
        <w:tab/>
      </w:r>
      <w:r w:rsidRPr="00AC5807">
        <w:rPr>
          <w:b/>
        </w:rPr>
        <w:tab/>
      </w:r>
      <w:r w:rsidR="003427F2" w:rsidRPr="00AC5807">
        <w:rPr>
          <w:b/>
        </w:rPr>
        <w:t>Prévision quant à la modification de la proposition</w:t>
      </w:r>
      <w:r w:rsidRPr="00AC5807">
        <w:rPr>
          <w:b/>
        </w:rPr>
        <w:t xml:space="preserve"> :</w:t>
      </w:r>
    </w:p>
    <w:p w:rsidR="0039355D" w:rsidRPr="00AC5807" w:rsidRDefault="003427F2" w:rsidP="0039355D">
      <w:r w:rsidRPr="00AC5807">
        <w:t>Les services de la</w:t>
      </w:r>
      <w:r w:rsidR="0039355D" w:rsidRPr="00AC5807">
        <w:t xml:space="preserve"> Commission </w:t>
      </w:r>
      <w:r w:rsidRPr="00AC5807">
        <w:t>informeront oralement le Conseil de l’acceptation des amendements du PE</w:t>
      </w:r>
      <w:r w:rsidR="003D210C" w:rsidRPr="00AC5807">
        <w:t>.</w:t>
      </w:r>
    </w:p>
    <w:p w:rsidR="0039355D" w:rsidRPr="00AC5807" w:rsidRDefault="0039355D" w:rsidP="0039355D">
      <w:pPr>
        <w:ind w:left="284" w:hanging="284"/>
        <w:rPr>
          <w:b/>
          <w:snapToGrid w:val="0"/>
          <w:lang w:eastAsia="en-US"/>
        </w:rPr>
      </w:pPr>
      <w:r w:rsidRPr="00AC5807">
        <w:rPr>
          <w:b/>
        </w:rPr>
        <w:t>10.</w:t>
      </w:r>
      <w:r w:rsidRPr="00AC5807">
        <w:rPr>
          <w:b/>
        </w:rPr>
        <w:tab/>
      </w:r>
      <w:r w:rsidR="003427F2" w:rsidRPr="00AC5807">
        <w:rPr>
          <w:b/>
        </w:rPr>
        <w:t>Prévision quant à l’</w:t>
      </w:r>
      <w:r w:rsidRPr="00AC5807">
        <w:rPr>
          <w:b/>
          <w:snapToGrid w:val="0"/>
          <w:lang w:eastAsia="en-US"/>
        </w:rPr>
        <w:t xml:space="preserve">adoption </w:t>
      </w:r>
      <w:r w:rsidR="003427F2" w:rsidRPr="00AC5807">
        <w:rPr>
          <w:b/>
          <w:snapToGrid w:val="0"/>
          <w:lang w:eastAsia="en-US"/>
        </w:rPr>
        <w:t>de la</w:t>
      </w:r>
      <w:r w:rsidRPr="00AC5807">
        <w:rPr>
          <w:b/>
          <w:snapToGrid w:val="0"/>
          <w:lang w:eastAsia="en-US"/>
        </w:rPr>
        <w:t xml:space="preserve"> </w:t>
      </w:r>
      <w:r w:rsidR="003427F2" w:rsidRPr="00AC5807">
        <w:rPr>
          <w:b/>
          <w:snapToGrid w:val="0"/>
          <w:lang w:eastAsia="en-US"/>
        </w:rPr>
        <w:t>d</w:t>
      </w:r>
      <w:r w:rsidRPr="00AC5807">
        <w:rPr>
          <w:b/>
          <w:snapToGrid w:val="0"/>
          <w:lang w:eastAsia="en-US"/>
        </w:rPr>
        <w:t>irective:</w:t>
      </w:r>
    </w:p>
    <w:p w:rsidR="0039355D" w:rsidRPr="00AC5807" w:rsidRDefault="003427F2" w:rsidP="0039355D">
      <w:pPr>
        <w:ind w:left="284" w:hanging="284"/>
        <w:rPr>
          <w:snapToGrid w:val="0"/>
          <w:lang w:eastAsia="en-US"/>
        </w:rPr>
      </w:pPr>
      <w:r w:rsidRPr="00AC5807">
        <w:rPr>
          <w:snapToGrid w:val="0"/>
          <w:lang w:eastAsia="en-US"/>
        </w:rPr>
        <w:t>Le Conseil est sur le point d’adopter la directive en première lecture</w:t>
      </w:r>
      <w:r w:rsidR="0039355D" w:rsidRPr="00AC5807">
        <w:rPr>
          <w:snapToGrid w:val="0"/>
          <w:lang w:eastAsia="en-US"/>
        </w:rPr>
        <w:t>.</w:t>
      </w:r>
    </w:p>
    <w:p w:rsidR="00646CDB" w:rsidRPr="00AC5807" w:rsidRDefault="0039355D" w:rsidP="00646CDB">
      <w:r w:rsidRPr="00AC5807">
        <w:br w:type="page"/>
      </w:r>
    </w:p>
    <w:p w:rsidR="00646CDB" w:rsidRPr="00AC5807" w:rsidRDefault="00646CDB" w:rsidP="00646CDB">
      <w:pPr>
        <w:jc w:val="center"/>
      </w:pPr>
      <w:r w:rsidRPr="00AC5807">
        <w:rPr>
          <w:b/>
        </w:rPr>
        <w:t xml:space="preserve">PROCEDURE </w:t>
      </w:r>
      <w:r w:rsidR="006E02F5" w:rsidRPr="00AC5807">
        <w:rPr>
          <w:b/>
        </w:rPr>
        <w:t>DE CONSULTATION NÉCESSI</w:t>
      </w:r>
      <w:r w:rsidR="00117D48" w:rsidRPr="00AC5807">
        <w:rPr>
          <w:b/>
        </w:rPr>
        <w:t>T</w:t>
      </w:r>
      <w:r w:rsidR="006E02F5" w:rsidRPr="00AC5807">
        <w:rPr>
          <w:b/>
        </w:rPr>
        <w:t>ANT UNE SEULE LECTURE</w:t>
      </w:r>
    </w:p>
    <w:p w:rsidR="00646CDB" w:rsidRPr="00AC5807" w:rsidRDefault="00646CDB" w:rsidP="00646CDB">
      <w:pPr>
        <w:jc w:val="center"/>
        <w:rPr>
          <w:b/>
        </w:rPr>
      </w:pPr>
      <w:r w:rsidRPr="00AC5807">
        <w:rPr>
          <w:b/>
        </w:rPr>
        <w:t>Propos</w:t>
      </w:r>
      <w:r w:rsidR="006E02F5" w:rsidRPr="00AC5807">
        <w:rPr>
          <w:b/>
        </w:rPr>
        <w:t xml:space="preserve">ition de règlement du Conseil </w:t>
      </w:r>
      <w:r w:rsidR="00B57425" w:rsidRPr="00AC5807">
        <w:rPr>
          <w:b/>
        </w:rPr>
        <w:t>portant modifica</w:t>
      </w:r>
      <w:r w:rsidR="006E02F5" w:rsidRPr="00AC5807">
        <w:rPr>
          <w:b/>
        </w:rPr>
        <w:t>t</w:t>
      </w:r>
      <w:r w:rsidR="00B57425" w:rsidRPr="00AC5807">
        <w:rPr>
          <w:b/>
        </w:rPr>
        <w:t>ion</w:t>
      </w:r>
      <w:r w:rsidR="006E02F5" w:rsidRPr="00AC5807">
        <w:rPr>
          <w:b/>
        </w:rPr>
        <w:t xml:space="preserve"> </w:t>
      </w:r>
      <w:r w:rsidR="00B57425" w:rsidRPr="00AC5807">
        <w:rPr>
          <w:b/>
        </w:rPr>
        <w:t>du</w:t>
      </w:r>
      <w:r w:rsidR="006E02F5" w:rsidRPr="00AC5807">
        <w:rPr>
          <w:b/>
        </w:rPr>
        <w:t xml:space="preserve"> règlement</w:t>
      </w:r>
      <w:r w:rsidRPr="00AC5807">
        <w:rPr>
          <w:b/>
        </w:rPr>
        <w:t xml:space="preserve"> (</w:t>
      </w:r>
      <w:r w:rsidR="006E02F5" w:rsidRPr="00AC5807">
        <w:rPr>
          <w:b/>
        </w:rPr>
        <w:t>C</w:t>
      </w:r>
      <w:r w:rsidRPr="00AC5807">
        <w:rPr>
          <w:b/>
        </w:rPr>
        <w:t xml:space="preserve">E) </w:t>
      </w:r>
      <w:r w:rsidR="006E02F5" w:rsidRPr="00AC5807">
        <w:rPr>
          <w:b/>
        </w:rPr>
        <w:t>n°</w:t>
      </w:r>
      <w:r w:rsidRPr="00AC5807">
        <w:rPr>
          <w:b/>
        </w:rPr>
        <w:t xml:space="preserve"> 2667/2000 </w:t>
      </w:r>
      <w:r w:rsidR="00340A64" w:rsidRPr="00AC5807">
        <w:rPr>
          <w:b/>
        </w:rPr>
        <w:t>du Conseil</w:t>
      </w:r>
      <w:r w:rsidR="00117D48" w:rsidRPr="00AC5807">
        <w:rPr>
          <w:b/>
        </w:rPr>
        <w:t xml:space="preserve"> relatif à l’Agence européenne pour la reconstruction</w:t>
      </w:r>
    </w:p>
    <w:p w:rsidR="00646CDB" w:rsidRPr="00AC5807" w:rsidRDefault="00646CDB" w:rsidP="00646CDB">
      <w:pPr>
        <w:jc w:val="left"/>
      </w:pPr>
    </w:p>
    <w:p w:rsidR="00646CDB" w:rsidRPr="00AC5807" w:rsidRDefault="00646CDB" w:rsidP="00646CDB">
      <w:pPr>
        <w:jc w:val="left"/>
      </w:pPr>
    </w:p>
    <w:p w:rsidR="00646CDB" w:rsidRPr="00946C32" w:rsidRDefault="00646CDB" w:rsidP="00646CDB">
      <w:pPr>
        <w:rPr>
          <w:lang w:val="en-GB"/>
        </w:rPr>
      </w:pPr>
      <w:r>
        <w:rPr>
          <w:b/>
          <w:lang w:val="en-GB"/>
        </w:rPr>
        <w:t>1.</w:t>
      </w:r>
      <w:r>
        <w:rPr>
          <w:b/>
          <w:lang w:val="en-GB"/>
        </w:rPr>
        <w:tab/>
        <w:t>Rapporteur</w:t>
      </w:r>
      <w:r w:rsidRPr="00946C32">
        <w:rPr>
          <w:b/>
          <w:lang w:val="en-GB"/>
        </w:rPr>
        <w:t>:</w:t>
      </w:r>
      <w:r>
        <w:rPr>
          <w:b/>
          <w:lang w:val="en-GB"/>
        </w:rPr>
        <w:t xml:space="preserve"> </w:t>
      </w:r>
      <w:r w:rsidRPr="00946C32">
        <w:rPr>
          <w:lang w:val="en-GB"/>
        </w:rPr>
        <w:t>Anders Samuelsen</w:t>
      </w:r>
    </w:p>
    <w:p w:rsidR="00646CDB" w:rsidRPr="00AC5807" w:rsidRDefault="00646CDB" w:rsidP="00646CDB">
      <w:r w:rsidRPr="00AC5807">
        <w:rPr>
          <w:b/>
        </w:rPr>
        <w:t>2.</w:t>
      </w:r>
      <w:r w:rsidRPr="00AC5807">
        <w:rPr>
          <w:b/>
        </w:rPr>
        <w:tab/>
      </w:r>
      <w:r w:rsidR="00117D48" w:rsidRPr="00AC5807">
        <w:rPr>
          <w:b/>
        </w:rPr>
        <w:t xml:space="preserve">N° </w:t>
      </w:r>
      <w:r w:rsidRPr="00AC5807">
        <w:rPr>
          <w:b/>
        </w:rPr>
        <w:t>P</w:t>
      </w:r>
      <w:r w:rsidR="00117D48" w:rsidRPr="00AC5807">
        <w:rPr>
          <w:b/>
        </w:rPr>
        <w:t>E</w:t>
      </w:r>
      <w:r w:rsidRPr="00AC5807">
        <w:rPr>
          <w:b/>
        </w:rPr>
        <w:t xml:space="preserve">: </w:t>
      </w:r>
      <w:r w:rsidRPr="00AC5807">
        <w:t>A6-0031/2004</w:t>
      </w:r>
    </w:p>
    <w:p w:rsidR="00646CDB" w:rsidRPr="00AC5807" w:rsidRDefault="00646CDB" w:rsidP="00646CDB">
      <w:r w:rsidRPr="00AC5807">
        <w:rPr>
          <w:b/>
        </w:rPr>
        <w:t>3.</w:t>
      </w:r>
      <w:r w:rsidRPr="00AC5807">
        <w:rPr>
          <w:b/>
        </w:rPr>
        <w:tab/>
        <w:t xml:space="preserve">Date </w:t>
      </w:r>
      <w:r w:rsidR="00117D48" w:rsidRPr="00AC5807">
        <w:rPr>
          <w:b/>
        </w:rPr>
        <w:t>d’</w:t>
      </w:r>
      <w:r w:rsidRPr="00AC5807">
        <w:rPr>
          <w:b/>
        </w:rPr>
        <w:t xml:space="preserve">adoption </w:t>
      </w:r>
      <w:r w:rsidR="00117D48" w:rsidRPr="00AC5807">
        <w:rPr>
          <w:b/>
        </w:rPr>
        <w:t>du</w:t>
      </w:r>
      <w:r w:rsidRPr="00AC5807">
        <w:rPr>
          <w:b/>
        </w:rPr>
        <w:t xml:space="preserve"> r</w:t>
      </w:r>
      <w:r w:rsidR="00117D48" w:rsidRPr="00AC5807">
        <w:rPr>
          <w:b/>
        </w:rPr>
        <w:t>ap</w:t>
      </w:r>
      <w:r w:rsidRPr="00AC5807">
        <w:rPr>
          <w:b/>
        </w:rPr>
        <w:t xml:space="preserve">port: </w:t>
      </w:r>
      <w:r w:rsidR="00117D48" w:rsidRPr="00AC5807">
        <w:t xml:space="preserve">le </w:t>
      </w:r>
      <w:r w:rsidRPr="00AC5807">
        <w:t xml:space="preserve">17 </w:t>
      </w:r>
      <w:r w:rsidR="00117D48" w:rsidRPr="00AC5807">
        <w:t>n</w:t>
      </w:r>
      <w:r w:rsidRPr="00AC5807">
        <w:t>ovembr</w:t>
      </w:r>
      <w:r w:rsidR="00117D48" w:rsidRPr="00AC5807">
        <w:t>e</w:t>
      </w:r>
      <w:r w:rsidRPr="00AC5807">
        <w:t xml:space="preserve"> 2004</w:t>
      </w:r>
    </w:p>
    <w:p w:rsidR="00646CDB" w:rsidRPr="00AC5807" w:rsidRDefault="00646CDB" w:rsidP="00646CDB">
      <w:pPr>
        <w:rPr>
          <w:b/>
        </w:rPr>
      </w:pPr>
      <w:r w:rsidRPr="00AC5807">
        <w:rPr>
          <w:b/>
        </w:rPr>
        <w:t>4.</w:t>
      </w:r>
      <w:r w:rsidRPr="00AC5807">
        <w:rPr>
          <w:b/>
        </w:rPr>
        <w:tab/>
      </w:r>
      <w:r w:rsidR="00117D48" w:rsidRPr="00AC5807">
        <w:rPr>
          <w:b/>
        </w:rPr>
        <w:t>O</w:t>
      </w:r>
      <w:r w:rsidRPr="00AC5807">
        <w:rPr>
          <w:b/>
        </w:rPr>
        <w:t>bjet:</w:t>
      </w:r>
    </w:p>
    <w:p w:rsidR="00646CDB" w:rsidRPr="00AC5807" w:rsidRDefault="00646CDB" w:rsidP="00646CDB">
      <w:r w:rsidRPr="00AC5807">
        <w:t>Propos</w:t>
      </w:r>
      <w:r w:rsidR="00117D48" w:rsidRPr="00AC5807">
        <w:t>ition de règlement du Conseil modifiant le règlement</w:t>
      </w:r>
      <w:r w:rsidRPr="00AC5807">
        <w:t xml:space="preserve"> (</w:t>
      </w:r>
      <w:r w:rsidR="00117D48" w:rsidRPr="00AC5807">
        <w:t>C</w:t>
      </w:r>
      <w:r w:rsidRPr="00AC5807">
        <w:t xml:space="preserve">E) </w:t>
      </w:r>
      <w:r w:rsidR="00117D48" w:rsidRPr="00AC5807">
        <w:t>n°</w:t>
      </w:r>
      <w:r w:rsidRPr="00AC5807">
        <w:t xml:space="preserve"> 2667/2000 </w:t>
      </w:r>
      <w:r w:rsidR="00117D48" w:rsidRPr="00AC5807">
        <w:t>du Conseil relatif à l’Agence européenne pour la reconstruction</w:t>
      </w:r>
    </w:p>
    <w:p w:rsidR="00646CDB" w:rsidRPr="00AC5807" w:rsidRDefault="00646CDB" w:rsidP="00646CDB">
      <w:r w:rsidRPr="00AC5807">
        <w:rPr>
          <w:b/>
        </w:rPr>
        <w:t>5.</w:t>
      </w:r>
      <w:r w:rsidRPr="00AC5807">
        <w:rPr>
          <w:b/>
        </w:rPr>
        <w:tab/>
      </w:r>
      <w:r w:rsidR="00117D48" w:rsidRPr="00AC5807">
        <w:rPr>
          <w:b/>
        </w:rPr>
        <w:t>Références i</w:t>
      </w:r>
      <w:r w:rsidRPr="00AC5807">
        <w:rPr>
          <w:b/>
        </w:rPr>
        <w:t>nterinstitution</w:t>
      </w:r>
      <w:r w:rsidR="00117D48" w:rsidRPr="00AC5807">
        <w:rPr>
          <w:b/>
        </w:rPr>
        <w:t>ne</w:t>
      </w:r>
      <w:r w:rsidRPr="00AC5807">
        <w:rPr>
          <w:b/>
        </w:rPr>
        <w:t>l</w:t>
      </w:r>
      <w:r w:rsidR="00117D48" w:rsidRPr="00AC5807">
        <w:rPr>
          <w:b/>
        </w:rPr>
        <w:t>les</w:t>
      </w:r>
      <w:r w:rsidRPr="00AC5807">
        <w:rPr>
          <w:b/>
        </w:rPr>
        <w:t xml:space="preserve">: </w:t>
      </w:r>
      <w:r w:rsidRPr="00AC5807">
        <w:t>2004/</w:t>
      </w:r>
      <w:r w:rsidR="003D210C" w:rsidRPr="00AC5807">
        <w:t>0</w:t>
      </w:r>
      <w:r w:rsidRPr="00AC5807">
        <w:t>133(CNS)</w:t>
      </w:r>
    </w:p>
    <w:p w:rsidR="00646CDB" w:rsidRPr="00AC5807" w:rsidRDefault="00646CDB" w:rsidP="00646CDB">
      <w:pPr>
        <w:rPr>
          <w:szCs w:val="24"/>
        </w:rPr>
      </w:pPr>
      <w:r w:rsidRPr="00AC5807">
        <w:rPr>
          <w:b/>
          <w:szCs w:val="24"/>
        </w:rPr>
        <w:t>6.</w:t>
      </w:r>
      <w:r w:rsidRPr="00AC5807">
        <w:rPr>
          <w:b/>
          <w:szCs w:val="24"/>
        </w:rPr>
        <w:tab/>
      </w:r>
      <w:r w:rsidR="00117D48" w:rsidRPr="00AC5807">
        <w:rPr>
          <w:b/>
          <w:szCs w:val="24"/>
        </w:rPr>
        <w:t>Base juridique</w:t>
      </w:r>
      <w:r w:rsidRPr="00AC5807">
        <w:rPr>
          <w:b/>
          <w:szCs w:val="24"/>
        </w:rPr>
        <w:t xml:space="preserve">: </w:t>
      </w:r>
      <w:r w:rsidRPr="00AC5807">
        <w:rPr>
          <w:szCs w:val="24"/>
        </w:rPr>
        <w:t xml:space="preserve">Article 181 </w:t>
      </w:r>
      <w:r w:rsidR="00117D48" w:rsidRPr="00AC5807">
        <w:rPr>
          <w:szCs w:val="24"/>
        </w:rPr>
        <w:t>A</w:t>
      </w:r>
      <w:r w:rsidRPr="00AC5807">
        <w:rPr>
          <w:szCs w:val="24"/>
        </w:rPr>
        <w:t>, paragraph</w:t>
      </w:r>
      <w:r w:rsidR="00117D48" w:rsidRPr="00AC5807">
        <w:rPr>
          <w:szCs w:val="24"/>
        </w:rPr>
        <w:t>e</w:t>
      </w:r>
      <w:r w:rsidRPr="00AC5807">
        <w:rPr>
          <w:szCs w:val="24"/>
        </w:rPr>
        <w:t xml:space="preserve"> 2, </w:t>
      </w:r>
      <w:r w:rsidR="00117D48" w:rsidRPr="00AC5807">
        <w:rPr>
          <w:szCs w:val="24"/>
        </w:rPr>
        <w:t>première phrase du traité CE</w:t>
      </w:r>
    </w:p>
    <w:p w:rsidR="00646CDB" w:rsidRPr="00AC5807" w:rsidRDefault="00646CDB" w:rsidP="00646CDB">
      <w:r w:rsidRPr="00AC5807">
        <w:rPr>
          <w:b/>
        </w:rPr>
        <w:t>7.</w:t>
      </w:r>
      <w:r w:rsidRPr="00AC5807">
        <w:rPr>
          <w:b/>
        </w:rPr>
        <w:tab/>
        <w:t>Com</w:t>
      </w:r>
      <w:r w:rsidR="00117D48" w:rsidRPr="00AC5807">
        <w:rPr>
          <w:b/>
        </w:rPr>
        <w:t>mission parle</w:t>
      </w:r>
      <w:r w:rsidRPr="00AC5807">
        <w:rPr>
          <w:b/>
        </w:rPr>
        <w:t>menta</w:t>
      </w:r>
      <w:r w:rsidR="00117D48" w:rsidRPr="00AC5807">
        <w:rPr>
          <w:b/>
        </w:rPr>
        <w:t>ire</w:t>
      </w:r>
      <w:r w:rsidRPr="00AC5807">
        <w:rPr>
          <w:b/>
        </w:rPr>
        <w:t xml:space="preserve"> com</w:t>
      </w:r>
      <w:r w:rsidR="00117D48" w:rsidRPr="00AC5807">
        <w:rPr>
          <w:b/>
        </w:rPr>
        <w:t>pétente</w:t>
      </w:r>
      <w:r w:rsidRPr="00AC5807">
        <w:rPr>
          <w:b/>
        </w:rPr>
        <w:t xml:space="preserve">: </w:t>
      </w:r>
      <w:r w:rsidR="00117D48" w:rsidRPr="00AC5807">
        <w:t>Commission des affaires étrangères</w:t>
      </w:r>
    </w:p>
    <w:p w:rsidR="00646CDB" w:rsidRPr="00AC5807" w:rsidRDefault="00646CDB" w:rsidP="00646CDB">
      <w:pPr>
        <w:rPr>
          <w:b/>
        </w:rPr>
      </w:pPr>
      <w:r w:rsidRPr="00AC5807">
        <w:rPr>
          <w:b/>
        </w:rPr>
        <w:t>8.</w:t>
      </w:r>
      <w:r w:rsidRPr="00AC5807">
        <w:rPr>
          <w:b/>
        </w:rPr>
        <w:tab/>
      </w:r>
      <w:r w:rsidR="00A34867" w:rsidRPr="00AC5807">
        <w:rPr>
          <w:b/>
        </w:rPr>
        <w:t xml:space="preserve">Position de la </w:t>
      </w:r>
      <w:r w:rsidRPr="00AC5807">
        <w:rPr>
          <w:b/>
        </w:rPr>
        <w:t>Commission:</w:t>
      </w:r>
    </w:p>
    <w:p w:rsidR="00646CDB" w:rsidRPr="00AC5807" w:rsidRDefault="00A34867" w:rsidP="00646CDB">
      <w:r w:rsidRPr="00AC5807">
        <w:t>La</w:t>
      </w:r>
      <w:r w:rsidR="00646CDB" w:rsidRPr="00AC5807">
        <w:t xml:space="preserve"> Commission </w:t>
      </w:r>
      <w:r w:rsidRPr="00AC5807">
        <w:t>peut</w:t>
      </w:r>
      <w:r w:rsidR="00646CDB" w:rsidRPr="00AC5807">
        <w:t xml:space="preserve"> accept</w:t>
      </w:r>
      <w:r w:rsidRPr="00AC5807">
        <w:t>er</w:t>
      </w:r>
      <w:r w:rsidR="00646CDB" w:rsidRPr="00AC5807">
        <w:t xml:space="preserve"> </w:t>
      </w:r>
      <w:r w:rsidRPr="00AC5807">
        <w:t>l</w:t>
      </w:r>
      <w:r w:rsidR="00646CDB" w:rsidRPr="00AC5807">
        <w:t>e princip</w:t>
      </w:r>
      <w:r w:rsidRPr="00AC5807">
        <w:t>e de l’</w:t>
      </w:r>
      <w:r w:rsidR="00646CDB" w:rsidRPr="00AC5807">
        <w:t>amend</w:t>
      </w:r>
      <w:r w:rsidR="00AC5807" w:rsidRPr="00AC5807">
        <w:t>e</w:t>
      </w:r>
      <w:r w:rsidR="00646CDB" w:rsidRPr="00AC5807">
        <w:t xml:space="preserve">ment </w:t>
      </w:r>
      <w:r w:rsidR="00055C3B" w:rsidRPr="00AC5807">
        <w:t>n°</w:t>
      </w:r>
      <w:r w:rsidR="00646CDB" w:rsidRPr="00AC5807">
        <w:t>2 (</w:t>
      </w:r>
      <w:r w:rsidR="00B57425" w:rsidRPr="00AC5807">
        <w:t xml:space="preserve">bien qu’avec </w:t>
      </w:r>
      <w:r w:rsidR="006D05CB" w:rsidRPr="00AC5807">
        <w:t xml:space="preserve">une légère </w:t>
      </w:r>
      <w:r w:rsidR="00646CDB" w:rsidRPr="00AC5807">
        <w:t xml:space="preserve">modification </w:t>
      </w:r>
      <w:r w:rsidR="006D05CB" w:rsidRPr="00AC5807">
        <w:t>quant au calendrier du rapport</w:t>
      </w:r>
      <w:r w:rsidR="00646CDB" w:rsidRPr="00AC5807">
        <w:t xml:space="preserve">), </w:t>
      </w:r>
      <w:r w:rsidR="006D05CB" w:rsidRPr="00AC5807">
        <w:t>ainsi que l’</w:t>
      </w:r>
      <w:r w:rsidR="00646CDB" w:rsidRPr="00AC5807">
        <w:t>amend</w:t>
      </w:r>
      <w:r w:rsidR="006D05CB" w:rsidRPr="00AC5807">
        <w:t>e</w:t>
      </w:r>
      <w:r w:rsidR="00646CDB" w:rsidRPr="00AC5807">
        <w:t xml:space="preserve">ment </w:t>
      </w:r>
      <w:r w:rsidR="00055C3B" w:rsidRPr="00AC5807">
        <w:t>n°</w:t>
      </w:r>
      <w:r w:rsidR="00646CDB" w:rsidRPr="00AC5807">
        <w:t xml:space="preserve">3.  </w:t>
      </w:r>
      <w:r w:rsidR="006D05CB" w:rsidRPr="00AC5807">
        <w:t>Toutefois</w:t>
      </w:r>
      <w:r w:rsidR="00646CDB" w:rsidRPr="00AC5807">
        <w:t xml:space="preserve">, </w:t>
      </w:r>
      <w:r w:rsidR="006D05CB" w:rsidRPr="00AC5807">
        <w:t>la Commission considère que l’</w:t>
      </w:r>
      <w:r w:rsidR="00646CDB" w:rsidRPr="00AC5807">
        <w:t>amend</w:t>
      </w:r>
      <w:r w:rsidR="006D05CB" w:rsidRPr="00AC5807">
        <w:t>e</w:t>
      </w:r>
      <w:r w:rsidR="00646CDB" w:rsidRPr="00AC5807">
        <w:t xml:space="preserve">ment </w:t>
      </w:r>
      <w:r w:rsidR="00055C3B" w:rsidRPr="00AC5807">
        <w:t>n°</w:t>
      </w:r>
      <w:r w:rsidR="00646CDB" w:rsidRPr="00AC5807">
        <w:t>1 n</w:t>
      </w:r>
      <w:r w:rsidR="006D05CB" w:rsidRPr="00AC5807">
        <w:t>’est pas</w:t>
      </w:r>
      <w:r w:rsidR="00646CDB" w:rsidRPr="00AC5807">
        <w:t xml:space="preserve"> n</w:t>
      </w:r>
      <w:r w:rsidR="006D05CB" w:rsidRPr="00AC5807">
        <w:t>é</w:t>
      </w:r>
      <w:r w:rsidR="00646CDB" w:rsidRPr="00AC5807">
        <w:t>cessa</w:t>
      </w:r>
      <w:r w:rsidR="006D05CB" w:rsidRPr="00AC5807">
        <w:t>ire</w:t>
      </w:r>
      <w:r w:rsidR="00646CDB" w:rsidRPr="00AC5807">
        <w:t>.</w:t>
      </w:r>
    </w:p>
    <w:p w:rsidR="00646CDB" w:rsidRPr="00AC5807" w:rsidRDefault="004A7630" w:rsidP="00646CDB">
      <w:r w:rsidRPr="00AC5807">
        <w:t>Quant à l’</w:t>
      </w:r>
      <w:r w:rsidR="00646CDB" w:rsidRPr="00AC5807">
        <w:t>amend</w:t>
      </w:r>
      <w:r w:rsidR="00055C3B" w:rsidRPr="00AC5807">
        <w:t>e</w:t>
      </w:r>
      <w:r w:rsidR="00646CDB" w:rsidRPr="00AC5807">
        <w:t xml:space="preserve">ment </w:t>
      </w:r>
      <w:r w:rsidR="00055C3B" w:rsidRPr="00AC5807">
        <w:t>n°</w:t>
      </w:r>
      <w:r w:rsidR="00646CDB" w:rsidRPr="00AC5807">
        <w:t xml:space="preserve">4, </w:t>
      </w:r>
      <w:r w:rsidRPr="00AC5807">
        <w:t>la</w:t>
      </w:r>
      <w:r w:rsidR="00646CDB" w:rsidRPr="00AC5807">
        <w:t xml:space="preserve"> Commission </w:t>
      </w:r>
      <w:r w:rsidRPr="00AC5807">
        <w:t xml:space="preserve">reste à la disposition du Parlement européen pour discuter de toute question entourant la répartition des tâches entre l’Agence et les délégations de la </w:t>
      </w:r>
      <w:r w:rsidR="00646CDB" w:rsidRPr="00AC5807">
        <w:t xml:space="preserve">Commission, </w:t>
      </w:r>
      <w:r w:rsidRPr="00AC5807">
        <w:t>mais elle estime que le contexte n’est pas approprié</w:t>
      </w:r>
      <w:r w:rsidR="00055C3B" w:rsidRPr="00AC5807">
        <w:t xml:space="preserve"> pour un tel texte juridique</w:t>
      </w:r>
      <w:r w:rsidR="00646CDB" w:rsidRPr="00AC5807">
        <w:t>.</w:t>
      </w:r>
    </w:p>
    <w:p w:rsidR="00646CDB" w:rsidRPr="00AC5807" w:rsidRDefault="00646CDB" w:rsidP="00646CDB">
      <w:r w:rsidRPr="00AC5807">
        <w:rPr>
          <w:b/>
        </w:rPr>
        <w:t>9.</w:t>
      </w:r>
      <w:r w:rsidRPr="00AC5807">
        <w:rPr>
          <w:b/>
        </w:rPr>
        <w:tab/>
      </w:r>
      <w:r w:rsidR="00055C3B" w:rsidRPr="00AC5807">
        <w:rPr>
          <w:b/>
        </w:rPr>
        <w:t>Prévision quant à la modification de la proposition</w:t>
      </w:r>
      <w:r w:rsidRPr="00AC5807">
        <w:rPr>
          <w:b/>
        </w:rPr>
        <w:t xml:space="preserve">: </w:t>
      </w:r>
      <w:r w:rsidR="00055C3B" w:rsidRPr="00AC5807">
        <w:t>sans objet</w:t>
      </w:r>
      <w:r w:rsidRPr="00AC5807">
        <w:t xml:space="preserve"> (cf</w:t>
      </w:r>
      <w:r w:rsidR="00B25372">
        <w:t>.</w:t>
      </w:r>
      <w:r w:rsidRPr="00AC5807">
        <w:t xml:space="preserve"> point 10)</w:t>
      </w:r>
      <w:r w:rsidR="003D210C" w:rsidRPr="00AC5807">
        <w:t>.</w:t>
      </w:r>
    </w:p>
    <w:p w:rsidR="003D210C" w:rsidRPr="00AC5807" w:rsidRDefault="00646CDB" w:rsidP="00646CDB">
      <w:pPr>
        <w:rPr>
          <w:b/>
        </w:rPr>
      </w:pPr>
      <w:r w:rsidRPr="00AC5807">
        <w:rPr>
          <w:b/>
        </w:rPr>
        <w:t>10.</w:t>
      </w:r>
      <w:r w:rsidRPr="00AC5807">
        <w:rPr>
          <w:b/>
        </w:rPr>
        <w:tab/>
      </w:r>
      <w:r w:rsidR="00055C3B" w:rsidRPr="00AC5807">
        <w:rPr>
          <w:b/>
        </w:rPr>
        <w:t>Prévision quant à l’</w:t>
      </w:r>
      <w:r w:rsidRPr="00AC5807">
        <w:rPr>
          <w:b/>
        </w:rPr>
        <w:t xml:space="preserve">adoption </w:t>
      </w:r>
      <w:r w:rsidR="00055C3B" w:rsidRPr="00AC5807">
        <w:rPr>
          <w:b/>
        </w:rPr>
        <w:t>d</w:t>
      </w:r>
      <w:r w:rsidRPr="00AC5807">
        <w:rPr>
          <w:b/>
        </w:rPr>
        <w:t xml:space="preserve">e </w:t>
      </w:r>
      <w:r w:rsidR="00055C3B" w:rsidRPr="00AC5807">
        <w:rPr>
          <w:b/>
        </w:rPr>
        <w:t xml:space="preserve">la </w:t>
      </w:r>
      <w:r w:rsidRPr="00AC5807">
        <w:rPr>
          <w:b/>
        </w:rPr>
        <w:t>propos</w:t>
      </w:r>
      <w:r w:rsidR="00055C3B" w:rsidRPr="00AC5807">
        <w:rPr>
          <w:b/>
        </w:rPr>
        <w:t>ition</w:t>
      </w:r>
      <w:r w:rsidRPr="00AC5807">
        <w:rPr>
          <w:b/>
        </w:rPr>
        <w:t>:</w:t>
      </w:r>
    </w:p>
    <w:p w:rsidR="00646CDB" w:rsidRPr="00AC5807" w:rsidRDefault="00646CDB" w:rsidP="00646CDB">
      <w:r w:rsidRPr="00AC5807">
        <w:t xml:space="preserve">Adoption </w:t>
      </w:r>
      <w:r w:rsidR="00055C3B" w:rsidRPr="00AC5807">
        <w:t>par le Conseil le</w:t>
      </w:r>
      <w:r w:rsidRPr="00AC5807">
        <w:t xml:space="preserve"> 29 </w:t>
      </w:r>
      <w:r w:rsidR="00055C3B" w:rsidRPr="00AC5807">
        <w:t>n</w:t>
      </w:r>
      <w:r w:rsidRPr="00AC5807">
        <w:t>ovembr</w:t>
      </w:r>
      <w:r w:rsidR="00055C3B" w:rsidRPr="00AC5807">
        <w:t>e</w:t>
      </w:r>
      <w:r w:rsidRPr="00AC5807">
        <w:t xml:space="preserve"> 2004.</w:t>
      </w:r>
    </w:p>
    <w:p w:rsidR="006524F1" w:rsidRPr="00AC5807" w:rsidRDefault="006524F1" w:rsidP="006524F1">
      <w:pPr>
        <w:pStyle w:val="Initial"/>
        <w:tabs>
          <w:tab w:val="clear" w:pos="-720"/>
        </w:tabs>
        <w:spacing w:after="240"/>
        <w:jc w:val="left"/>
        <w:rPr>
          <w:szCs w:val="24"/>
          <w:lang w:val="fr-FR"/>
        </w:rPr>
      </w:pPr>
      <w:r w:rsidRPr="00AC5807">
        <w:rPr>
          <w:lang w:val="fr-FR"/>
        </w:rPr>
        <w:br w:type="page"/>
      </w:r>
    </w:p>
    <w:p w:rsidR="006524F1" w:rsidRPr="00AC5807" w:rsidRDefault="0060447D" w:rsidP="006524F1">
      <w:pPr>
        <w:jc w:val="center"/>
        <w:rPr>
          <w:szCs w:val="24"/>
        </w:rPr>
      </w:pPr>
      <w:r w:rsidRPr="00AC5807">
        <w:rPr>
          <w:b/>
          <w:szCs w:val="24"/>
        </w:rPr>
        <w:t xml:space="preserve">PROCEDURE DE </w:t>
      </w:r>
      <w:r w:rsidR="006524F1" w:rsidRPr="00AC5807">
        <w:rPr>
          <w:b/>
          <w:szCs w:val="24"/>
        </w:rPr>
        <w:t xml:space="preserve">CONSULTATION </w:t>
      </w:r>
      <w:r w:rsidRPr="00AC5807">
        <w:rPr>
          <w:b/>
          <w:szCs w:val="24"/>
        </w:rPr>
        <w:t>NÉCESSI</w:t>
      </w:r>
      <w:r w:rsidR="00AC5807">
        <w:rPr>
          <w:b/>
          <w:szCs w:val="24"/>
        </w:rPr>
        <w:t>T</w:t>
      </w:r>
      <w:r w:rsidRPr="00AC5807">
        <w:rPr>
          <w:b/>
          <w:szCs w:val="24"/>
        </w:rPr>
        <w:t>ANT UNE SEULE LECTURE</w:t>
      </w:r>
    </w:p>
    <w:p w:rsidR="006524F1" w:rsidRPr="00AC5807" w:rsidRDefault="006524F1" w:rsidP="006524F1">
      <w:pPr>
        <w:jc w:val="center"/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</w:pPr>
      <w:r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>Propos</w:t>
      </w:r>
      <w:r w:rsidR="0060447D"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>ition de règlement du Conseil</w:t>
      </w:r>
      <w:r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 xml:space="preserve"> </w:t>
      </w:r>
      <w:r w:rsidR="0060447D"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>établissant un instrument d’aide financière pour encourager le développ</w:t>
      </w:r>
      <w:r w:rsid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>e</w:t>
      </w:r>
      <w:r w:rsidR="0060447D"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>ment économique de la communauté chypriote turque</w:t>
      </w:r>
    </w:p>
    <w:p w:rsidR="006524F1" w:rsidRPr="00AC5807" w:rsidRDefault="006524F1" w:rsidP="006524F1">
      <w:pPr>
        <w:jc w:val="left"/>
        <w:rPr>
          <w:b/>
          <w:szCs w:val="24"/>
        </w:rPr>
      </w:pPr>
    </w:p>
    <w:p w:rsidR="006524F1" w:rsidRPr="00AC5807" w:rsidRDefault="006524F1" w:rsidP="006524F1">
      <w:pPr>
        <w:rPr>
          <w:szCs w:val="24"/>
        </w:rPr>
      </w:pPr>
    </w:p>
    <w:p w:rsidR="006524F1" w:rsidRPr="006524F1" w:rsidRDefault="006524F1" w:rsidP="006524F1">
      <w:pPr>
        <w:rPr>
          <w:szCs w:val="24"/>
          <w:lang w:val="en-GB"/>
        </w:rPr>
      </w:pPr>
      <w:r w:rsidRPr="006524F1">
        <w:rPr>
          <w:b/>
          <w:szCs w:val="24"/>
          <w:lang w:val="en-GB"/>
        </w:rPr>
        <w:t>1</w:t>
      </w:r>
      <w:r>
        <w:rPr>
          <w:b/>
          <w:szCs w:val="24"/>
          <w:lang w:val="en-GB"/>
        </w:rPr>
        <w:t>.</w:t>
      </w:r>
      <w:r>
        <w:rPr>
          <w:b/>
          <w:szCs w:val="24"/>
          <w:lang w:val="en-GB"/>
        </w:rPr>
        <w:tab/>
      </w:r>
      <w:r w:rsidRPr="006524F1">
        <w:rPr>
          <w:b/>
          <w:szCs w:val="24"/>
          <w:lang w:val="en-GB"/>
        </w:rPr>
        <w:t>Rapporteur :</w:t>
      </w:r>
      <w:r w:rsidRPr="006524F1">
        <w:rPr>
          <w:szCs w:val="24"/>
          <w:lang w:val="en-GB"/>
        </w:rPr>
        <w:t xml:space="preserve"> </w:t>
      </w:r>
      <w:r w:rsidRPr="006524F1">
        <w:rPr>
          <w:rStyle w:val="DefaultMargins"/>
          <w:rFonts w:ascii="Times New Roman" w:hAnsi="Times New Roman"/>
          <w:spacing w:val="-2"/>
          <w:sz w:val="24"/>
          <w:szCs w:val="24"/>
        </w:rPr>
        <w:t>Mechtild R</w:t>
      </w:r>
      <w:r w:rsidR="00835DD9">
        <w:rPr>
          <w:rStyle w:val="DefaultMargins"/>
          <w:rFonts w:ascii="Times New Roman" w:hAnsi="Times New Roman"/>
          <w:spacing w:val="-2"/>
          <w:sz w:val="24"/>
          <w:szCs w:val="24"/>
        </w:rPr>
        <w:t>othe</w:t>
      </w:r>
    </w:p>
    <w:p w:rsidR="006524F1" w:rsidRPr="006524F1" w:rsidRDefault="006524F1" w:rsidP="006524F1">
      <w:pPr>
        <w:rPr>
          <w:szCs w:val="24"/>
          <w:lang w:val="en-GB"/>
        </w:rPr>
      </w:pPr>
      <w:r w:rsidRPr="006524F1">
        <w:rPr>
          <w:b/>
          <w:szCs w:val="24"/>
          <w:lang w:val="en-GB"/>
        </w:rPr>
        <w:t>2</w:t>
      </w:r>
      <w:r>
        <w:rPr>
          <w:b/>
          <w:szCs w:val="24"/>
          <w:lang w:val="en-GB"/>
        </w:rPr>
        <w:t>.</w:t>
      </w:r>
      <w:r>
        <w:rPr>
          <w:b/>
          <w:szCs w:val="24"/>
          <w:lang w:val="en-GB"/>
        </w:rPr>
        <w:tab/>
      </w:r>
      <w:r w:rsidRPr="006524F1">
        <w:rPr>
          <w:b/>
          <w:szCs w:val="24"/>
          <w:lang w:val="en-GB"/>
        </w:rPr>
        <w:t>N</w:t>
      </w:r>
      <w:r w:rsidR="0060447D">
        <w:rPr>
          <w:b/>
          <w:szCs w:val="24"/>
          <w:lang w:val="en-GB"/>
        </w:rPr>
        <w:t>°</w:t>
      </w:r>
      <w:r w:rsidR="0060447D" w:rsidRPr="0060447D">
        <w:rPr>
          <w:b/>
          <w:szCs w:val="24"/>
          <w:lang w:val="en-GB"/>
        </w:rPr>
        <w:t xml:space="preserve"> </w:t>
      </w:r>
      <w:r w:rsidR="0060447D" w:rsidRPr="006524F1">
        <w:rPr>
          <w:b/>
          <w:szCs w:val="24"/>
          <w:lang w:val="en-GB"/>
        </w:rPr>
        <w:t>P</w:t>
      </w:r>
      <w:r w:rsidR="0060447D">
        <w:rPr>
          <w:b/>
          <w:szCs w:val="24"/>
          <w:lang w:val="en-GB"/>
        </w:rPr>
        <w:t>E</w:t>
      </w:r>
      <w:r w:rsidRPr="006524F1">
        <w:rPr>
          <w:b/>
          <w:szCs w:val="24"/>
          <w:lang w:val="en-GB"/>
        </w:rPr>
        <w:t>:</w:t>
      </w:r>
      <w:r w:rsidRPr="006524F1">
        <w:rPr>
          <w:szCs w:val="24"/>
          <w:lang w:val="en-GB"/>
        </w:rPr>
        <w:t xml:space="preserve"> A6-0032/</w:t>
      </w:r>
      <w:r>
        <w:rPr>
          <w:szCs w:val="24"/>
          <w:lang w:val="en-GB"/>
        </w:rPr>
        <w:t>2004</w:t>
      </w:r>
    </w:p>
    <w:p w:rsidR="006524F1" w:rsidRPr="00AC5807" w:rsidRDefault="006524F1" w:rsidP="006524F1">
      <w:pPr>
        <w:rPr>
          <w:szCs w:val="24"/>
        </w:rPr>
      </w:pPr>
      <w:r w:rsidRPr="00AC5807">
        <w:rPr>
          <w:b/>
          <w:szCs w:val="24"/>
        </w:rPr>
        <w:t>3.</w:t>
      </w:r>
      <w:r w:rsidRPr="00AC5807">
        <w:rPr>
          <w:b/>
          <w:szCs w:val="24"/>
        </w:rPr>
        <w:tab/>
        <w:t xml:space="preserve">Date </w:t>
      </w:r>
      <w:r w:rsidR="0060447D" w:rsidRPr="00AC5807">
        <w:rPr>
          <w:b/>
          <w:szCs w:val="24"/>
        </w:rPr>
        <w:t>d’</w:t>
      </w:r>
      <w:r w:rsidRPr="00AC5807">
        <w:rPr>
          <w:b/>
          <w:szCs w:val="24"/>
        </w:rPr>
        <w:t xml:space="preserve">adoption </w:t>
      </w:r>
      <w:r w:rsidR="0060447D" w:rsidRPr="00AC5807">
        <w:rPr>
          <w:b/>
          <w:szCs w:val="24"/>
        </w:rPr>
        <w:t>du</w:t>
      </w:r>
      <w:r w:rsidRPr="00AC5807">
        <w:rPr>
          <w:b/>
          <w:szCs w:val="24"/>
        </w:rPr>
        <w:t xml:space="preserve"> r</w:t>
      </w:r>
      <w:r w:rsidR="0060447D" w:rsidRPr="00AC5807">
        <w:rPr>
          <w:b/>
          <w:szCs w:val="24"/>
        </w:rPr>
        <w:t>ap</w:t>
      </w:r>
      <w:r w:rsidRPr="00AC5807">
        <w:rPr>
          <w:b/>
          <w:szCs w:val="24"/>
        </w:rPr>
        <w:t>port:</w:t>
      </w:r>
      <w:r w:rsidRPr="00AC5807">
        <w:rPr>
          <w:szCs w:val="24"/>
        </w:rPr>
        <w:t xml:space="preserve"> </w:t>
      </w:r>
      <w:r w:rsidR="0060447D" w:rsidRPr="00AC5807">
        <w:rPr>
          <w:szCs w:val="24"/>
        </w:rPr>
        <w:t xml:space="preserve">le </w:t>
      </w:r>
      <w:r w:rsidRPr="00AC5807">
        <w:rPr>
          <w:szCs w:val="24"/>
        </w:rPr>
        <w:t xml:space="preserve">17 </w:t>
      </w:r>
      <w:r w:rsidR="0060447D" w:rsidRPr="00AC5807">
        <w:rPr>
          <w:szCs w:val="24"/>
        </w:rPr>
        <w:t>n</w:t>
      </w:r>
      <w:r w:rsidRPr="00AC5807">
        <w:rPr>
          <w:szCs w:val="24"/>
        </w:rPr>
        <w:t>ovembr</w:t>
      </w:r>
      <w:r w:rsidR="0060447D" w:rsidRPr="00AC5807">
        <w:rPr>
          <w:szCs w:val="24"/>
        </w:rPr>
        <w:t>e</w:t>
      </w:r>
      <w:r w:rsidRPr="00AC5807">
        <w:rPr>
          <w:szCs w:val="24"/>
        </w:rPr>
        <w:t xml:space="preserve"> 2004</w:t>
      </w:r>
    </w:p>
    <w:p w:rsidR="006524F1" w:rsidRPr="00AC5807" w:rsidRDefault="006524F1" w:rsidP="006524F1">
      <w:pPr>
        <w:rPr>
          <w:b/>
          <w:szCs w:val="24"/>
        </w:rPr>
      </w:pPr>
      <w:r w:rsidRPr="00AC5807">
        <w:rPr>
          <w:b/>
          <w:szCs w:val="24"/>
        </w:rPr>
        <w:t>4.</w:t>
      </w:r>
      <w:r w:rsidRPr="00AC5807">
        <w:rPr>
          <w:b/>
          <w:szCs w:val="24"/>
        </w:rPr>
        <w:tab/>
      </w:r>
      <w:r w:rsidR="0060447D" w:rsidRPr="00AC5807">
        <w:rPr>
          <w:b/>
          <w:szCs w:val="24"/>
        </w:rPr>
        <w:t>O</w:t>
      </w:r>
      <w:r w:rsidRPr="00AC5807">
        <w:rPr>
          <w:b/>
          <w:szCs w:val="24"/>
        </w:rPr>
        <w:t>bjet:</w:t>
      </w:r>
    </w:p>
    <w:p w:rsidR="006524F1" w:rsidRPr="00AC5807" w:rsidRDefault="0060447D" w:rsidP="006524F1">
      <w:pPr>
        <w:rPr>
          <w:szCs w:val="24"/>
        </w:rPr>
      </w:pP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Proposition de règlement du Conseil établissant un instrument d’aide financière pour encourager le développ</w:t>
      </w:r>
      <w:r w:rsid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e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ment économique de la communauté chypriote turque </w:t>
      </w:r>
    </w:p>
    <w:p w:rsidR="006524F1" w:rsidRPr="00AC5807" w:rsidRDefault="006524F1" w:rsidP="006524F1">
      <w:pPr>
        <w:rPr>
          <w:szCs w:val="24"/>
        </w:rPr>
      </w:pPr>
      <w:r w:rsidRPr="00AC5807">
        <w:rPr>
          <w:b/>
          <w:szCs w:val="24"/>
        </w:rPr>
        <w:t>5.</w:t>
      </w:r>
      <w:r w:rsidRPr="00AC5807">
        <w:rPr>
          <w:b/>
          <w:szCs w:val="24"/>
        </w:rPr>
        <w:tab/>
      </w:r>
      <w:r w:rsidR="0060447D" w:rsidRPr="00AC5807">
        <w:rPr>
          <w:b/>
          <w:szCs w:val="24"/>
        </w:rPr>
        <w:t>Référence i</w:t>
      </w:r>
      <w:r w:rsidRPr="00AC5807">
        <w:rPr>
          <w:b/>
          <w:szCs w:val="24"/>
        </w:rPr>
        <w:t>nterinstitution</w:t>
      </w:r>
      <w:r w:rsidR="0060447D" w:rsidRPr="00AC5807">
        <w:rPr>
          <w:b/>
          <w:szCs w:val="24"/>
        </w:rPr>
        <w:t>ne</w:t>
      </w:r>
      <w:r w:rsidRPr="00AC5807">
        <w:rPr>
          <w:b/>
          <w:szCs w:val="24"/>
        </w:rPr>
        <w:t>l</w:t>
      </w:r>
      <w:r w:rsidR="0060447D" w:rsidRPr="00AC5807">
        <w:rPr>
          <w:b/>
          <w:szCs w:val="24"/>
        </w:rPr>
        <w:t>le</w:t>
      </w:r>
      <w:r w:rsidRPr="00AC5807">
        <w:rPr>
          <w:b/>
          <w:szCs w:val="24"/>
        </w:rPr>
        <w:t xml:space="preserve">: </w:t>
      </w:r>
      <w:r w:rsidRPr="00AC5807">
        <w:rPr>
          <w:szCs w:val="24"/>
        </w:rPr>
        <w:t>2004</w:t>
      </w:r>
      <w:r w:rsidR="00646CDB" w:rsidRPr="00AC5807">
        <w:rPr>
          <w:szCs w:val="24"/>
        </w:rPr>
        <w:t>/0145</w:t>
      </w:r>
      <w:r w:rsidRPr="00AC5807">
        <w:rPr>
          <w:szCs w:val="24"/>
        </w:rPr>
        <w:t>(CNS)</w:t>
      </w:r>
    </w:p>
    <w:p w:rsidR="006524F1" w:rsidRPr="00AC5807" w:rsidRDefault="006524F1" w:rsidP="006524F1">
      <w:pPr>
        <w:rPr>
          <w:szCs w:val="24"/>
        </w:rPr>
      </w:pPr>
      <w:r w:rsidRPr="00AC5807">
        <w:rPr>
          <w:b/>
          <w:szCs w:val="24"/>
        </w:rPr>
        <w:t>6.</w:t>
      </w:r>
      <w:r w:rsidRPr="00AC5807">
        <w:rPr>
          <w:b/>
          <w:szCs w:val="24"/>
        </w:rPr>
        <w:tab/>
      </w:r>
      <w:r w:rsidR="0060447D" w:rsidRPr="00AC5807">
        <w:rPr>
          <w:b/>
          <w:szCs w:val="24"/>
        </w:rPr>
        <w:t>Base juridique</w:t>
      </w:r>
      <w:r w:rsidRPr="00AC5807">
        <w:rPr>
          <w:b/>
          <w:szCs w:val="24"/>
        </w:rPr>
        <w:t>:</w:t>
      </w:r>
      <w:r w:rsidR="0060447D" w:rsidRPr="00AC5807">
        <w:rPr>
          <w:szCs w:val="24"/>
        </w:rPr>
        <w:t xml:space="preserve"> Article 308 </w:t>
      </w:r>
      <w:r w:rsidRPr="00AC5807">
        <w:rPr>
          <w:szCs w:val="24"/>
        </w:rPr>
        <w:t>C</w:t>
      </w:r>
      <w:r w:rsidR="0060447D" w:rsidRPr="00AC5807">
        <w:rPr>
          <w:szCs w:val="24"/>
        </w:rPr>
        <w:t>E</w:t>
      </w:r>
    </w:p>
    <w:p w:rsidR="006524F1" w:rsidRPr="00AC5807" w:rsidRDefault="006524F1" w:rsidP="006524F1">
      <w:pPr>
        <w:rPr>
          <w:b/>
          <w:szCs w:val="24"/>
        </w:rPr>
      </w:pPr>
      <w:r w:rsidRPr="00AC5807">
        <w:rPr>
          <w:b/>
          <w:szCs w:val="24"/>
        </w:rPr>
        <w:t>7.</w:t>
      </w:r>
      <w:r w:rsidRPr="00AC5807">
        <w:rPr>
          <w:b/>
          <w:szCs w:val="24"/>
        </w:rPr>
        <w:tab/>
        <w:t>Com</w:t>
      </w:r>
      <w:r w:rsidR="0060447D" w:rsidRPr="00AC5807">
        <w:rPr>
          <w:b/>
          <w:szCs w:val="24"/>
        </w:rPr>
        <w:t>mission parle</w:t>
      </w:r>
      <w:r w:rsidRPr="00AC5807">
        <w:rPr>
          <w:b/>
          <w:szCs w:val="24"/>
        </w:rPr>
        <w:t>ment</w:t>
      </w:r>
      <w:r w:rsidR="0060447D" w:rsidRPr="00AC5807">
        <w:rPr>
          <w:b/>
          <w:szCs w:val="24"/>
        </w:rPr>
        <w:t>aire</w:t>
      </w:r>
      <w:r w:rsidRPr="00AC5807">
        <w:rPr>
          <w:b/>
          <w:szCs w:val="24"/>
        </w:rPr>
        <w:t xml:space="preserve"> </w:t>
      </w:r>
      <w:r w:rsidR="0060447D" w:rsidRPr="00AC5807">
        <w:rPr>
          <w:b/>
          <w:szCs w:val="24"/>
        </w:rPr>
        <w:t>c</w:t>
      </w:r>
      <w:r w:rsidRPr="00AC5807">
        <w:rPr>
          <w:b/>
          <w:szCs w:val="24"/>
        </w:rPr>
        <w:t>om</w:t>
      </w:r>
      <w:r w:rsidR="0060447D" w:rsidRPr="00AC5807">
        <w:rPr>
          <w:b/>
          <w:szCs w:val="24"/>
        </w:rPr>
        <w:t>pétente</w:t>
      </w:r>
      <w:r w:rsidRPr="00AC5807">
        <w:rPr>
          <w:b/>
          <w:szCs w:val="24"/>
        </w:rPr>
        <w:t>:</w:t>
      </w:r>
      <w:r w:rsidRPr="00AC5807">
        <w:rPr>
          <w:szCs w:val="24"/>
        </w:rPr>
        <w:t xml:space="preserve"> Commi</w:t>
      </w:r>
      <w:r w:rsidR="0060447D" w:rsidRPr="00AC5807">
        <w:rPr>
          <w:szCs w:val="24"/>
        </w:rPr>
        <w:t>ssion des affaires étrangères</w:t>
      </w:r>
    </w:p>
    <w:p w:rsidR="006524F1" w:rsidRPr="00AC5807" w:rsidRDefault="006524F1" w:rsidP="006524F1">
      <w:pPr>
        <w:rPr>
          <w:b/>
          <w:szCs w:val="24"/>
        </w:rPr>
      </w:pPr>
      <w:r w:rsidRPr="00AC5807">
        <w:rPr>
          <w:b/>
          <w:szCs w:val="24"/>
        </w:rPr>
        <w:t>8.</w:t>
      </w:r>
      <w:r w:rsidRPr="00AC5807">
        <w:rPr>
          <w:b/>
          <w:szCs w:val="24"/>
        </w:rPr>
        <w:tab/>
      </w:r>
      <w:r w:rsidR="00A56BB2" w:rsidRPr="00AC5807">
        <w:rPr>
          <w:b/>
          <w:szCs w:val="24"/>
        </w:rPr>
        <w:t>Position de la C</w:t>
      </w:r>
      <w:r w:rsidRPr="00AC5807">
        <w:rPr>
          <w:b/>
          <w:szCs w:val="24"/>
        </w:rPr>
        <w:t>ommission:</w:t>
      </w:r>
    </w:p>
    <w:p w:rsidR="006524F1" w:rsidRPr="00AC5807" w:rsidRDefault="00A56BB2" w:rsidP="006524F1">
      <w:pPr>
        <w:rPr>
          <w:szCs w:val="24"/>
        </w:rPr>
      </w:pPr>
      <w:r w:rsidRPr="00AC5807">
        <w:rPr>
          <w:szCs w:val="24"/>
        </w:rPr>
        <w:t>La</w:t>
      </w:r>
      <w:r w:rsidR="006524F1" w:rsidRPr="00AC5807">
        <w:rPr>
          <w:szCs w:val="24"/>
        </w:rPr>
        <w:t xml:space="preserve"> Commission </w:t>
      </w:r>
      <w:r w:rsidRPr="00AC5807">
        <w:rPr>
          <w:szCs w:val="24"/>
        </w:rPr>
        <w:t>peut</w:t>
      </w:r>
      <w:r w:rsidR="006524F1" w:rsidRPr="00AC5807">
        <w:rPr>
          <w:szCs w:val="24"/>
        </w:rPr>
        <w:t xml:space="preserve"> accept</w:t>
      </w:r>
      <w:r w:rsidRPr="00AC5807">
        <w:rPr>
          <w:szCs w:val="24"/>
        </w:rPr>
        <w:t>er</w:t>
      </w:r>
      <w:r w:rsidR="006524F1" w:rsidRPr="00AC5807">
        <w:rPr>
          <w:szCs w:val="24"/>
        </w:rPr>
        <w:t xml:space="preserve"> certain</w:t>
      </w:r>
      <w:r w:rsidRPr="00AC5807">
        <w:rPr>
          <w:szCs w:val="24"/>
        </w:rPr>
        <w:t>s</w:t>
      </w:r>
      <w:r w:rsidR="006524F1" w:rsidRPr="00AC5807">
        <w:rPr>
          <w:szCs w:val="24"/>
        </w:rPr>
        <w:t xml:space="preserve"> amend</w:t>
      </w:r>
      <w:r w:rsidRPr="00AC5807">
        <w:rPr>
          <w:szCs w:val="24"/>
        </w:rPr>
        <w:t>e</w:t>
      </w:r>
      <w:r w:rsidR="006524F1" w:rsidRPr="00AC5807">
        <w:rPr>
          <w:szCs w:val="24"/>
        </w:rPr>
        <w:t>ments.</w:t>
      </w:r>
    </w:p>
    <w:p w:rsidR="006524F1" w:rsidRPr="00AC5807" w:rsidRDefault="001B6599" w:rsidP="006524F1">
      <w:pPr>
        <w:autoSpaceDE w:val="0"/>
        <w:autoSpaceDN w:val="0"/>
        <w:adjustRightInd w:val="0"/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</w:pPr>
      <w:r w:rsidRPr="00AC5807">
        <w:rPr>
          <w:szCs w:val="24"/>
        </w:rPr>
        <w:t>La</w:t>
      </w:r>
      <w:r w:rsidR="006524F1" w:rsidRPr="00AC5807">
        <w:rPr>
          <w:szCs w:val="24"/>
        </w:rPr>
        <w:t xml:space="preserve"> Commission </w:t>
      </w:r>
      <w:r w:rsidRPr="00AC5807">
        <w:rPr>
          <w:szCs w:val="24"/>
        </w:rPr>
        <w:t>peut garder une attitude globalement</w:t>
      </w:r>
      <w:r w:rsidR="006524F1" w:rsidRPr="00AC5807">
        <w:rPr>
          <w:szCs w:val="24"/>
        </w:rPr>
        <w:t xml:space="preserve"> positive </w:t>
      </w:r>
      <w:r w:rsidRPr="00AC5807">
        <w:rPr>
          <w:szCs w:val="24"/>
        </w:rPr>
        <w:t>au Conseil en ce qui</w:t>
      </w:r>
      <w:r w:rsidR="006524F1" w:rsidRPr="00AC5807">
        <w:rPr>
          <w:szCs w:val="24"/>
        </w:rPr>
        <w:t xml:space="preserve"> concern</w:t>
      </w:r>
      <w:r w:rsidRPr="00AC5807">
        <w:rPr>
          <w:szCs w:val="24"/>
        </w:rPr>
        <w:t>e</w:t>
      </w:r>
      <w:r w:rsidR="006524F1" w:rsidRPr="00AC5807">
        <w:rPr>
          <w:szCs w:val="24"/>
        </w:rPr>
        <w:t xml:space="preserve"> </w:t>
      </w:r>
      <w:r w:rsidRPr="00AC5807">
        <w:rPr>
          <w:szCs w:val="24"/>
        </w:rPr>
        <w:t>la</w:t>
      </w:r>
      <w:r w:rsidR="006524F1" w:rsidRPr="00AC5807">
        <w:rPr>
          <w:szCs w:val="24"/>
        </w:rPr>
        <w:t xml:space="preserve"> substance </w:t>
      </w:r>
      <w:r w:rsidRPr="00AC5807">
        <w:rPr>
          <w:szCs w:val="24"/>
        </w:rPr>
        <w:t>d</w:t>
      </w:r>
      <w:r w:rsidR="006524F1" w:rsidRPr="00AC5807">
        <w:rPr>
          <w:szCs w:val="24"/>
        </w:rPr>
        <w:t>e</w:t>
      </w:r>
      <w:r w:rsidRPr="00AC5807">
        <w:rPr>
          <w:szCs w:val="24"/>
        </w:rPr>
        <w:t>s</w:t>
      </w:r>
      <w:r w:rsidR="006524F1" w:rsidRPr="00AC5807">
        <w:rPr>
          <w:szCs w:val="24"/>
        </w:rPr>
        <w:t xml:space="preserve"> amend</w:t>
      </w:r>
      <w:r w:rsidRPr="00AC5807">
        <w:rPr>
          <w:szCs w:val="24"/>
        </w:rPr>
        <w:t>e</w:t>
      </w:r>
      <w:r w:rsidR="006524F1" w:rsidRPr="00AC5807">
        <w:rPr>
          <w:szCs w:val="24"/>
        </w:rPr>
        <w:t>ments</w:t>
      </w:r>
      <w:r w:rsidRPr="00AC5807">
        <w:rPr>
          <w:szCs w:val="24"/>
        </w:rPr>
        <w:t>, sauf celui qui touche à la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 comitolog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ie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 (amend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e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ment 3 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à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 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l’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article 3), 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qui </w:t>
      </w:r>
      <w:r w:rsidR="00206223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constitue un 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écart </w:t>
      </w:r>
      <w:r w:rsidR="00206223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par rapport aux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 règles standard </w:t>
      </w:r>
      <w:r w:rsidR="00206223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relatives aux comités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. 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L’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amend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e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ment 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concernant les droits de propriété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 (amend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e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ment 6 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à l’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article 6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bis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) 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peut être accepté quant au fond du fait qu’il aligne le texte sur la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 position 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prise au Conseil à ce sujet, qui a été acceptée par la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 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C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E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,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 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et correspond à la pratique courante de la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 Commission 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dans les pay</w:t>
      </w:r>
      <w:r w:rsidR="00B57425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s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 PHARE.</w:t>
      </w:r>
    </w:p>
    <w:p w:rsidR="006524F1" w:rsidRPr="00AC5807" w:rsidRDefault="006524F1" w:rsidP="006524F1">
      <w:pPr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</w:pPr>
      <w:r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>9.</w:t>
      </w:r>
      <w:r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ab/>
      </w:r>
      <w:r w:rsidR="00206223"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>Prévision quant à la modification de la</w:t>
      </w:r>
      <w:r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 xml:space="preserve"> propos</w:t>
      </w:r>
      <w:r w:rsidR="00206223"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>ition</w:t>
      </w:r>
      <w:r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>:</w:t>
      </w:r>
    </w:p>
    <w:p w:rsidR="006524F1" w:rsidRPr="00AC5807" w:rsidRDefault="00206223" w:rsidP="006524F1">
      <w:pPr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</w:pP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A ce stade de la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 discussion, 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les 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amend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e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ments 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peuvent être discutés oralement au Conseil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.</w:t>
      </w:r>
    </w:p>
    <w:p w:rsidR="006524F1" w:rsidRPr="00AC5807" w:rsidRDefault="006524F1" w:rsidP="006524F1">
      <w:pPr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</w:pPr>
      <w:r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>10.</w:t>
      </w:r>
      <w:r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ab/>
      </w:r>
      <w:r w:rsidR="00206223"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>Prévision quant à l’</w:t>
      </w:r>
      <w:r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 xml:space="preserve">adoption </w:t>
      </w:r>
      <w:r w:rsidR="00206223"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>d</w:t>
      </w:r>
      <w:r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 xml:space="preserve">e </w:t>
      </w:r>
      <w:r w:rsidR="00206223"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 xml:space="preserve">la </w:t>
      </w:r>
      <w:r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>propos</w:t>
      </w:r>
      <w:r w:rsidR="00206223"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>ition</w:t>
      </w:r>
      <w:r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>:</w:t>
      </w:r>
    </w:p>
    <w:p w:rsidR="006524F1" w:rsidRPr="00AC5807" w:rsidRDefault="007B3A28" w:rsidP="006524F1">
      <w:pPr>
        <w:rPr>
          <w:rStyle w:val="DefaultMargins"/>
          <w:rFonts w:ascii="Times New Roman" w:hAnsi="Times New Roman"/>
          <w:spacing w:val="-2"/>
          <w:sz w:val="24"/>
          <w:szCs w:val="24"/>
          <w:u w:val="single"/>
          <w:lang w:val="fr-FR"/>
        </w:rPr>
      </w:pP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La proposition est toujours pendante au Conseil, où quelques Etats membres ont des réserves à l’égard d’autres aspects du paquet lié à la communauté chypriote turque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. </w:t>
      </w:r>
    </w:p>
    <w:p w:rsidR="00B84281" w:rsidRPr="00AC5807" w:rsidRDefault="006524F1" w:rsidP="00B84281">
      <w:pPr>
        <w:pStyle w:val="Initial"/>
        <w:tabs>
          <w:tab w:val="clear" w:pos="-720"/>
        </w:tabs>
        <w:spacing w:after="240"/>
        <w:jc w:val="left"/>
        <w:rPr>
          <w:lang w:val="fr-FR"/>
        </w:rPr>
      </w:pPr>
      <w:r w:rsidRPr="00AC5807">
        <w:rPr>
          <w:lang w:val="fr-FR"/>
        </w:rPr>
        <w:br w:type="page"/>
      </w:r>
    </w:p>
    <w:p w:rsidR="00B84281" w:rsidRPr="00AC5807" w:rsidRDefault="00BF1DE4" w:rsidP="00B84281">
      <w:pPr>
        <w:jc w:val="center"/>
      </w:pPr>
      <w:r w:rsidRPr="00AC5807">
        <w:rPr>
          <w:b/>
        </w:rPr>
        <w:t xml:space="preserve">PROCEDURE DE </w:t>
      </w:r>
      <w:r w:rsidR="00B84281" w:rsidRPr="00AC5807">
        <w:rPr>
          <w:b/>
        </w:rPr>
        <w:t xml:space="preserve">CONSULTATION </w:t>
      </w:r>
      <w:r w:rsidRPr="00AC5807">
        <w:rPr>
          <w:b/>
        </w:rPr>
        <w:t>NÉCESSITANT UNE SEULE LECTURE</w:t>
      </w:r>
    </w:p>
    <w:p w:rsidR="00B84281" w:rsidRPr="00AC5807" w:rsidRDefault="00BF1DE4" w:rsidP="00B84281">
      <w:pPr>
        <w:jc w:val="center"/>
        <w:rPr>
          <w:b/>
        </w:rPr>
      </w:pPr>
      <w:r w:rsidRPr="00AC5807">
        <w:rPr>
          <w:b/>
        </w:rPr>
        <w:t xml:space="preserve">Proposition de la </w:t>
      </w:r>
      <w:r w:rsidR="00B84281" w:rsidRPr="00AC5807">
        <w:rPr>
          <w:b/>
        </w:rPr>
        <w:t xml:space="preserve">Commission </w:t>
      </w:r>
      <w:r w:rsidRPr="00AC5807">
        <w:rPr>
          <w:b/>
        </w:rPr>
        <w:t>en vue de l’adoption d’une décision du Conseil modifiant la décision n°</w:t>
      </w:r>
      <w:r w:rsidR="00B84281" w:rsidRPr="00AC5807">
        <w:rPr>
          <w:b/>
        </w:rPr>
        <w:t xml:space="preserve"> 2002/463/</w:t>
      </w:r>
      <w:r w:rsidRPr="00AC5807">
        <w:rPr>
          <w:b/>
        </w:rPr>
        <w:t>C</w:t>
      </w:r>
      <w:r w:rsidR="00B84281" w:rsidRPr="00AC5807">
        <w:rPr>
          <w:b/>
        </w:rPr>
        <w:t xml:space="preserve">E </w:t>
      </w:r>
      <w:r w:rsidRPr="00AC5807">
        <w:rPr>
          <w:b/>
        </w:rPr>
        <w:t>portant adoption d’un</w:t>
      </w:r>
      <w:r w:rsidR="00B84281" w:rsidRPr="00AC5807">
        <w:rPr>
          <w:b/>
        </w:rPr>
        <w:t xml:space="preserve"> programme </w:t>
      </w:r>
      <w:r w:rsidRPr="00AC5807">
        <w:rPr>
          <w:b/>
        </w:rPr>
        <w:t>d’action concernant la coopération</w:t>
      </w:r>
      <w:r w:rsidR="00B84281" w:rsidRPr="00AC5807">
        <w:rPr>
          <w:b/>
        </w:rPr>
        <w:t xml:space="preserve"> administrative </w:t>
      </w:r>
      <w:r w:rsidRPr="00AC5807">
        <w:rPr>
          <w:b/>
        </w:rPr>
        <w:t>dans les domaines des frontières extérieures, des visas, de l’asile et de l’immigration</w:t>
      </w:r>
      <w:r w:rsidR="00B84281" w:rsidRPr="00AC5807">
        <w:rPr>
          <w:b/>
        </w:rPr>
        <w:t xml:space="preserve"> (programme</w:t>
      </w:r>
      <w:r w:rsidRPr="00AC5807">
        <w:rPr>
          <w:b/>
        </w:rPr>
        <w:t xml:space="preserve"> ARGO</w:t>
      </w:r>
      <w:r w:rsidR="00B84281" w:rsidRPr="00AC5807">
        <w:rPr>
          <w:b/>
        </w:rPr>
        <w:t xml:space="preserve">) </w:t>
      </w:r>
    </w:p>
    <w:p w:rsidR="00B84281" w:rsidRPr="00AC5807" w:rsidRDefault="00B84281" w:rsidP="00B84281">
      <w:pPr>
        <w:jc w:val="left"/>
        <w:rPr>
          <w:b/>
        </w:rPr>
      </w:pPr>
    </w:p>
    <w:p w:rsidR="00B84281" w:rsidRPr="00AC5807" w:rsidRDefault="00B84281" w:rsidP="00B84281">
      <w:pPr>
        <w:jc w:val="left"/>
      </w:pPr>
    </w:p>
    <w:p w:rsidR="00B84281" w:rsidRPr="00AC5807" w:rsidRDefault="00B84281" w:rsidP="00B84281">
      <w:r w:rsidRPr="00AC5807">
        <w:rPr>
          <w:b/>
        </w:rPr>
        <w:t>1.</w:t>
      </w:r>
      <w:r w:rsidRPr="00AC5807">
        <w:rPr>
          <w:b/>
        </w:rPr>
        <w:tab/>
        <w:t xml:space="preserve">Rapporteur: </w:t>
      </w:r>
      <w:r w:rsidRPr="00AC5807">
        <w:t>Martine Roure</w:t>
      </w:r>
    </w:p>
    <w:p w:rsidR="00B84281" w:rsidRPr="00AC5807" w:rsidRDefault="00B84281" w:rsidP="00B84281">
      <w:r w:rsidRPr="00AC5807">
        <w:rPr>
          <w:b/>
        </w:rPr>
        <w:t>2.</w:t>
      </w:r>
      <w:r w:rsidRPr="00AC5807">
        <w:rPr>
          <w:b/>
        </w:rPr>
        <w:tab/>
        <w:t>N</w:t>
      </w:r>
      <w:r w:rsidR="00BF1DE4" w:rsidRPr="00AC5807">
        <w:rPr>
          <w:b/>
        </w:rPr>
        <w:t>° PE</w:t>
      </w:r>
      <w:r w:rsidRPr="00AC5807">
        <w:rPr>
          <w:b/>
        </w:rPr>
        <w:t xml:space="preserve">: </w:t>
      </w:r>
      <w:r w:rsidRPr="00AC5807">
        <w:t>A6-0019/2004</w:t>
      </w:r>
    </w:p>
    <w:p w:rsidR="00B84281" w:rsidRPr="00AC5807" w:rsidRDefault="00B84281" w:rsidP="00B84281">
      <w:r w:rsidRPr="00AC5807">
        <w:rPr>
          <w:b/>
        </w:rPr>
        <w:t>3</w:t>
      </w:r>
      <w:r w:rsidR="000851F9" w:rsidRPr="00AC5807">
        <w:rPr>
          <w:b/>
        </w:rPr>
        <w:t>.</w:t>
      </w:r>
      <w:r w:rsidR="000851F9" w:rsidRPr="00AC5807">
        <w:rPr>
          <w:b/>
        </w:rPr>
        <w:tab/>
      </w:r>
      <w:r w:rsidRPr="00AC5807">
        <w:rPr>
          <w:b/>
        </w:rPr>
        <w:t xml:space="preserve">Date </w:t>
      </w:r>
      <w:r w:rsidR="00572876" w:rsidRPr="00AC5807">
        <w:rPr>
          <w:b/>
        </w:rPr>
        <w:t>d’</w:t>
      </w:r>
      <w:r w:rsidRPr="00AC5807">
        <w:rPr>
          <w:b/>
        </w:rPr>
        <w:t xml:space="preserve">adoption </w:t>
      </w:r>
      <w:r w:rsidR="00572876" w:rsidRPr="00AC5807">
        <w:rPr>
          <w:b/>
        </w:rPr>
        <w:t>du</w:t>
      </w:r>
      <w:r w:rsidRPr="00AC5807">
        <w:rPr>
          <w:b/>
        </w:rPr>
        <w:t xml:space="preserve"> r</w:t>
      </w:r>
      <w:r w:rsidR="00572876" w:rsidRPr="00AC5807">
        <w:rPr>
          <w:b/>
        </w:rPr>
        <w:t>ap</w:t>
      </w:r>
      <w:r w:rsidRPr="00AC5807">
        <w:rPr>
          <w:b/>
        </w:rPr>
        <w:t xml:space="preserve">port: </w:t>
      </w:r>
      <w:r w:rsidR="00BF1DE4" w:rsidRPr="00AC5807">
        <w:t>le</w:t>
      </w:r>
      <w:r w:rsidR="00BF1DE4" w:rsidRPr="00AC5807">
        <w:rPr>
          <w:b/>
        </w:rPr>
        <w:t xml:space="preserve"> </w:t>
      </w:r>
      <w:r w:rsidRPr="00AC5807">
        <w:t xml:space="preserve">17 </w:t>
      </w:r>
      <w:r w:rsidR="00BF1DE4" w:rsidRPr="00AC5807">
        <w:t>n</w:t>
      </w:r>
      <w:r w:rsidRPr="00AC5807">
        <w:t>ovembr</w:t>
      </w:r>
      <w:r w:rsidR="00572876" w:rsidRPr="00AC5807">
        <w:t>e</w:t>
      </w:r>
      <w:r w:rsidRPr="00AC5807">
        <w:t xml:space="preserve"> 2004</w:t>
      </w:r>
    </w:p>
    <w:p w:rsidR="00B84281" w:rsidRPr="00AC5807" w:rsidRDefault="00B84281" w:rsidP="00B84281">
      <w:r w:rsidRPr="00AC5807">
        <w:rPr>
          <w:b/>
        </w:rPr>
        <w:t>4</w:t>
      </w:r>
      <w:r w:rsidR="000851F9" w:rsidRPr="00AC5807">
        <w:rPr>
          <w:b/>
        </w:rPr>
        <w:t>.</w:t>
      </w:r>
      <w:r w:rsidR="000851F9" w:rsidRPr="00AC5807">
        <w:rPr>
          <w:b/>
        </w:rPr>
        <w:tab/>
      </w:r>
      <w:r w:rsidR="00572876" w:rsidRPr="00AC5807">
        <w:rPr>
          <w:b/>
        </w:rPr>
        <w:t>Obje</w:t>
      </w:r>
      <w:r w:rsidRPr="00AC5807">
        <w:rPr>
          <w:b/>
        </w:rPr>
        <w:t xml:space="preserve">t: </w:t>
      </w:r>
      <w:r w:rsidRPr="00AC5807">
        <w:t xml:space="preserve">Programme </w:t>
      </w:r>
      <w:r w:rsidR="00572876" w:rsidRPr="00AC5807">
        <w:t>d’action européen</w:t>
      </w:r>
      <w:r w:rsidR="00AC5807">
        <w:t>ne</w:t>
      </w:r>
      <w:r w:rsidR="00572876" w:rsidRPr="00AC5807">
        <w:t xml:space="preserve"> concernant la coopération</w:t>
      </w:r>
      <w:r w:rsidRPr="00AC5807">
        <w:t xml:space="preserve"> administrative </w:t>
      </w:r>
      <w:r w:rsidR="00572876" w:rsidRPr="00AC5807">
        <w:t>dans les domaines des frontières extérieures, des</w:t>
      </w:r>
      <w:r w:rsidRPr="00AC5807">
        <w:t xml:space="preserve"> visas, </w:t>
      </w:r>
      <w:r w:rsidR="00572876" w:rsidRPr="00AC5807">
        <w:t>de l’asile et de l’</w:t>
      </w:r>
      <w:r w:rsidRPr="00AC5807">
        <w:t>immigration (ARGO)</w:t>
      </w:r>
    </w:p>
    <w:p w:rsidR="00B84281" w:rsidRPr="00AC5807" w:rsidRDefault="00B84281" w:rsidP="00B84281">
      <w:r w:rsidRPr="00AC5807">
        <w:rPr>
          <w:b/>
        </w:rPr>
        <w:t>5</w:t>
      </w:r>
      <w:r w:rsidR="000851F9" w:rsidRPr="00AC5807">
        <w:rPr>
          <w:b/>
        </w:rPr>
        <w:t>.</w:t>
      </w:r>
      <w:r w:rsidR="000851F9" w:rsidRPr="00AC5807">
        <w:rPr>
          <w:b/>
        </w:rPr>
        <w:tab/>
      </w:r>
      <w:r w:rsidR="00572876" w:rsidRPr="00AC5807">
        <w:rPr>
          <w:b/>
        </w:rPr>
        <w:t>Références i</w:t>
      </w:r>
      <w:r w:rsidRPr="00AC5807">
        <w:rPr>
          <w:b/>
        </w:rPr>
        <w:t>nterinstitution</w:t>
      </w:r>
      <w:r w:rsidR="00572876" w:rsidRPr="00AC5807">
        <w:rPr>
          <w:b/>
        </w:rPr>
        <w:t>ne</w:t>
      </w:r>
      <w:r w:rsidRPr="00AC5807">
        <w:rPr>
          <w:b/>
        </w:rPr>
        <w:t>l</w:t>
      </w:r>
      <w:r w:rsidR="00572876" w:rsidRPr="00AC5807">
        <w:rPr>
          <w:b/>
        </w:rPr>
        <w:t>les</w:t>
      </w:r>
      <w:r w:rsidRPr="00AC5807">
        <w:rPr>
          <w:b/>
        </w:rPr>
        <w:t>:</w:t>
      </w:r>
      <w:r w:rsidRPr="00AC5807">
        <w:t xml:space="preserve"> </w:t>
      </w:r>
      <w:r w:rsidR="009121F0" w:rsidRPr="00AC5807">
        <w:t>2004/</w:t>
      </w:r>
      <w:r w:rsidR="003D210C" w:rsidRPr="00AC5807">
        <w:t>0</w:t>
      </w:r>
      <w:r w:rsidR="009121F0" w:rsidRPr="00AC5807">
        <w:t>122(CNS)</w:t>
      </w:r>
    </w:p>
    <w:p w:rsidR="00B84281" w:rsidRPr="00AC5807" w:rsidRDefault="00B84281" w:rsidP="00B84281">
      <w:r w:rsidRPr="00AC5807">
        <w:rPr>
          <w:b/>
        </w:rPr>
        <w:t>6</w:t>
      </w:r>
      <w:r w:rsidR="000851F9" w:rsidRPr="00AC5807">
        <w:rPr>
          <w:b/>
        </w:rPr>
        <w:t>.</w:t>
      </w:r>
      <w:r w:rsidR="000851F9" w:rsidRPr="00AC5807">
        <w:rPr>
          <w:b/>
        </w:rPr>
        <w:tab/>
      </w:r>
      <w:r w:rsidR="00572876" w:rsidRPr="00AC5807">
        <w:rPr>
          <w:b/>
        </w:rPr>
        <w:t>Base juridique</w:t>
      </w:r>
      <w:r w:rsidRPr="00AC5807">
        <w:rPr>
          <w:b/>
        </w:rPr>
        <w:t xml:space="preserve">: </w:t>
      </w:r>
      <w:r w:rsidRPr="00AC5807">
        <w:t>Article 66, TC</w:t>
      </w:r>
      <w:r w:rsidR="00572876" w:rsidRPr="00AC5807">
        <w:t>E</w:t>
      </w:r>
    </w:p>
    <w:p w:rsidR="00B84281" w:rsidRPr="00AC5807" w:rsidRDefault="00B84281" w:rsidP="00B84281">
      <w:pPr>
        <w:rPr>
          <w:b/>
        </w:rPr>
      </w:pPr>
      <w:r w:rsidRPr="00AC5807">
        <w:rPr>
          <w:b/>
        </w:rPr>
        <w:t>7</w:t>
      </w:r>
      <w:r w:rsidR="000851F9" w:rsidRPr="00AC5807">
        <w:rPr>
          <w:b/>
        </w:rPr>
        <w:t>.</w:t>
      </w:r>
      <w:r w:rsidR="000851F9" w:rsidRPr="00AC5807">
        <w:rPr>
          <w:b/>
        </w:rPr>
        <w:tab/>
      </w:r>
      <w:r w:rsidRPr="00AC5807">
        <w:rPr>
          <w:b/>
        </w:rPr>
        <w:t>Com</w:t>
      </w:r>
      <w:r w:rsidR="00572876" w:rsidRPr="00AC5807">
        <w:rPr>
          <w:b/>
        </w:rPr>
        <w:t>mission</w:t>
      </w:r>
      <w:r w:rsidRPr="00AC5807">
        <w:rPr>
          <w:b/>
        </w:rPr>
        <w:t xml:space="preserve"> parl</w:t>
      </w:r>
      <w:r w:rsidR="00572876" w:rsidRPr="00AC5807">
        <w:rPr>
          <w:b/>
        </w:rPr>
        <w:t>e</w:t>
      </w:r>
      <w:r w:rsidRPr="00AC5807">
        <w:rPr>
          <w:b/>
        </w:rPr>
        <w:t>menta</w:t>
      </w:r>
      <w:r w:rsidR="00572876" w:rsidRPr="00AC5807">
        <w:rPr>
          <w:b/>
        </w:rPr>
        <w:t>ire</w:t>
      </w:r>
      <w:r w:rsidRPr="00AC5807">
        <w:rPr>
          <w:b/>
        </w:rPr>
        <w:t xml:space="preserve"> com</w:t>
      </w:r>
      <w:r w:rsidR="00572876" w:rsidRPr="00AC5807">
        <w:rPr>
          <w:b/>
        </w:rPr>
        <w:t>pétente</w:t>
      </w:r>
      <w:r w:rsidRPr="00AC5807">
        <w:rPr>
          <w:b/>
        </w:rPr>
        <w:t>:</w:t>
      </w:r>
    </w:p>
    <w:p w:rsidR="00B84281" w:rsidRPr="00AC5807" w:rsidRDefault="00B84281" w:rsidP="00B84281">
      <w:r w:rsidRPr="00AC5807">
        <w:t>Commi</w:t>
      </w:r>
      <w:r w:rsidR="00572876" w:rsidRPr="00AC5807">
        <w:t>ssion des libertés civiles, de la justice et des affaires intérieures</w:t>
      </w:r>
      <w:r w:rsidRPr="00AC5807">
        <w:t xml:space="preserve"> (LIBE)</w:t>
      </w:r>
    </w:p>
    <w:p w:rsidR="00B84281" w:rsidRPr="00AC5807" w:rsidRDefault="00B84281" w:rsidP="00B84281">
      <w:pPr>
        <w:rPr>
          <w:b/>
        </w:rPr>
      </w:pPr>
      <w:r w:rsidRPr="00AC5807">
        <w:rPr>
          <w:b/>
        </w:rPr>
        <w:t>8</w:t>
      </w:r>
      <w:r w:rsidR="000851F9" w:rsidRPr="00AC5807">
        <w:rPr>
          <w:b/>
        </w:rPr>
        <w:t>.</w:t>
      </w:r>
      <w:r w:rsidR="000851F9" w:rsidRPr="00AC5807">
        <w:rPr>
          <w:b/>
        </w:rPr>
        <w:tab/>
      </w:r>
      <w:r w:rsidR="00572876" w:rsidRPr="00AC5807">
        <w:rPr>
          <w:b/>
        </w:rPr>
        <w:t xml:space="preserve">Position de la </w:t>
      </w:r>
      <w:r w:rsidRPr="00AC5807">
        <w:rPr>
          <w:b/>
        </w:rPr>
        <w:t>Commission:</w:t>
      </w:r>
    </w:p>
    <w:p w:rsidR="00B84281" w:rsidRPr="00AC5807" w:rsidRDefault="00572876" w:rsidP="00B84281">
      <w:pPr>
        <w:tabs>
          <w:tab w:val="left" w:pos="1380"/>
        </w:tabs>
      </w:pPr>
      <w:r w:rsidRPr="00AC5807">
        <w:t>La</w:t>
      </w:r>
      <w:r w:rsidR="00B84281" w:rsidRPr="00AC5807">
        <w:t xml:space="preserve"> Commission </w:t>
      </w:r>
      <w:r w:rsidRPr="00AC5807">
        <w:t>se félicite du plein appui apporté par la commission</w:t>
      </w:r>
      <w:r w:rsidR="00B84281" w:rsidRPr="00AC5807">
        <w:t xml:space="preserve"> LIBE </w:t>
      </w:r>
      <w:r w:rsidRPr="00AC5807">
        <w:t xml:space="preserve">à sa </w:t>
      </w:r>
      <w:r w:rsidR="00B84281" w:rsidRPr="00AC5807">
        <w:t>propos</w:t>
      </w:r>
      <w:r w:rsidRPr="00AC5807">
        <w:t>ition</w:t>
      </w:r>
      <w:r w:rsidR="00B84281" w:rsidRPr="00AC5807">
        <w:t xml:space="preserve">, </w:t>
      </w:r>
      <w:r w:rsidR="00B57425" w:rsidRPr="00AC5807">
        <w:t xml:space="preserve">mais </w:t>
      </w:r>
      <w:r w:rsidRPr="00AC5807">
        <w:rPr>
          <w:u w:val="single"/>
        </w:rPr>
        <w:t>elle n’accepte pas formellement les</w:t>
      </w:r>
      <w:r w:rsidR="00B84281" w:rsidRPr="00AC5807">
        <w:rPr>
          <w:u w:val="single"/>
        </w:rPr>
        <w:t xml:space="preserve"> amend</w:t>
      </w:r>
      <w:r w:rsidRPr="00AC5807">
        <w:rPr>
          <w:u w:val="single"/>
        </w:rPr>
        <w:t>e</w:t>
      </w:r>
      <w:r w:rsidR="00B84281" w:rsidRPr="00AC5807">
        <w:rPr>
          <w:u w:val="single"/>
        </w:rPr>
        <w:t>ments propos</w:t>
      </w:r>
      <w:r w:rsidRPr="00AC5807">
        <w:rPr>
          <w:u w:val="single"/>
        </w:rPr>
        <w:t>és</w:t>
      </w:r>
      <w:r w:rsidR="00B84281" w:rsidRPr="00AC5807">
        <w:rPr>
          <w:u w:val="single"/>
        </w:rPr>
        <w:t xml:space="preserve"> </w:t>
      </w:r>
      <w:r w:rsidRPr="00AC5807">
        <w:rPr>
          <w:u w:val="single"/>
        </w:rPr>
        <w:t>par cette commission et adoptés par le PE en session plénière le</w:t>
      </w:r>
      <w:r w:rsidR="00B84281" w:rsidRPr="00AC5807">
        <w:rPr>
          <w:u w:val="single"/>
        </w:rPr>
        <w:t xml:space="preserve"> 17 </w:t>
      </w:r>
      <w:r w:rsidRPr="00AC5807">
        <w:rPr>
          <w:u w:val="single"/>
        </w:rPr>
        <w:t>n</w:t>
      </w:r>
      <w:r w:rsidR="00B84281" w:rsidRPr="00AC5807">
        <w:rPr>
          <w:u w:val="single"/>
        </w:rPr>
        <w:t>ovembr</w:t>
      </w:r>
      <w:r w:rsidRPr="00AC5807">
        <w:rPr>
          <w:u w:val="single"/>
        </w:rPr>
        <w:t>e</w:t>
      </w:r>
      <w:r w:rsidR="00B84281" w:rsidRPr="00AC5807">
        <w:rPr>
          <w:u w:val="single"/>
        </w:rPr>
        <w:t xml:space="preserve"> 2004.</w:t>
      </w:r>
      <w:r w:rsidR="00B84281" w:rsidRPr="00AC5807">
        <w:t xml:space="preserve"> </w:t>
      </w:r>
      <w:r w:rsidR="00071727" w:rsidRPr="00AC5807">
        <w:t>La</w:t>
      </w:r>
      <w:r w:rsidR="00B84281" w:rsidRPr="00AC5807">
        <w:t xml:space="preserve"> Commission </w:t>
      </w:r>
      <w:r w:rsidR="00071727" w:rsidRPr="00AC5807">
        <w:t xml:space="preserve">est d’avis que sa </w:t>
      </w:r>
      <w:r w:rsidR="00B84281" w:rsidRPr="00AC5807">
        <w:t>propos</w:t>
      </w:r>
      <w:r w:rsidR="00071727" w:rsidRPr="00AC5807">
        <w:t>ition</w:t>
      </w:r>
      <w:r w:rsidR="00B84281" w:rsidRPr="00AC5807">
        <w:t xml:space="preserve"> refl</w:t>
      </w:r>
      <w:r w:rsidR="00071727" w:rsidRPr="00AC5807">
        <w:t>è</w:t>
      </w:r>
      <w:r w:rsidR="00B84281" w:rsidRPr="00AC5807">
        <w:t>t</w:t>
      </w:r>
      <w:r w:rsidR="00071727" w:rsidRPr="00AC5807">
        <w:t xml:space="preserve">e </w:t>
      </w:r>
      <w:r w:rsidR="00B57425" w:rsidRPr="00AC5807">
        <w:t xml:space="preserve">adéquatement </w:t>
      </w:r>
      <w:r w:rsidR="00071727" w:rsidRPr="00AC5807">
        <w:t>les objectifs de la modification de la décision</w:t>
      </w:r>
      <w:r w:rsidR="00B84281" w:rsidRPr="00AC5807">
        <w:t xml:space="preserve"> ARGO </w:t>
      </w:r>
      <w:r w:rsidR="00071727" w:rsidRPr="00AC5807">
        <w:t>en facilitant l’accès des Etats membres aux subventions du programme, qui couvre à présent les actions purement nationales</w:t>
      </w:r>
      <w:r w:rsidR="00B84281" w:rsidRPr="00AC5807">
        <w:t xml:space="preserve">. </w:t>
      </w:r>
      <w:r w:rsidR="00071727" w:rsidRPr="00AC5807">
        <w:t>Toutefois</w:t>
      </w:r>
      <w:r w:rsidR="00B84281" w:rsidRPr="00AC5807">
        <w:t xml:space="preserve">, </w:t>
      </w:r>
      <w:r w:rsidR="00071727" w:rsidRPr="00AC5807">
        <w:t>la</w:t>
      </w:r>
      <w:r w:rsidR="00B84281" w:rsidRPr="00AC5807">
        <w:t xml:space="preserve"> Commission </w:t>
      </w:r>
      <w:r w:rsidR="00071727" w:rsidRPr="00AC5807">
        <w:t>s’est engagée informellement à convertir la</w:t>
      </w:r>
      <w:r w:rsidR="00B84281" w:rsidRPr="00AC5807">
        <w:t xml:space="preserve"> substance </w:t>
      </w:r>
      <w:r w:rsidR="00071727" w:rsidRPr="00AC5807">
        <w:t>du plus</w:t>
      </w:r>
      <w:r w:rsidR="00B84281" w:rsidRPr="00AC5807">
        <w:t xml:space="preserve"> important amend</w:t>
      </w:r>
      <w:r w:rsidR="00071727" w:rsidRPr="00AC5807">
        <w:t>e</w:t>
      </w:r>
      <w:r w:rsidR="00B84281" w:rsidRPr="00AC5807">
        <w:t>ment propos</w:t>
      </w:r>
      <w:r w:rsidR="00071727" w:rsidRPr="00AC5807">
        <w:t>é</w:t>
      </w:r>
      <w:r w:rsidR="00B84281" w:rsidRPr="00AC5807">
        <w:t xml:space="preserve"> </w:t>
      </w:r>
      <w:r w:rsidR="00071727" w:rsidRPr="00AC5807">
        <w:t>par le PE</w:t>
      </w:r>
      <w:r w:rsidR="00B84281" w:rsidRPr="00AC5807">
        <w:t xml:space="preserve">, </w:t>
      </w:r>
      <w:r w:rsidR="00071727" w:rsidRPr="00AC5807">
        <w:t>à savoir le plafonnement annuel des fonds octroyés à ces nouvelles actions</w:t>
      </w:r>
      <w:r w:rsidR="00B57425" w:rsidRPr="00AC5807">
        <w:t>,</w:t>
      </w:r>
      <w:r w:rsidR="00071727" w:rsidRPr="00AC5807">
        <w:t xml:space="preserve"> en une disposition formelle du programm</w:t>
      </w:r>
      <w:r w:rsidR="00B84281" w:rsidRPr="00AC5807">
        <w:t>e</w:t>
      </w:r>
      <w:r w:rsidR="00071727" w:rsidRPr="00AC5807">
        <w:t xml:space="preserve"> de travail annuel du programme</w:t>
      </w:r>
      <w:r w:rsidR="00B84281" w:rsidRPr="00AC5807">
        <w:t xml:space="preserve"> ARGO. </w:t>
      </w:r>
      <w:r w:rsidR="00B57425" w:rsidRPr="00AC5807">
        <w:t>Il sera ainsi tenu compte de</w:t>
      </w:r>
      <w:r w:rsidR="00071727" w:rsidRPr="00AC5807">
        <w:t xml:space="preserve"> la</w:t>
      </w:r>
      <w:r w:rsidR="00B84281" w:rsidRPr="00AC5807">
        <w:t xml:space="preserve"> position </w:t>
      </w:r>
      <w:r w:rsidR="00071727" w:rsidRPr="00AC5807">
        <w:t xml:space="preserve">du PE </w:t>
      </w:r>
      <w:r w:rsidR="00B57425" w:rsidRPr="00AC5807">
        <w:t>s</w:t>
      </w:r>
      <w:r w:rsidR="00071727" w:rsidRPr="00AC5807">
        <w:t>ans modifier formellement la</w:t>
      </w:r>
      <w:r w:rsidR="00B84281" w:rsidRPr="00AC5807">
        <w:t xml:space="preserve"> propos</w:t>
      </w:r>
      <w:r w:rsidR="00071727" w:rsidRPr="00AC5807">
        <w:t>ition</w:t>
      </w:r>
      <w:r w:rsidR="00B84281" w:rsidRPr="00AC5807">
        <w:t>.</w:t>
      </w:r>
    </w:p>
    <w:p w:rsidR="00B84281" w:rsidRPr="00AC5807" w:rsidRDefault="00071727" w:rsidP="00B84281">
      <w:pPr>
        <w:tabs>
          <w:tab w:val="left" w:pos="1380"/>
        </w:tabs>
      </w:pPr>
      <w:r w:rsidRPr="00AC5807">
        <w:t>Les</w:t>
      </w:r>
      <w:r w:rsidR="00B84281" w:rsidRPr="00AC5807">
        <w:t xml:space="preserve"> amend</w:t>
      </w:r>
      <w:r w:rsidRPr="00AC5807">
        <w:t>e</w:t>
      </w:r>
      <w:r w:rsidR="00B84281" w:rsidRPr="00AC5807">
        <w:t xml:space="preserve">ments </w:t>
      </w:r>
      <w:r w:rsidRPr="00AC5807">
        <w:t>du PE sont décrits ci-après</w:t>
      </w:r>
      <w:r w:rsidR="00B84281" w:rsidRPr="00AC5807">
        <w:t>.</w:t>
      </w:r>
    </w:p>
    <w:p w:rsidR="00B84281" w:rsidRPr="00AC5807" w:rsidRDefault="00B84281" w:rsidP="00B84281">
      <w:pPr>
        <w:tabs>
          <w:tab w:val="left" w:pos="1380"/>
        </w:tabs>
        <w:rPr>
          <w:u w:val="single"/>
        </w:rPr>
      </w:pPr>
      <w:r w:rsidRPr="00AC5807">
        <w:rPr>
          <w:u w:val="single"/>
        </w:rPr>
        <w:t xml:space="preserve">1. </w:t>
      </w:r>
      <w:r w:rsidR="00071727" w:rsidRPr="00AC5807">
        <w:rPr>
          <w:u w:val="single"/>
        </w:rPr>
        <w:t>L’a</w:t>
      </w:r>
      <w:r w:rsidRPr="00AC5807">
        <w:rPr>
          <w:u w:val="single"/>
        </w:rPr>
        <w:t>mend</w:t>
      </w:r>
      <w:r w:rsidR="00071727" w:rsidRPr="00AC5807">
        <w:rPr>
          <w:u w:val="single"/>
        </w:rPr>
        <w:t>e</w:t>
      </w:r>
      <w:r w:rsidRPr="00AC5807">
        <w:rPr>
          <w:u w:val="single"/>
        </w:rPr>
        <w:t xml:space="preserve">ment </w:t>
      </w:r>
      <w:r w:rsidR="00C646DF" w:rsidRPr="00AC5807">
        <w:rPr>
          <w:u w:val="single"/>
        </w:rPr>
        <w:t>n°</w:t>
      </w:r>
      <w:r w:rsidRPr="00AC5807">
        <w:rPr>
          <w:u w:val="single"/>
        </w:rPr>
        <w:t xml:space="preserve">1 </w:t>
      </w:r>
      <w:r w:rsidR="00C646DF" w:rsidRPr="00AC5807">
        <w:rPr>
          <w:u w:val="single"/>
        </w:rPr>
        <w:t>vise à supprimer le considérant n°</w:t>
      </w:r>
      <w:r w:rsidRPr="00AC5807">
        <w:rPr>
          <w:u w:val="single"/>
        </w:rPr>
        <w:t xml:space="preserve">4, </w:t>
      </w:r>
      <w:r w:rsidR="00C646DF" w:rsidRPr="00AC5807">
        <w:rPr>
          <w:u w:val="single"/>
        </w:rPr>
        <w:t xml:space="preserve">mentionnant la forte augmentation des fonds du programme </w:t>
      </w:r>
      <w:r w:rsidRPr="00AC5807">
        <w:rPr>
          <w:u w:val="single"/>
        </w:rPr>
        <w:t xml:space="preserve">ARGO </w:t>
      </w:r>
      <w:r w:rsidR="00C646DF" w:rsidRPr="00AC5807">
        <w:rPr>
          <w:u w:val="single"/>
        </w:rPr>
        <w:t>pour la gestion des frontières extérieures en</w:t>
      </w:r>
      <w:r w:rsidRPr="00AC5807">
        <w:rPr>
          <w:u w:val="single"/>
        </w:rPr>
        <w:t xml:space="preserve"> 2004.</w:t>
      </w:r>
    </w:p>
    <w:p w:rsidR="00B84281" w:rsidRPr="00AC5807" w:rsidRDefault="00C646DF" w:rsidP="00B84281">
      <w:pPr>
        <w:tabs>
          <w:tab w:val="left" w:pos="1380"/>
        </w:tabs>
      </w:pPr>
      <w:r w:rsidRPr="00AC5807">
        <w:rPr>
          <w:b/>
        </w:rPr>
        <w:t>La</w:t>
      </w:r>
      <w:r w:rsidR="00B84281" w:rsidRPr="00AC5807">
        <w:rPr>
          <w:b/>
        </w:rPr>
        <w:t xml:space="preserve"> Commission </w:t>
      </w:r>
      <w:r w:rsidRPr="00AC5807">
        <w:t>ne peut approuver</w:t>
      </w:r>
      <w:r w:rsidR="00B84281" w:rsidRPr="00AC5807">
        <w:t xml:space="preserve"> </w:t>
      </w:r>
      <w:r w:rsidRPr="00AC5807">
        <w:t>l’</w:t>
      </w:r>
      <w:r w:rsidR="00B84281" w:rsidRPr="00AC5807">
        <w:t>amend</w:t>
      </w:r>
      <w:r w:rsidRPr="00AC5807">
        <w:t>e</w:t>
      </w:r>
      <w:r w:rsidR="00B84281" w:rsidRPr="00AC5807">
        <w:t>ment propos</w:t>
      </w:r>
      <w:r w:rsidRPr="00AC5807">
        <w:t>é</w:t>
      </w:r>
      <w:r w:rsidR="00B84281" w:rsidRPr="00AC5807">
        <w:t xml:space="preserve"> </w:t>
      </w:r>
      <w:r w:rsidRPr="00AC5807">
        <w:t>par le</w:t>
      </w:r>
      <w:r w:rsidR="00B84281" w:rsidRPr="00AC5807">
        <w:t xml:space="preserve"> Parl</w:t>
      </w:r>
      <w:r w:rsidRPr="00AC5807">
        <w:t>e</w:t>
      </w:r>
      <w:r w:rsidR="00B84281" w:rsidRPr="00AC5807">
        <w:t xml:space="preserve">ment, </w:t>
      </w:r>
      <w:r w:rsidRPr="00AC5807">
        <w:t xml:space="preserve">bien qu’il ait été considéré </w:t>
      </w:r>
      <w:r w:rsidR="00B84281" w:rsidRPr="00AC5807">
        <w:t xml:space="preserve">acceptable. </w:t>
      </w:r>
      <w:r w:rsidRPr="00AC5807">
        <w:t>La mention de l’augmentation est une déclaration politique, pleinement compatible avec le reste de la proposition</w:t>
      </w:r>
      <w:r w:rsidR="00B84281" w:rsidRPr="00AC5807">
        <w:t>.</w:t>
      </w:r>
    </w:p>
    <w:p w:rsidR="00B84281" w:rsidRPr="00AC5807" w:rsidRDefault="00B84281" w:rsidP="00B84281">
      <w:pPr>
        <w:tabs>
          <w:tab w:val="left" w:pos="1380"/>
        </w:tabs>
        <w:rPr>
          <w:u w:val="single"/>
        </w:rPr>
      </w:pPr>
      <w:r w:rsidRPr="00AC5807">
        <w:rPr>
          <w:u w:val="single"/>
        </w:rPr>
        <w:lastRenderedPageBreak/>
        <w:t xml:space="preserve">2. </w:t>
      </w:r>
      <w:r w:rsidR="00C646DF" w:rsidRPr="00AC5807">
        <w:rPr>
          <w:u w:val="single"/>
        </w:rPr>
        <w:t>L’a</w:t>
      </w:r>
      <w:r w:rsidRPr="00AC5807">
        <w:rPr>
          <w:u w:val="single"/>
        </w:rPr>
        <w:t>mend</w:t>
      </w:r>
      <w:r w:rsidR="00C646DF" w:rsidRPr="00AC5807">
        <w:rPr>
          <w:u w:val="single"/>
        </w:rPr>
        <w:t>e</w:t>
      </w:r>
      <w:r w:rsidRPr="00AC5807">
        <w:rPr>
          <w:u w:val="single"/>
        </w:rPr>
        <w:t xml:space="preserve">ment </w:t>
      </w:r>
      <w:r w:rsidR="00C646DF" w:rsidRPr="00AC5807">
        <w:rPr>
          <w:u w:val="single"/>
        </w:rPr>
        <w:t>n°</w:t>
      </w:r>
      <w:r w:rsidRPr="00AC5807">
        <w:rPr>
          <w:u w:val="single"/>
        </w:rPr>
        <w:t xml:space="preserve">2 </w:t>
      </w:r>
      <w:r w:rsidR="00C646DF" w:rsidRPr="00AC5807">
        <w:rPr>
          <w:u w:val="single"/>
        </w:rPr>
        <w:t>au considérant n°</w:t>
      </w:r>
      <w:r w:rsidRPr="00AC5807">
        <w:rPr>
          <w:u w:val="single"/>
        </w:rPr>
        <w:t xml:space="preserve"> 5 </w:t>
      </w:r>
      <w:r w:rsidR="00C646DF" w:rsidRPr="00AC5807">
        <w:rPr>
          <w:u w:val="single"/>
        </w:rPr>
        <w:t xml:space="preserve">ajoute </w:t>
      </w:r>
      <w:r w:rsidR="0010677E" w:rsidRPr="00AC5807">
        <w:rPr>
          <w:u w:val="single"/>
        </w:rPr>
        <w:t>une mention concernant un meilleur accès des administrations nationales aux fonds</w:t>
      </w:r>
      <w:r w:rsidRPr="00AC5807">
        <w:rPr>
          <w:u w:val="single"/>
        </w:rPr>
        <w:t xml:space="preserve"> ARGO.</w:t>
      </w:r>
    </w:p>
    <w:p w:rsidR="00B84281" w:rsidRPr="00AC5807" w:rsidRDefault="0010677E" w:rsidP="00B84281">
      <w:pPr>
        <w:tabs>
          <w:tab w:val="left" w:pos="1380"/>
        </w:tabs>
      </w:pPr>
      <w:r w:rsidRPr="00AC5807">
        <w:rPr>
          <w:b/>
        </w:rPr>
        <w:t>La</w:t>
      </w:r>
      <w:r w:rsidR="00B84281" w:rsidRPr="00AC5807">
        <w:rPr>
          <w:b/>
        </w:rPr>
        <w:t xml:space="preserve"> Commission consid</w:t>
      </w:r>
      <w:r w:rsidRPr="00AC5807">
        <w:rPr>
          <w:b/>
        </w:rPr>
        <w:t>ère</w:t>
      </w:r>
      <w:r w:rsidR="00B84281" w:rsidRPr="00AC5807">
        <w:rPr>
          <w:b/>
        </w:rPr>
        <w:t xml:space="preserve"> </w:t>
      </w:r>
      <w:r w:rsidRPr="00AC5807">
        <w:t xml:space="preserve">cette </w:t>
      </w:r>
      <w:r w:rsidR="00B57425" w:rsidRPr="00AC5807">
        <w:t>référence à</w:t>
      </w:r>
      <w:r w:rsidRPr="00AC5807">
        <w:t xml:space="preserve"> l’accessibilité comme redondante et ne peut accepter l’amendement proposé par le Parlement</w:t>
      </w:r>
      <w:r w:rsidR="00B84281" w:rsidRPr="00AC5807">
        <w:t xml:space="preserve"> </w:t>
      </w:r>
      <w:r w:rsidRPr="00AC5807">
        <w:t>parce qu</w:t>
      </w:r>
      <w:r w:rsidR="00B57425" w:rsidRPr="00AC5807">
        <w:t>’un</w:t>
      </w:r>
      <w:r w:rsidRPr="00AC5807">
        <w:t xml:space="preserve">e </w:t>
      </w:r>
      <w:r w:rsidR="00B57425" w:rsidRPr="00AC5807">
        <w:t>meilleure accessibilité d</w:t>
      </w:r>
      <w:r w:rsidRPr="00AC5807">
        <w:t>es fonds</w:t>
      </w:r>
      <w:r w:rsidR="00B84281" w:rsidRPr="00AC5807">
        <w:t xml:space="preserve"> ARGO </w:t>
      </w:r>
      <w:r w:rsidRPr="00AC5807">
        <w:t>aux EM est la raison même de la réforme de la décision</w:t>
      </w:r>
      <w:r w:rsidR="00B84281" w:rsidRPr="00AC5807">
        <w:t xml:space="preserve"> ARGO.</w:t>
      </w:r>
    </w:p>
    <w:p w:rsidR="00B84281" w:rsidRPr="00AC5807" w:rsidRDefault="0010677E" w:rsidP="00B84281">
      <w:pPr>
        <w:tabs>
          <w:tab w:val="left" w:pos="1380"/>
        </w:tabs>
        <w:rPr>
          <w:u w:val="single"/>
        </w:rPr>
      </w:pPr>
      <w:r w:rsidRPr="00AC5807">
        <w:rPr>
          <w:u w:val="single"/>
        </w:rPr>
        <w:t>3.</w:t>
      </w:r>
      <w:r w:rsidR="00B84281" w:rsidRPr="00AC5807">
        <w:rPr>
          <w:u w:val="single"/>
        </w:rPr>
        <w:t xml:space="preserve"> Amend</w:t>
      </w:r>
      <w:r w:rsidRPr="00AC5807">
        <w:rPr>
          <w:u w:val="single"/>
        </w:rPr>
        <w:t>e</w:t>
      </w:r>
      <w:r w:rsidR="00B84281" w:rsidRPr="00AC5807">
        <w:rPr>
          <w:u w:val="single"/>
        </w:rPr>
        <w:t xml:space="preserve">ment </w:t>
      </w:r>
      <w:r w:rsidRPr="00AC5807">
        <w:rPr>
          <w:u w:val="single"/>
        </w:rPr>
        <w:t>visant à</w:t>
      </w:r>
      <w:r w:rsidR="00B84281" w:rsidRPr="00AC5807">
        <w:rPr>
          <w:u w:val="single"/>
        </w:rPr>
        <w:t xml:space="preserve"> int</w:t>
      </w:r>
      <w:r w:rsidRPr="00AC5807">
        <w:rPr>
          <w:u w:val="single"/>
        </w:rPr>
        <w:t>é</w:t>
      </w:r>
      <w:r w:rsidR="00B84281" w:rsidRPr="00AC5807">
        <w:rPr>
          <w:u w:val="single"/>
        </w:rPr>
        <w:t>gre</w:t>
      </w:r>
      <w:r w:rsidRPr="00AC5807">
        <w:rPr>
          <w:u w:val="single"/>
        </w:rPr>
        <w:t>r</w:t>
      </w:r>
      <w:r w:rsidR="00B84281" w:rsidRPr="00AC5807">
        <w:rPr>
          <w:u w:val="single"/>
        </w:rPr>
        <w:t xml:space="preserve"> </w:t>
      </w:r>
      <w:r w:rsidRPr="00AC5807">
        <w:rPr>
          <w:u w:val="single"/>
        </w:rPr>
        <w:t>un nouveau considérant</w:t>
      </w:r>
      <w:r w:rsidR="00B84281" w:rsidRPr="00AC5807">
        <w:rPr>
          <w:u w:val="single"/>
        </w:rPr>
        <w:t xml:space="preserve"> 6bis </w:t>
      </w:r>
      <w:r w:rsidRPr="00AC5807">
        <w:rPr>
          <w:u w:val="single"/>
        </w:rPr>
        <w:t>pour souligner la nécessité d’une valeur ajoutée des actions nationales et du plafonnement annuel des fonds alloués à ces actions</w:t>
      </w:r>
      <w:r w:rsidR="00B84281" w:rsidRPr="00AC5807">
        <w:rPr>
          <w:u w:val="single"/>
        </w:rPr>
        <w:t>.</w:t>
      </w:r>
    </w:p>
    <w:p w:rsidR="00B84281" w:rsidRPr="00AC5807" w:rsidRDefault="0010677E" w:rsidP="00B84281">
      <w:pPr>
        <w:tabs>
          <w:tab w:val="left" w:pos="1380"/>
        </w:tabs>
      </w:pPr>
      <w:r w:rsidRPr="00AC5807">
        <w:rPr>
          <w:b/>
        </w:rPr>
        <w:t>Bien que la</w:t>
      </w:r>
      <w:r w:rsidR="00140CE0" w:rsidRPr="00AC5807">
        <w:rPr>
          <w:b/>
        </w:rPr>
        <w:t xml:space="preserve"> </w:t>
      </w:r>
      <w:r w:rsidR="00B84281" w:rsidRPr="00AC5807">
        <w:rPr>
          <w:b/>
        </w:rPr>
        <w:t xml:space="preserve">Commission </w:t>
      </w:r>
      <w:r w:rsidR="00140CE0" w:rsidRPr="00AC5807">
        <w:rPr>
          <w:b/>
        </w:rPr>
        <w:t xml:space="preserve">ne reprenne pas </w:t>
      </w:r>
      <w:r w:rsidR="00140CE0" w:rsidRPr="00AC5807">
        <w:t>l’</w:t>
      </w:r>
      <w:r w:rsidR="00B84281" w:rsidRPr="00AC5807">
        <w:t>amend</w:t>
      </w:r>
      <w:r w:rsidR="00140CE0" w:rsidRPr="00AC5807">
        <w:t>e</w:t>
      </w:r>
      <w:r w:rsidR="00B84281" w:rsidRPr="00AC5807">
        <w:t>ment propos</w:t>
      </w:r>
      <w:r w:rsidR="00140CE0" w:rsidRPr="00AC5807">
        <w:t>é</w:t>
      </w:r>
      <w:r w:rsidR="00B84281" w:rsidRPr="00AC5807">
        <w:t xml:space="preserve"> </w:t>
      </w:r>
      <w:r w:rsidR="00140CE0" w:rsidRPr="00AC5807">
        <w:t>par le</w:t>
      </w:r>
      <w:r w:rsidR="00B84281" w:rsidRPr="00AC5807">
        <w:t xml:space="preserve"> Parl</w:t>
      </w:r>
      <w:r w:rsidR="00140CE0" w:rsidRPr="00AC5807">
        <w:t>e</w:t>
      </w:r>
      <w:r w:rsidR="00B84281" w:rsidRPr="00AC5807">
        <w:t xml:space="preserve">ment, </w:t>
      </w:r>
      <w:r w:rsidR="00140CE0" w:rsidRPr="00AC5807">
        <w:t>elle est prête à en tenir dûment compte en rédigeant le programme annuel de travail</w:t>
      </w:r>
      <w:r w:rsidR="00B84281" w:rsidRPr="00AC5807">
        <w:t xml:space="preserve">. </w:t>
      </w:r>
    </w:p>
    <w:p w:rsidR="00B84281" w:rsidRPr="00AC5807" w:rsidRDefault="00B84281" w:rsidP="00B84281">
      <w:pPr>
        <w:tabs>
          <w:tab w:val="left" w:pos="1380"/>
        </w:tabs>
        <w:rPr>
          <w:u w:val="single"/>
        </w:rPr>
      </w:pPr>
      <w:r w:rsidRPr="00AC5807">
        <w:rPr>
          <w:u w:val="single"/>
        </w:rPr>
        <w:t>4</w:t>
      </w:r>
      <w:r w:rsidR="00140CE0" w:rsidRPr="00AC5807">
        <w:rPr>
          <w:u w:val="single"/>
        </w:rPr>
        <w:t>.</w:t>
      </w:r>
      <w:r w:rsidRPr="00AC5807">
        <w:rPr>
          <w:u w:val="single"/>
        </w:rPr>
        <w:t xml:space="preserve"> </w:t>
      </w:r>
      <w:r w:rsidR="00B57425" w:rsidRPr="00AC5807">
        <w:rPr>
          <w:u w:val="single"/>
        </w:rPr>
        <w:t>L’</w:t>
      </w:r>
      <w:r w:rsidR="00140CE0" w:rsidRPr="00AC5807">
        <w:rPr>
          <w:u w:val="single"/>
        </w:rPr>
        <w:t>a</w:t>
      </w:r>
      <w:r w:rsidRPr="00AC5807">
        <w:rPr>
          <w:u w:val="single"/>
        </w:rPr>
        <w:t>mend</w:t>
      </w:r>
      <w:r w:rsidR="00D27C61" w:rsidRPr="00AC5807">
        <w:rPr>
          <w:u w:val="single"/>
        </w:rPr>
        <w:t>e</w:t>
      </w:r>
      <w:r w:rsidRPr="00AC5807">
        <w:rPr>
          <w:u w:val="single"/>
        </w:rPr>
        <w:t xml:space="preserve">ment </w:t>
      </w:r>
      <w:r w:rsidR="00B57425" w:rsidRPr="00AC5807">
        <w:rPr>
          <w:u w:val="single"/>
        </w:rPr>
        <w:t xml:space="preserve">n° 4 </w:t>
      </w:r>
      <w:r w:rsidR="00140CE0" w:rsidRPr="00AC5807">
        <w:rPr>
          <w:u w:val="single"/>
        </w:rPr>
        <w:t>à l’article</w:t>
      </w:r>
      <w:r w:rsidRPr="00AC5807">
        <w:rPr>
          <w:u w:val="single"/>
        </w:rPr>
        <w:t xml:space="preserve"> 1</w:t>
      </w:r>
      <w:r w:rsidR="00D27C61" w:rsidRPr="00AC5807">
        <w:rPr>
          <w:u w:val="single"/>
        </w:rPr>
        <w:t xml:space="preserve">, point </w:t>
      </w:r>
      <w:r w:rsidRPr="00AC5807">
        <w:rPr>
          <w:u w:val="single"/>
        </w:rPr>
        <w:t>1</w:t>
      </w:r>
      <w:r w:rsidR="00D27C61" w:rsidRPr="00AC5807">
        <w:rPr>
          <w:u w:val="single"/>
        </w:rPr>
        <w:t>,</w:t>
      </w:r>
      <w:r w:rsidRPr="00AC5807">
        <w:rPr>
          <w:u w:val="single"/>
        </w:rPr>
        <w:t xml:space="preserve"> </w:t>
      </w:r>
      <w:r w:rsidR="00D27C61" w:rsidRPr="00AC5807">
        <w:rPr>
          <w:u w:val="single"/>
        </w:rPr>
        <w:t>de la proposition mention</w:t>
      </w:r>
      <w:r w:rsidR="00B57425" w:rsidRPr="00AC5807">
        <w:rPr>
          <w:u w:val="single"/>
        </w:rPr>
        <w:t>ne</w:t>
      </w:r>
      <w:r w:rsidR="00D27C61" w:rsidRPr="00AC5807">
        <w:rPr>
          <w:u w:val="single"/>
        </w:rPr>
        <w:t xml:space="preserve"> la valeur ajoutée</w:t>
      </w:r>
      <w:r w:rsidR="00F00D33" w:rsidRPr="00AC5807">
        <w:rPr>
          <w:u w:val="single"/>
        </w:rPr>
        <w:t xml:space="preserve"> européenne des nouvelles actions nationales</w:t>
      </w:r>
      <w:r w:rsidRPr="00AC5807">
        <w:rPr>
          <w:u w:val="single"/>
        </w:rPr>
        <w:t>.</w:t>
      </w:r>
    </w:p>
    <w:p w:rsidR="00B84281" w:rsidRPr="00AC5807" w:rsidRDefault="00F00D33" w:rsidP="00B84281">
      <w:pPr>
        <w:tabs>
          <w:tab w:val="left" w:pos="1380"/>
        </w:tabs>
      </w:pPr>
      <w:r w:rsidRPr="00AC5807">
        <w:rPr>
          <w:b/>
        </w:rPr>
        <w:t>La</w:t>
      </w:r>
      <w:r w:rsidR="00B84281" w:rsidRPr="00AC5807">
        <w:rPr>
          <w:b/>
        </w:rPr>
        <w:t xml:space="preserve"> Commission </w:t>
      </w:r>
      <w:r w:rsidRPr="00AC5807">
        <w:t>ne peut approuver l’</w:t>
      </w:r>
      <w:r w:rsidR="00B84281" w:rsidRPr="00AC5807">
        <w:t>amend</w:t>
      </w:r>
      <w:r w:rsidRPr="00AC5807">
        <w:t>e</w:t>
      </w:r>
      <w:r w:rsidR="00B84281" w:rsidRPr="00AC5807">
        <w:t>ment propos</w:t>
      </w:r>
      <w:r w:rsidRPr="00AC5807">
        <w:t>é</w:t>
      </w:r>
      <w:r w:rsidR="00B84281" w:rsidRPr="00AC5807">
        <w:t xml:space="preserve"> </w:t>
      </w:r>
      <w:r w:rsidRPr="00AC5807">
        <w:t>par le Parlement européen; il est en effet redondant car la valeur ajoutée est une condition nécessaire pour la sélection des actions nationales proposées en vue d’une subvention</w:t>
      </w:r>
      <w:r w:rsidR="009C3F1E" w:rsidRPr="00AC5807">
        <w:t>, qu’elles soient anciennes ou nouvelles</w:t>
      </w:r>
      <w:r w:rsidR="00B84281" w:rsidRPr="00AC5807">
        <w:t>.</w:t>
      </w:r>
    </w:p>
    <w:p w:rsidR="00B84281" w:rsidRPr="00AC5807" w:rsidRDefault="00B84281" w:rsidP="00B84281">
      <w:pPr>
        <w:tabs>
          <w:tab w:val="left" w:pos="1380"/>
        </w:tabs>
      </w:pPr>
      <w:r w:rsidRPr="00AC5807">
        <w:t>5</w:t>
      </w:r>
      <w:r w:rsidR="009C3F1E" w:rsidRPr="00AC5807">
        <w:t>.</w:t>
      </w:r>
      <w:r w:rsidRPr="00AC5807">
        <w:t xml:space="preserve"> </w:t>
      </w:r>
      <w:r w:rsidR="009C3F1E" w:rsidRPr="00AC5807">
        <w:t>L’a</w:t>
      </w:r>
      <w:r w:rsidRPr="00AC5807">
        <w:t>mend</w:t>
      </w:r>
      <w:r w:rsidR="009C3F1E" w:rsidRPr="00AC5807">
        <w:t>e</w:t>
      </w:r>
      <w:r w:rsidRPr="00AC5807">
        <w:t xml:space="preserve">ment 5 </w:t>
      </w:r>
      <w:r w:rsidR="009C3F1E" w:rsidRPr="00AC5807">
        <w:t>vise à insérer, à l’a</w:t>
      </w:r>
      <w:r w:rsidRPr="00AC5807">
        <w:t>rticle 1</w:t>
      </w:r>
      <w:r w:rsidR="009C3F1E" w:rsidRPr="00AC5807">
        <w:t>er</w:t>
      </w:r>
      <w:r w:rsidRPr="00AC5807">
        <w:t>, paragraph</w:t>
      </w:r>
      <w:r w:rsidR="009C3F1E" w:rsidRPr="00AC5807">
        <w:t>e</w:t>
      </w:r>
      <w:r w:rsidRPr="00AC5807">
        <w:t xml:space="preserve"> 3, </w:t>
      </w:r>
      <w:r w:rsidR="009C3F1E" w:rsidRPr="00AC5807">
        <w:t xml:space="preserve">point </w:t>
      </w:r>
      <w:r w:rsidRPr="00AC5807">
        <w:t>a)</w:t>
      </w:r>
      <w:r w:rsidR="009C3F1E" w:rsidRPr="00AC5807">
        <w:t>,</w:t>
      </w:r>
      <w:r w:rsidRPr="00AC5807">
        <w:t xml:space="preserve"> </w:t>
      </w:r>
      <w:r w:rsidR="009C3F1E" w:rsidRPr="00AC5807">
        <w:t>la mention du plafon</w:t>
      </w:r>
      <w:r w:rsidR="00217A89" w:rsidRPr="00AC5807">
        <w:t>d</w:t>
      </w:r>
      <w:r w:rsidR="009C3F1E" w:rsidRPr="00AC5807">
        <w:t xml:space="preserve"> annuel des fonds alloués aux nouvelles actions</w:t>
      </w:r>
      <w:r w:rsidRPr="00AC5807">
        <w:t>.</w:t>
      </w:r>
    </w:p>
    <w:p w:rsidR="00B84281" w:rsidRPr="00AC5807" w:rsidRDefault="009C3F1E" w:rsidP="00B84281">
      <w:pPr>
        <w:tabs>
          <w:tab w:val="left" w:pos="1380"/>
        </w:tabs>
      </w:pPr>
      <w:r w:rsidRPr="00AC5807">
        <w:t>La</w:t>
      </w:r>
      <w:r w:rsidR="00B84281" w:rsidRPr="00AC5807">
        <w:t xml:space="preserve"> Commission </w:t>
      </w:r>
      <w:r w:rsidRPr="00AC5807">
        <w:t xml:space="preserve">ne peut </w:t>
      </w:r>
      <w:r w:rsidR="00B84281" w:rsidRPr="00AC5807">
        <w:t>accept</w:t>
      </w:r>
      <w:r w:rsidRPr="00AC5807">
        <w:t>er</w:t>
      </w:r>
      <w:r w:rsidR="00B84281" w:rsidRPr="00AC5807">
        <w:t xml:space="preserve"> </w:t>
      </w:r>
      <w:r w:rsidRPr="00AC5807">
        <w:t>l’</w:t>
      </w:r>
      <w:r w:rsidR="00B84281" w:rsidRPr="00AC5807">
        <w:t>amend</w:t>
      </w:r>
      <w:r w:rsidRPr="00AC5807">
        <w:t>e</w:t>
      </w:r>
      <w:r w:rsidR="00B84281" w:rsidRPr="00AC5807">
        <w:t xml:space="preserve">ment </w:t>
      </w:r>
      <w:r w:rsidRPr="00AC5807">
        <w:t>formulé par le</w:t>
      </w:r>
      <w:r w:rsidR="00B84281" w:rsidRPr="00AC5807">
        <w:t xml:space="preserve"> Parl</w:t>
      </w:r>
      <w:r w:rsidRPr="00AC5807">
        <w:t>e</w:t>
      </w:r>
      <w:r w:rsidR="00B84281" w:rsidRPr="00AC5807">
        <w:t xml:space="preserve">ment </w:t>
      </w:r>
      <w:r w:rsidRPr="00AC5807">
        <w:t>et</w:t>
      </w:r>
      <w:r w:rsidR="00B84281" w:rsidRPr="00AC5807">
        <w:t xml:space="preserve"> propose</w:t>
      </w:r>
      <w:r w:rsidR="00217A89" w:rsidRPr="00AC5807">
        <w:t xml:space="preserve"> plutôt,</w:t>
      </w:r>
      <w:r w:rsidRPr="00AC5807">
        <w:t xml:space="preserve"> </w:t>
      </w:r>
      <w:r w:rsidR="00217A89" w:rsidRPr="00AC5807">
        <w:t xml:space="preserve">pour parvenir au même objectif, </w:t>
      </w:r>
      <w:r w:rsidRPr="00AC5807">
        <w:t>de mentionn</w:t>
      </w:r>
      <w:r w:rsidR="00217A89" w:rsidRPr="00AC5807">
        <w:t>er</w:t>
      </w:r>
      <w:r w:rsidRPr="00AC5807">
        <w:t xml:space="preserve"> spécifiquement le “plafond”</w:t>
      </w:r>
      <w:r w:rsidR="00B84281" w:rsidRPr="00AC5807">
        <w:t xml:space="preserve"> </w:t>
      </w:r>
      <w:r w:rsidRPr="00AC5807">
        <w:t>de ces fonds dans le programme de travail annuel</w:t>
      </w:r>
      <w:r w:rsidR="00B84281" w:rsidRPr="00AC5807">
        <w:t>.</w:t>
      </w:r>
    </w:p>
    <w:p w:rsidR="00B84281" w:rsidRPr="00AC5807" w:rsidRDefault="00B84281" w:rsidP="00B84281">
      <w:pPr>
        <w:rPr>
          <w:b/>
        </w:rPr>
      </w:pPr>
      <w:r w:rsidRPr="00AC5807">
        <w:rPr>
          <w:b/>
        </w:rPr>
        <w:t>9</w:t>
      </w:r>
      <w:r w:rsidR="000851F9" w:rsidRPr="00AC5807">
        <w:rPr>
          <w:b/>
        </w:rPr>
        <w:t>.</w:t>
      </w:r>
      <w:r w:rsidR="000851F9" w:rsidRPr="00AC5807">
        <w:rPr>
          <w:b/>
        </w:rPr>
        <w:tab/>
      </w:r>
      <w:r w:rsidR="00217A89" w:rsidRPr="00AC5807">
        <w:rPr>
          <w:b/>
        </w:rPr>
        <w:t>Prévision quant à la modification de la proposition</w:t>
      </w:r>
      <w:r w:rsidRPr="00AC5807">
        <w:rPr>
          <w:b/>
        </w:rPr>
        <w:t>:</w:t>
      </w:r>
    </w:p>
    <w:p w:rsidR="00B84281" w:rsidRPr="00AC5807" w:rsidRDefault="00023482" w:rsidP="00B84281">
      <w:r w:rsidRPr="00AC5807">
        <w:t>Il a été convenu au Conseil de reprendre deux des amendements proposés par le Parlement européen</w:t>
      </w:r>
      <w:r w:rsidR="00B84281" w:rsidRPr="00AC5807">
        <w:t xml:space="preserve">: </w:t>
      </w:r>
      <w:r w:rsidRPr="00AC5807">
        <w:t>l</w:t>
      </w:r>
      <w:r w:rsidR="00B84281" w:rsidRPr="00AC5807">
        <w:t xml:space="preserve">e </w:t>
      </w:r>
      <w:r w:rsidRPr="00AC5807">
        <w:t>premier porte sur le considérant relatif à l’établissement d’un plafond annuel</w:t>
      </w:r>
      <w:r w:rsidR="00B84281" w:rsidRPr="00AC5807">
        <w:t xml:space="preserve"> </w:t>
      </w:r>
      <w:r w:rsidRPr="00AC5807">
        <w:t>pour les fonds consacrés aux nouvelles actions nationales</w:t>
      </w:r>
      <w:r w:rsidR="00B84281" w:rsidRPr="00AC5807">
        <w:t xml:space="preserve"> </w:t>
      </w:r>
      <w:r w:rsidRPr="00AC5807">
        <w:t>et le second vise à insérer à l’a</w:t>
      </w:r>
      <w:r w:rsidR="00B84281" w:rsidRPr="00AC5807">
        <w:t>rticle 1</w:t>
      </w:r>
      <w:r w:rsidRPr="00AC5807">
        <w:t>er</w:t>
      </w:r>
      <w:r w:rsidR="00B84281" w:rsidRPr="00AC5807">
        <w:t>, paragraph</w:t>
      </w:r>
      <w:r w:rsidRPr="00AC5807">
        <w:t>e</w:t>
      </w:r>
      <w:r w:rsidR="00B84281" w:rsidRPr="00AC5807">
        <w:t xml:space="preserve"> 3, </w:t>
      </w:r>
      <w:r w:rsidRPr="00AC5807">
        <w:t xml:space="preserve">point </w:t>
      </w:r>
      <w:r w:rsidR="00B84281" w:rsidRPr="00AC5807">
        <w:t xml:space="preserve">a) </w:t>
      </w:r>
      <w:r w:rsidRPr="00AC5807">
        <w:t xml:space="preserve">de la décision de modification </w:t>
      </w:r>
      <w:r w:rsidR="00B57425" w:rsidRPr="00AC5807">
        <w:t>une référence à</w:t>
      </w:r>
      <w:r w:rsidR="00BC65EB" w:rsidRPr="00AC5807">
        <w:t xml:space="preserve"> la partie du budget annuel maximale disponible</w:t>
      </w:r>
      <w:r w:rsidRPr="00AC5807">
        <w:t xml:space="preserve"> pour ces nouvelles actions nationales</w:t>
      </w:r>
      <w:r w:rsidR="00B84281" w:rsidRPr="00AC5807">
        <w:t xml:space="preserve">. </w:t>
      </w:r>
      <w:r w:rsidR="00BC65EB" w:rsidRPr="00AC5807">
        <w:t>De même, le texte mentionnera l’application de la procédure de comitologie consultative pour la</w:t>
      </w:r>
      <w:r w:rsidR="00B84281" w:rsidRPr="00AC5807">
        <w:t xml:space="preserve"> s</w:t>
      </w:r>
      <w:r w:rsidR="00BC65EB" w:rsidRPr="00AC5807">
        <w:t>é</w:t>
      </w:r>
      <w:r w:rsidR="00B84281" w:rsidRPr="00AC5807">
        <w:t xml:space="preserve">lection </w:t>
      </w:r>
      <w:r w:rsidR="00BC65EB" w:rsidRPr="00AC5807">
        <w:t>des</w:t>
      </w:r>
      <w:r w:rsidR="00B84281" w:rsidRPr="00AC5807">
        <w:t xml:space="preserve"> actions.</w:t>
      </w:r>
    </w:p>
    <w:p w:rsidR="00B84281" w:rsidRPr="00AC5807" w:rsidRDefault="00B84281" w:rsidP="00B84281">
      <w:pPr>
        <w:rPr>
          <w:b/>
        </w:rPr>
      </w:pPr>
      <w:r w:rsidRPr="00AC5807">
        <w:rPr>
          <w:b/>
        </w:rPr>
        <w:t>10</w:t>
      </w:r>
      <w:r w:rsidR="000851F9" w:rsidRPr="00AC5807">
        <w:rPr>
          <w:b/>
        </w:rPr>
        <w:t>.</w:t>
      </w:r>
      <w:r w:rsidR="000851F9" w:rsidRPr="00AC5807">
        <w:rPr>
          <w:b/>
        </w:rPr>
        <w:tab/>
      </w:r>
      <w:r w:rsidR="00624A41" w:rsidRPr="00AC5807">
        <w:rPr>
          <w:b/>
        </w:rPr>
        <w:t>Prévision quant à l’</w:t>
      </w:r>
      <w:r w:rsidRPr="00AC5807">
        <w:rPr>
          <w:b/>
        </w:rPr>
        <w:t xml:space="preserve">adoption </w:t>
      </w:r>
      <w:r w:rsidR="00624A41" w:rsidRPr="00AC5807">
        <w:rPr>
          <w:b/>
        </w:rPr>
        <w:t>d</w:t>
      </w:r>
      <w:r w:rsidRPr="00AC5807">
        <w:rPr>
          <w:b/>
        </w:rPr>
        <w:t xml:space="preserve">e </w:t>
      </w:r>
      <w:r w:rsidR="00624A41" w:rsidRPr="00AC5807">
        <w:rPr>
          <w:b/>
        </w:rPr>
        <w:t xml:space="preserve">la </w:t>
      </w:r>
      <w:r w:rsidRPr="00AC5807">
        <w:rPr>
          <w:b/>
        </w:rPr>
        <w:t>propos</w:t>
      </w:r>
      <w:r w:rsidR="00624A41" w:rsidRPr="00AC5807">
        <w:rPr>
          <w:b/>
        </w:rPr>
        <w:t>ition</w:t>
      </w:r>
      <w:r w:rsidRPr="00AC5807">
        <w:rPr>
          <w:b/>
        </w:rPr>
        <w:t>:</w:t>
      </w:r>
    </w:p>
    <w:p w:rsidR="00B84281" w:rsidRPr="00AC5807" w:rsidRDefault="00624A41" w:rsidP="00B84281">
      <w:r w:rsidRPr="00AC5807">
        <w:t>Les</w:t>
      </w:r>
      <w:r w:rsidR="00A50EC5" w:rsidRPr="00AC5807">
        <w:t xml:space="preserve"> conseillers JAI étant parvenus, le 22 novembre 2004, </w:t>
      </w:r>
      <w:r w:rsidRPr="00AC5807">
        <w:t>à un accord sur le texte modifié</w:t>
      </w:r>
      <w:r w:rsidR="00A50EC5" w:rsidRPr="00AC5807">
        <w:t>,</w:t>
      </w:r>
      <w:r w:rsidR="00B84281" w:rsidRPr="00AC5807">
        <w:t xml:space="preserve"> </w:t>
      </w:r>
      <w:r w:rsidRPr="00AC5807">
        <w:t>c</w:t>
      </w:r>
      <w:r w:rsidR="00B84281" w:rsidRPr="00AC5807">
        <w:t>e</w:t>
      </w:r>
      <w:r w:rsidR="00A50EC5" w:rsidRPr="00AC5807">
        <w:t>lui-ci</w:t>
      </w:r>
      <w:r w:rsidR="00B84281" w:rsidRPr="00AC5807">
        <w:t xml:space="preserve"> </w:t>
      </w:r>
      <w:r w:rsidRPr="00AC5807">
        <w:t>a été envoyé au</w:t>
      </w:r>
      <w:r w:rsidR="00A50EC5" w:rsidRPr="00AC5807">
        <w:t xml:space="preserve">x </w:t>
      </w:r>
      <w:r w:rsidR="00B84281" w:rsidRPr="00AC5807">
        <w:t>linguist</w:t>
      </w:r>
      <w:r w:rsidR="00A50EC5" w:rsidRPr="00AC5807">
        <w:t>es avant de passer au</w:t>
      </w:r>
      <w:r w:rsidR="00B84281" w:rsidRPr="00AC5807">
        <w:t xml:space="preserve"> COREPER </w:t>
      </w:r>
      <w:r w:rsidR="00A50EC5" w:rsidRPr="00AC5807">
        <w:t>et au Conseil</w:t>
      </w:r>
      <w:r w:rsidR="00B84281" w:rsidRPr="00AC5807">
        <w:t xml:space="preserve">, </w:t>
      </w:r>
      <w:r w:rsidR="00A50EC5" w:rsidRPr="00AC5807">
        <w:t>lequel devrait adopter officiellement la</w:t>
      </w:r>
      <w:r w:rsidR="00B84281" w:rsidRPr="00AC5807">
        <w:t xml:space="preserve"> propos</w:t>
      </w:r>
      <w:r w:rsidR="00A50EC5" w:rsidRPr="00AC5807">
        <w:t>ition en</w:t>
      </w:r>
      <w:r w:rsidR="00B84281" w:rsidRPr="00AC5807">
        <w:t xml:space="preserve"> </w:t>
      </w:r>
      <w:r w:rsidR="00A50EC5" w:rsidRPr="00AC5807">
        <w:t>dé</w:t>
      </w:r>
      <w:r w:rsidR="00B84281" w:rsidRPr="00AC5807">
        <w:t>cembr</w:t>
      </w:r>
      <w:r w:rsidR="00A50EC5" w:rsidRPr="00AC5807">
        <w:t>e</w:t>
      </w:r>
      <w:r w:rsidR="00B84281" w:rsidRPr="00AC5807">
        <w:t xml:space="preserve"> 2004.</w:t>
      </w:r>
    </w:p>
    <w:p w:rsidR="00C345D1" w:rsidRPr="00AC5807" w:rsidRDefault="00E07C66" w:rsidP="00C345D1">
      <w:pPr>
        <w:spacing w:before="100" w:beforeAutospacing="1" w:after="100" w:afterAutospacing="1"/>
      </w:pPr>
      <w:r w:rsidRPr="00AC5807">
        <w:br w:type="page"/>
      </w:r>
    </w:p>
    <w:p w:rsidR="00557DE1" w:rsidRPr="00AC5807" w:rsidRDefault="00557DE1"/>
    <w:p w:rsidR="0063420F" w:rsidRPr="00AC5807" w:rsidRDefault="0063420F">
      <w:pPr>
        <w:jc w:val="center"/>
        <w:rPr>
          <w:b/>
          <w:sz w:val="48"/>
        </w:rPr>
      </w:pPr>
    </w:p>
    <w:p w:rsidR="0063420F" w:rsidRPr="00AC5807" w:rsidRDefault="0063420F">
      <w:pPr>
        <w:jc w:val="center"/>
        <w:rPr>
          <w:b/>
          <w:sz w:val="48"/>
        </w:rPr>
      </w:pPr>
    </w:p>
    <w:p w:rsidR="0063420F" w:rsidRPr="00AC5807" w:rsidRDefault="0063420F">
      <w:pPr>
        <w:jc w:val="center"/>
        <w:rPr>
          <w:b/>
          <w:sz w:val="48"/>
        </w:rPr>
      </w:pPr>
    </w:p>
    <w:p w:rsidR="0063420F" w:rsidRPr="00AC5807" w:rsidRDefault="0063420F">
      <w:pPr>
        <w:jc w:val="center"/>
        <w:rPr>
          <w:b/>
          <w:sz w:val="48"/>
        </w:rPr>
      </w:pPr>
    </w:p>
    <w:p w:rsidR="0063420F" w:rsidRPr="00AC5807" w:rsidRDefault="0063420F">
      <w:pPr>
        <w:jc w:val="center"/>
        <w:rPr>
          <w:b/>
          <w:sz w:val="48"/>
        </w:rPr>
      </w:pPr>
    </w:p>
    <w:p w:rsidR="0063420F" w:rsidRDefault="0063420F">
      <w:pPr>
        <w:jc w:val="center"/>
        <w:rPr>
          <w:b/>
          <w:sz w:val="48"/>
        </w:rPr>
      </w:pPr>
      <w:r>
        <w:rPr>
          <w:b/>
          <w:sz w:val="48"/>
        </w:rPr>
        <w:t>Deuxième partie</w:t>
      </w:r>
      <w:r>
        <w:rPr>
          <w:b/>
          <w:sz w:val="48"/>
        </w:rPr>
        <w:br/>
        <w:t xml:space="preserve">Résolutions </w:t>
      </w:r>
      <w:r w:rsidR="00D33A51">
        <w:rPr>
          <w:b/>
          <w:sz w:val="48"/>
        </w:rPr>
        <w:t>non législatives</w:t>
      </w:r>
    </w:p>
    <w:p w:rsidR="0063420F" w:rsidRDefault="0063420F">
      <w:pPr>
        <w:spacing w:after="0"/>
        <w:jc w:val="center"/>
        <w:rPr>
          <w:sz w:val="22"/>
        </w:rPr>
      </w:pPr>
      <w:r>
        <w:br w:type="page"/>
      </w:r>
    </w:p>
    <w:p w:rsidR="0063420F" w:rsidRDefault="0063420F">
      <w:pPr>
        <w:spacing w:after="0"/>
        <w:jc w:val="center"/>
        <w:rPr>
          <w:b/>
          <w:sz w:val="22"/>
          <w:u w:val="single"/>
        </w:rPr>
      </w:pPr>
      <w:r>
        <w:rPr>
          <w:b/>
          <w:sz w:val="22"/>
        </w:rPr>
        <w:t xml:space="preserve">LA COMMISSION ENTEND </w:t>
      </w:r>
      <w:r w:rsidR="00E07C66">
        <w:rPr>
          <w:b/>
          <w:sz w:val="22"/>
        </w:rPr>
        <w:t xml:space="preserve">NE PAS </w:t>
      </w:r>
      <w:r>
        <w:rPr>
          <w:b/>
          <w:sz w:val="22"/>
        </w:rPr>
        <w:t xml:space="preserve">DONNER UNE SUITE </w:t>
      </w:r>
      <w:r w:rsidR="00D33A51">
        <w:rPr>
          <w:b/>
          <w:sz w:val="22"/>
        </w:rPr>
        <w:t xml:space="preserve">SOUS FORME DE FICHE </w:t>
      </w:r>
      <w:r>
        <w:rPr>
          <w:b/>
          <w:sz w:val="22"/>
        </w:rPr>
        <w:t xml:space="preserve">AUX RESOLUTIONS </w:t>
      </w:r>
      <w:r w:rsidR="00D33A51">
        <w:rPr>
          <w:b/>
          <w:sz w:val="22"/>
        </w:rPr>
        <w:t>NON LEGISLATIVES</w:t>
      </w:r>
      <w:r>
        <w:rPr>
          <w:b/>
          <w:sz w:val="22"/>
        </w:rPr>
        <w:t xml:space="preserve"> SUIVANTES, ADOPTEES PAR LE PARLEMENT EUROPEEN AU COURS DE</w:t>
      </w:r>
      <w:r w:rsidR="00E83B32">
        <w:rPr>
          <w:b/>
          <w:sz w:val="22"/>
        </w:rPr>
        <w:t xml:space="preserve"> LA</w:t>
      </w:r>
      <w:r w:rsidR="00E07C66">
        <w:rPr>
          <w:b/>
          <w:sz w:val="22"/>
        </w:rPr>
        <w:t xml:space="preserve"> </w:t>
      </w:r>
      <w:r>
        <w:rPr>
          <w:b/>
          <w:sz w:val="22"/>
        </w:rPr>
        <w:t xml:space="preserve">SESSION </w:t>
      </w:r>
      <w:r>
        <w:rPr>
          <w:b/>
          <w:caps/>
          <w:sz w:val="22"/>
        </w:rPr>
        <w:t>D</w:t>
      </w:r>
      <w:r w:rsidR="00E83B32">
        <w:rPr>
          <w:b/>
          <w:caps/>
          <w:sz w:val="22"/>
        </w:rPr>
        <w:t>E NOVEMBRE</w:t>
      </w:r>
      <w:r>
        <w:rPr>
          <w:b/>
          <w:caps/>
          <w:sz w:val="22"/>
        </w:rPr>
        <w:t xml:space="preserve"> </w:t>
      </w:r>
      <w:r>
        <w:rPr>
          <w:b/>
          <w:sz w:val="22"/>
        </w:rPr>
        <w:t>200</w:t>
      </w:r>
      <w:r w:rsidR="00602BF4">
        <w:rPr>
          <w:b/>
          <w:sz w:val="22"/>
        </w:rPr>
        <w:t>4</w:t>
      </w:r>
    </w:p>
    <w:p w:rsidR="00E06C80" w:rsidRDefault="00E06C80">
      <w:pPr>
        <w:spacing w:after="0"/>
        <w:rPr>
          <w:sz w:val="22"/>
        </w:rPr>
      </w:pPr>
    </w:p>
    <w:p w:rsidR="007B5CDA" w:rsidRDefault="007B5CDA">
      <w:pPr>
        <w:spacing w:after="0"/>
        <w:rPr>
          <w:sz w:val="22"/>
        </w:rPr>
      </w:pPr>
    </w:p>
    <w:p w:rsidR="007B5CDA" w:rsidRDefault="007B5CDA">
      <w:pPr>
        <w:spacing w:after="0"/>
        <w:rPr>
          <w:sz w:val="22"/>
          <w:szCs w:val="22"/>
        </w:rPr>
      </w:pPr>
    </w:p>
    <w:p w:rsidR="00F866A1" w:rsidRPr="00F866A1" w:rsidRDefault="00F866A1" w:rsidP="002D378E">
      <w:pPr>
        <w:spacing w:after="0"/>
        <w:rPr>
          <w:sz w:val="22"/>
          <w:szCs w:val="22"/>
        </w:rPr>
      </w:pPr>
      <w:r w:rsidRPr="00F866A1">
        <w:rPr>
          <w:sz w:val="22"/>
          <w:szCs w:val="22"/>
        </w:rPr>
        <w:t>-</w:t>
      </w:r>
      <w:r w:rsidRPr="00F866A1">
        <w:rPr>
          <w:sz w:val="22"/>
          <w:szCs w:val="22"/>
        </w:rPr>
        <w:tab/>
        <w:t>Résolution du Parlement européen sur Cuba</w:t>
      </w:r>
    </w:p>
    <w:p w:rsidR="00F866A1" w:rsidRPr="00F866A1" w:rsidRDefault="00F866A1" w:rsidP="002D378E">
      <w:pPr>
        <w:spacing w:after="0"/>
        <w:rPr>
          <w:sz w:val="22"/>
          <w:szCs w:val="22"/>
        </w:rPr>
      </w:pPr>
      <w:r w:rsidRPr="00F866A1">
        <w:rPr>
          <w:sz w:val="22"/>
          <w:szCs w:val="22"/>
        </w:rPr>
        <w:t>(PE : B6-0156/04)</w:t>
      </w:r>
    </w:p>
    <w:p w:rsidR="00F866A1" w:rsidRPr="00F866A1" w:rsidRDefault="00F866A1" w:rsidP="002D378E">
      <w:pPr>
        <w:spacing w:after="0"/>
        <w:rPr>
          <w:sz w:val="22"/>
          <w:szCs w:val="22"/>
        </w:rPr>
      </w:pPr>
      <w:r w:rsidRPr="00F866A1">
        <w:rPr>
          <w:sz w:val="22"/>
          <w:szCs w:val="22"/>
        </w:rPr>
        <w:t>Procès verbal, 2ème partie, du 17 novembre 2004</w:t>
      </w:r>
    </w:p>
    <w:p w:rsidR="00F866A1" w:rsidRPr="00F866A1" w:rsidRDefault="00F866A1" w:rsidP="002D378E">
      <w:pPr>
        <w:spacing w:after="0"/>
        <w:rPr>
          <w:sz w:val="22"/>
          <w:szCs w:val="22"/>
        </w:rPr>
      </w:pPr>
      <w:r w:rsidRPr="00F866A1">
        <w:rPr>
          <w:sz w:val="22"/>
          <w:szCs w:val="22"/>
        </w:rPr>
        <w:t xml:space="preserve">Compétence : </w:t>
      </w:r>
      <w:r w:rsidRPr="00F866A1">
        <w:rPr>
          <w:sz w:val="22"/>
          <w:szCs w:val="22"/>
        </w:rPr>
        <w:tab/>
        <w:t>Louis MICHEL</w:t>
      </w:r>
    </w:p>
    <w:p w:rsidR="00F866A1" w:rsidRPr="00F866A1" w:rsidRDefault="00F866A1" w:rsidP="002D378E">
      <w:pPr>
        <w:spacing w:after="0"/>
        <w:rPr>
          <w:sz w:val="22"/>
          <w:szCs w:val="22"/>
        </w:rPr>
      </w:pPr>
      <w:r w:rsidRPr="00F866A1">
        <w:rPr>
          <w:sz w:val="22"/>
          <w:szCs w:val="22"/>
        </w:rPr>
        <w:tab/>
      </w:r>
      <w:r w:rsidRPr="00F866A1">
        <w:rPr>
          <w:sz w:val="22"/>
          <w:szCs w:val="22"/>
        </w:rPr>
        <w:tab/>
        <w:t>DG Développement</w:t>
      </w:r>
    </w:p>
    <w:p w:rsidR="00F866A1" w:rsidRDefault="00E652FD" w:rsidP="002D378E">
      <w:pPr>
        <w:spacing w:after="0"/>
        <w:rPr>
          <w:sz w:val="22"/>
          <w:szCs w:val="22"/>
        </w:rPr>
      </w:pPr>
      <w:r w:rsidRPr="00366A5A">
        <w:rPr>
          <w:b/>
          <w:sz w:val="22"/>
          <w:szCs w:val="22"/>
          <w:u w:val="single"/>
        </w:rPr>
        <w:t>Justification</w:t>
      </w:r>
      <w:r>
        <w:rPr>
          <w:sz w:val="22"/>
          <w:szCs w:val="22"/>
        </w:rPr>
        <w:t> :</w:t>
      </w:r>
      <w:r>
        <w:rPr>
          <w:sz w:val="22"/>
          <w:szCs w:val="22"/>
        </w:rPr>
        <w:tab/>
        <w:t xml:space="preserve">La Commission </w:t>
      </w:r>
      <w:r w:rsidR="00366A5A">
        <w:rPr>
          <w:sz w:val="22"/>
          <w:szCs w:val="22"/>
        </w:rPr>
        <w:t>n</w:t>
      </w:r>
      <w:r>
        <w:rPr>
          <w:sz w:val="22"/>
          <w:szCs w:val="22"/>
        </w:rPr>
        <w:t>e donnera pas suite sous forme de fiche étant donné que le Commissaire M. Nielson a déjà répondu en plénière aux demandes contenues dans la résolution.</w:t>
      </w:r>
    </w:p>
    <w:p w:rsidR="0012295B" w:rsidRDefault="0012295B">
      <w:pPr>
        <w:spacing w:after="0"/>
        <w:rPr>
          <w:sz w:val="22"/>
          <w:szCs w:val="22"/>
        </w:rPr>
      </w:pPr>
    </w:p>
    <w:p w:rsidR="00A907EF" w:rsidRPr="00A907EF" w:rsidRDefault="002D378E" w:rsidP="00A907EF">
      <w:pPr>
        <w:spacing w:after="0"/>
        <w:rPr>
          <w:sz w:val="22"/>
          <w:szCs w:val="22"/>
        </w:rPr>
      </w:pPr>
      <w:r w:rsidRPr="00A907EF">
        <w:rPr>
          <w:sz w:val="22"/>
          <w:szCs w:val="22"/>
        </w:rPr>
        <w:t>-</w:t>
      </w:r>
      <w:r w:rsidRPr="00A907EF">
        <w:rPr>
          <w:sz w:val="22"/>
          <w:szCs w:val="22"/>
        </w:rPr>
        <w:tab/>
      </w:r>
      <w:r w:rsidR="00A907EF" w:rsidRPr="00A907EF">
        <w:rPr>
          <w:sz w:val="22"/>
          <w:szCs w:val="22"/>
        </w:rPr>
        <w:t>Résolution du Parlement européen sur la situation en Côte d'Ivoire</w:t>
      </w:r>
    </w:p>
    <w:p w:rsidR="00A907EF" w:rsidRPr="00A907EF" w:rsidRDefault="00A907EF" w:rsidP="00A907EF">
      <w:pPr>
        <w:spacing w:after="0"/>
        <w:rPr>
          <w:sz w:val="22"/>
          <w:szCs w:val="22"/>
        </w:rPr>
      </w:pPr>
      <w:r w:rsidRPr="00A907EF">
        <w:rPr>
          <w:sz w:val="22"/>
          <w:szCs w:val="22"/>
        </w:rPr>
        <w:t>(PE : B</w:t>
      </w:r>
      <w:r w:rsidR="000D5A77">
        <w:rPr>
          <w:sz w:val="22"/>
          <w:szCs w:val="22"/>
        </w:rPr>
        <w:t>6</w:t>
      </w:r>
      <w:r w:rsidRPr="00A907EF">
        <w:rPr>
          <w:sz w:val="22"/>
          <w:szCs w:val="22"/>
        </w:rPr>
        <w:t>-0166/04)</w:t>
      </w:r>
    </w:p>
    <w:p w:rsidR="00A907EF" w:rsidRPr="00A907EF" w:rsidRDefault="00A907EF" w:rsidP="00A907EF">
      <w:pPr>
        <w:spacing w:after="0"/>
        <w:rPr>
          <w:sz w:val="22"/>
          <w:szCs w:val="22"/>
        </w:rPr>
      </w:pPr>
      <w:r w:rsidRPr="00A907EF">
        <w:rPr>
          <w:sz w:val="22"/>
          <w:szCs w:val="22"/>
        </w:rPr>
        <w:t>Procès verbal, 2ème partie, du 18 novembre 2004</w:t>
      </w:r>
    </w:p>
    <w:p w:rsidR="00A907EF" w:rsidRPr="00A907EF" w:rsidRDefault="00A907EF" w:rsidP="00A907EF">
      <w:pPr>
        <w:spacing w:after="0"/>
        <w:rPr>
          <w:sz w:val="22"/>
          <w:szCs w:val="22"/>
        </w:rPr>
      </w:pPr>
      <w:r w:rsidRPr="00A907EF">
        <w:rPr>
          <w:sz w:val="22"/>
          <w:szCs w:val="22"/>
        </w:rPr>
        <w:t xml:space="preserve">Compétence : </w:t>
      </w:r>
      <w:r w:rsidRPr="00A907EF">
        <w:rPr>
          <w:sz w:val="22"/>
          <w:szCs w:val="22"/>
        </w:rPr>
        <w:tab/>
        <w:t>Louis MICHEL</w:t>
      </w:r>
    </w:p>
    <w:p w:rsidR="00E06C80" w:rsidRPr="00A907EF" w:rsidRDefault="00A907EF" w:rsidP="00A907EF">
      <w:pPr>
        <w:spacing w:after="0"/>
        <w:rPr>
          <w:sz w:val="22"/>
          <w:szCs w:val="22"/>
        </w:rPr>
      </w:pPr>
      <w:r w:rsidRPr="00A907EF">
        <w:rPr>
          <w:sz w:val="22"/>
          <w:szCs w:val="22"/>
        </w:rPr>
        <w:tab/>
      </w:r>
      <w:r w:rsidRPr="00A907EF">
        <w:rPr>
          <w:sz w:val="22"/>
          <w:szCs w:val="22"/>
        </w:rPr>
        <w:tab/>
        <w:t>DG Développement</w:t>
      </w:r>
    </w:p>
    <w:p w:rsidR="00A907EF" w:rsidRDefault="00A907EF" w:rsidP="00A907EF">
      <w:pPr>
        <w:spacing w:after="0"/>
        <w:rPr>
          <w:sz w:val="22"/>
          <w:szCs w:val="22"/>
        </w:rPr>
      </w:pPr>
      <w:r w:rsidRPr="00A907EF">
        <w:rPr>
          <w:b/>
          <w:sz w:val="22"/>
          <w:szCs w:val="22"/>
          <w:u w:val="single"/>
        </w:rPr>
        <w:t>Justification</w:t>
      </w:r>
      <w:r>
        <w:rPr>
          <w:sz w:val="22"/>
          <w:szCs w:val="22"/>
        </w:rPr>
        <w:t> :</w:t>
      </w:r>
      <w:r>
        <w:rPr>
          <w:sz w:val="22"/>
          <w:szCs w:val="22"/>
        </w:rPr>
        <w:tab/>
        <w:t>La Commission ne donnera pas suite sous forme de fiche étant donné que le Commissaire M. Figel a déjà répondu en plénière aux demandes contenues dans la résolution.</w:t>
      </w:r>
    </w:p>
    <w:p w:rsidR="00E06C80" w:rsidRDefault="00E06C80">
      <w:pPr>
        <w:spacing w:after="0"/>
        <w:rPr>
          <w:sz w:val="22"/>
          <w:szCs w:val="22"/>
        </w:rPr>
      </w:pPr>
    </w:p>
    <w:p w:rsidR="0012295B" w:rsidRPr="0012295B" w:rsidRDefault="0012295B" w:rsidP="0012295B">
      <w:pPr>
        <w:spacing w:after="0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12295B">
        <w:rPr>
          <w:sz w:val="22"/>
          <w:szCs w:val="22"/>
        </w:rPr>
        <w:t>Résolution du Parlement européen sur la situation des droits de l'homme en Érythrée</w:t>
      </w:r>
    </w:p>
    <w:p w:rsidR="0012295B" w:rsidRPr="0012295B" w:rsidRDefault="0012295B" w:rsidP="0012295B">
      <w:pPr>
        <w:spacing w:after="0"/>
        <w:rPr>
          <w:sz w:val="22"/>
          <w:szCs w:val="22"/>
        </w:rPr>
      </w:pPr>
      <w:r w:rsidRPr="0012295B">
        <w:rPr>
          <w:sz w:val="22"/>
          <w:szCs w:val="22"/>
        </w:rPr>
        <w:t>(PE : B6-0167/04)</w:t>
      </w:r>
    </w:p>
    <w:p w:rsidR="0012295B" w:rsidRPr="0012295B" w:rsidRDefault="0012295B" w:rsidP="0012295B">
      <w:pPr>
        <w:spacing w:after="0"/>
        <w:rPr>
          <w:sz w:val="22"/>
          <w:szCs w:val="22"/>
        </w:rPr>
      </w:pPr>
      <w:r w:rsidRPr="0012295B">
        <w:rPr>
          <w:sz w:val="22"/>
          <w:szCs w:val="22"/>
        </w:rPr>
        <w:t>Procès verbal, 2ème partie, du 18 novembre 2004</w:t>
      </w:r>
    </w:p>
    <w:p w:rsidR="0012295B" w:rsidRPr="0012295B" w:rsidRDefault="0012295B" w:rsidP="0012295B">
      <w:pPr>
        <w:spacing w:after="0"/>
        <w:rPr>
          <w:sz w:val="22"/>
          <w:szCs w:val="22"/>
        </w:rPr>
      </w:pPr>
      <w:r w:rsidRPr="0012295B">
        <w:rPr>
          <w:sz w:val="22"/>
          <w:szCs w:val="22"/>
        </w:rPr>
        <w:t xml:space="preserve">Compétence : </w:t>
      </w:r>
      <w:r w:rsidRPr="0012295B">
        <w:rPr>
          <w:sz w:val="22"/>
          <w:szCs w:val="22"/>
        </w:rPr>
        <w:tab/>
        <w:t>Louis MICHEL</w:t>
      </w:r>
    </w:p>
    <w:p w:rsidR="00A907EF" w:rsidRPr="0012295B" w:rsidRDefault="0012295B" w:rsidP="0012295B">
      <w:pPr>
        <w:spacing w:after="0"/>
        <w:rPr>
          <w:sz w:val="22"/>
          <w:szCs w:val="22"/>
        </w:rPr>
      </w:pPr>
      <w:r w:rsidRPr="0012295B">
        <w:rPr>
          <w:sz w:val="22"/>
          <w:szCs w:val="22"/>
        </w:rPr>
        <w:tab/>
      </w:r>
      <w:r w:rsidRPr="0012295B">
        <w:rPr>
          <w:sz w:val="22"/>
          <w:szCs w:val="22"/>
        </w:rPr>
        <w:tab/>
        <w:t>DG Développement</w:t>
      </w:r>
    </w:p>
    <w:p w:rsidR="0012295B" w:rsidRDefault="0012295B" w:rsidP="0012295B">
      <w:pPr>
        <w:spacing w:after="0"/>
        <w:rPr>
          <w:sz w:val="22"/>
          <w:szCs w:val="22"/>
        </w:rPr>
      </w:pPr>
      <w:r w:rsidRPr="0012295B">
        <w:rPr>
          <w:b/>
          <w:sz w:val="22"/>
          <w:szCs w:val="22"/>
          <w:u w:val="single"/>
        </w:rPr>
        <w:t>Justification</w:t>
      </w:r>
      <w:r>
        <w:rPr>
          <w:sz w:val="22"/>
          <w:szCs w:val="22"/>
        </w:rPr>
        <w:t> :</w:t>
      </w:r>
      <w:r>
        <w:rPr>
          <w:sz w:val="22"/>
          <w:szCs w:val="22"/>
        </w:rPr>
        <w:tab/>
        <w:t>La Commission ne donnera pas suite sous forme de fiche étant donné que le Commissaire M. Figel a déjà répondu aux demandes contenues dans la résolution.</w:t>
      </w:r>
    </w:p>
    <w:p w:rsidR="00E06C80" w:rsidRDefault="00E06C80">
      <w:pPr>
        <w:spacing w:after="0"/>
        <w:rPr>
          <w:sz w:val="22"/>
          <w:szCs w:val="22"/>
        </w:rPr>
      </w:pPr>
    </w:p>
    <w:p w:rsidR="00E06C80" w:rsidRPr="00E06C80" w:rsidRDefault="006F5399" w:rsidP="00E06C80">
      <w:pPr>
        <w:spacing w:after="0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E06C80" w:rsidRPr="00E06C80">
        <w:rPr>
          <w:sz w:val="22"/>
          <w:szCs w:val="22"/>
        </w:rPr>
        <w:t>Résolution du Parlement européen sur le cinquième rapport annuel du Conseil établi en application du point 8 du dispositif du Code de conduite de l'Union européenne en matière d'exportation d'armements (2004/2103(INI))</w:t>
      </w:r>
    </w:p>
    <w:p w:rsidR="00E06C80" w:rsidRPr="00E06C80" w:rsidRDefault="00E06C80" w:rsidP="00E06C80">
      <w:pPr>
        <w:spacing w:after="0"/>
        <w:rPr>
          <w:sz w:val="22"/>
          <w:szCs w:val="22"/>
        </w:rPr>
      </w:pPr>
      <w:r w:rsidRPr="00E06C80">
        <w:rPr>
          <w:sz w:val="22"/>
          <w:szCs w:val="22"/>
          <w:u w:val="single"/>
        </w:rPr>
        <w:t>Rapport de Raül ROMEVA RUEDA</w:t>
      </w:r>
      <w:r w:rsidRPr="00E06C80">
        <w:rPr>
          <w:sz w:val="22"/>
          <w:szCs w:val="22"/>
        </w:rPr>
        <w:t xml:space="preserve"> (PE : A6-0022/04)</w:t>
      </w:r>
    </w:p>
    <w:p w:rsidR="00E06C80" w:rsidRPr="00E06C80" w:rsidRDefault="00E06C80" w:rsidP="00E06C80">
      <w:pPr>
        <w:spacing w:after="0"/>
        <w:rPr>
          <w:sz w:val="22"/>
          <w:szCs w:val="22"/>
        </w:rPr>
      </w:pPr>
      <w:r w:rsidRPr="00E06C80">
        <w:rPr>
          <w:sz w:val="22"/>
          <w:szCs w:val="22"/>
        </w:rPr>
        <w:t>Procès verbal, 2ème partie, du 17 novembre 2004</w:t>
      </w:r>
    </w:p>
    <w:p w:rsidR="00E06C80" w:rsidRPr="00E06C80" w:rsidRDefault="00E06C80" w:rsidP="00E06C80">
      <w:pPr>
        <w:spacing w:after="0"/>
        <w:rPr>
          <w:sz w:val="22"/>
          <w:szCs w:val="22"/>
        </w:rPr>
      </w:pPr>
      <w:r w:rsidRPr="00E06C80">
        <w:rPr>
          <w:sz w:val="22"/>
          <w:szCs w:val="22"/>
        </w:rPr>
        <w:t>Compétence :</w:t>
      </w:r>
      <w:r w:rsidRPr="00E06C80">
        <w:rPr>
          <w:sz w:val="22"/>
          <w:szCs w:val="22"/>
        </w:rPr>
        <w:tab/>
        <w:t>Benita FERRERO-WALDNER</w:t>
      </w:r>
    </w:p>
    <w:p w:rsidR="00C43DC7" w:rsidRDefault="00E06C80" w:rsidP="00E06C80">
      <w:pPr>
        <w:spacing w:after="0"/>
        <w:rPr>
          <w:sz w:val="20"/>
        </w:rPr>
      </w:pPr>
      <w:r w:rsidRPr="00E06C80">
        <w:rPr>
          <w:sz w:val="22"/>
          <w:szCs w:val="22"/>
        </w:rPr>
        <w:tab/>
      </w:r>
      <w:r w:rsidRPr="00E06C80">
        <w:rPr>
          <w:sz w:val="22"/>
          <w:szCs w:val="22"/>
        </w:rPr>
        <w:tab/>
        <w:t>DG Relations extérieures</w:t>
      </w:r>
    </w:p>
    <w:p w:rsidR="00E06C80" w:rsidRPr="002224A8" w:rsidRDefault="006E252C" w:rsidP="00E06C80">
      <w:pPr>
        <w:spacing w:after="0"/>
        <w:rPr>
          <w:sz w:val="22"/>
          <w:szCs w:val="22"/>
        </w:rPr>
      </w:pPr>
      <w:r w:rsidRPr="00CB68F8">
        <w:rPr>
          <w:b/>
          <w:sz w:val="22"/>
          <w:szCs w:val="22"/>
          <w:u w:val="single"/>
        </w:rPr>
        <w:t>Justification</w:t>
      </w:r>
      <w:r w:rsidRPr="002224A8">
        <w:rPr>
          <w:sz w:val="22"/>
          <w:szCs w:val="22"/>
        </w:rPr>
        <w:t>:</w:t>
      </w:r>
      <w:r w:rsidR="002224A8" w:rsidRPr="002224A8">
        <w:rPr>
          <w:sz w:val="22"/>
          <w:szCs w:val="22"/>
        </w:rPr>
        <w:tab/>
        <w:t>La Commission ne donnera pas suite sous forme de fiche étant donné qu’aucune requ</w:t>
      </w:r>
      <w:r w:rsidR="002224A8">
        <w:rPr>
          <w:sz w:val="22"/>
          <w:szCs w:val="22"/>
        </w:rPr>
        <w:t>ête ne lui est spécifiquement adressée.</w:t>
      </w:r>
    </w:p>
    <w:p w:rsidR="00E06C80" w:rsidRPr="002224A8" w:rsidRDefault="00E06C80" w:rsidP="00E06C80">
      <w:pPr>
        <w:spacing w:after="0"/>
        <w:rPr>
          <w:sz w:val="22"/>
          <w:szCs w:val="22"/>
        </w:rPr>
      </w:pPr>
    </w:p>
    <w:p w:rsidR="00E06C80" w:rsidRPr="00E06C80" w:rsidRDefault="00E06C80" w:rsidP="00E06C80">
      <w:pPr>
        <w:spacing w:after="0"/>
        <w:rPr>
          <w:sz w:val="22"/>
          <w:szCs w:val="22"/>
        </w:rPr>
      </w:pPr>
      <w:r w:rsidRPr="00E06C80">
        <w:rPr>
          <w:sz w:val="22"/>
          <w:szCs w:val="22"/>
        </w:rPr>
        <w:t>-</w:t>
      </w:r>
      <w:r w:rsidRPr="00E06C80">
        <w:rPr>
          <w:sz w:val="22"/>
          <w:szCs w:val="22"/>
        </w:rPr>
        <w:tab/>
        <w:t>Résolution du Parlement européen sur le Tibet et le cas de Tenzin Delek Rinpoché</w:t>
      </w:r>
    </w:p>
    <w:p w:rsidR="00E06C80" w:rsidRPr="00E06C80" w:rsidRDefault="00E06C80" w:rsidP="00E06C80">
      <w:pPr>
        <w:spacing w:after="0"/>
        <w:rPr>
          <w:sz w:val="22"/>
          <w:szCs w:val="22"/>
        </w:rPr>
      </w:pPr>
      <w:r w:rsidRPr="00E06C80">
        <w:rPr>
          <w:sz w:val="22"/>
          <w:szCs w:val="22"/>
        </w:rPr>
        <w:t>(PE : B6-0169/04)</w:t>
      </w:r>
    </w:p>
    <w:p w:rsidR="00E06C80" w:rsidRPr="00E06C80" w:rsidRDefault="00E06C80" w:rsidP="00E06C80">
      <w:pPr>
        <w:spacing w:after="0"/>
        <w:rPr>
          <w:sz w:val="22"/>
          <w:szCs w:val="22"/>
        </w:rPr>
      </w:pPr>
      <w:r w:rsidRPr="00E06C80">
        <w:rPr>
          <w:sz w:val="22"/>
          <w:szCs w:val="22"/>
        </w:rPr>
        <w:t>Procès verbal, 2ème partie, du 18 novembre 2004</w:t>
      </w:r>
    </w:p>
    <w:p w:rsidR="00E06C80" w:rsidRPr="00E06C80" w:rsidRDefault="00E06C80" w:rsidP="00E06C80">
      <w:pPr>
        <w:spacing w:after="0"/>
        <w:rPr>
          <w:sz w:val="22"/>
          <w:szCs w:val="22"/>
        </w:rPr>
      </w:pPr>
      <w:r w:rsidRPr="00E06C80">
        <w:rPr>
          <w:sz w:val="22"/>
          <w:szCs w:val="22"/>
        </w:rPr>
        <w:t>Compétence :</w:t>
      </w:r>
      <w:r w:rsidRPr="00E06C80">
        <w:rPr>
          <w:sz w:val="22"/>
          <w:szCs w:val="22"/>
        </w:rPr>
        <w:tab/>
        <w:t>Benita FERRERO-WALDNER</w:t>
      </w:r>
    </w:p>
    <w:p w:rsidR="00440612" w:rsidRPr="00E06C80" w:rsidRDefault="00E06C80" w:rsidP="00E06C80">
      <w:pPr>
        <w:spacing w:after="0"/>
        <w:rPr>
          <w:sz w:val="22"/>
          <w:szCs w:val="22"/>
        </w:rPr>
      </w:pPr>
      <w:r w:rsidRPr="00E06C80">
        <w:rPr>
          <w:sz w:val="22"/>
          <w:szCs w:val="22"/>
        </w:rPr>
        <w:tab/>
      </w:r>
      <w:r w:rsidRPr="00E06C80">
        <w:rPr>
          <w:sz w:val="22"/>
          <w:szCs w:val="22"/>
        </w:rPr>
        <w:tab/>
        <w:t>DG Relations extérieures</w:t>
      </w:r>
    </w:p>
    <w:p w:rsidR="00E06C80" w:rsidRDefault="006E252C" w:rsidP="00E06C80">
      <w:pPr>
        <w:spacing w:after="0"/>
        <w:rPr>
          <w:sz w:val="22"/>
          <w:szCs w:val="22"/>
        </w:rPr>
      </w:pPr>
      <w:r w:rsidRPr="00CB68F8">
        <w:rPr>
          <w:b/>
          <w:sz w:val="22"/>
          <w:szCs w:val="22"/>
          <w:u w:val="single"/>
        </w:rPr>
        <w:t>Justification</w:t>
      </w:r>
      <w:r>
        <w:rPr>
          <w:sz w:val="22"/>
          <w:szCs w:val="22"/>
        </w:rPr>
        <w:t> : La Commission ne donnera pas suite sous forme de fiche étant donné que le Commissaire M. Figel a déjà répondu en plénière aux demandes contenues dans la résolution.</w:t>
      </w:r>
    </w:p>
    <w:p w:rsidR="00440612" w:rsidRDefault="00440612" w:rsidP="00BE0809">
      <w:pPr>
        <w:spacing w:after="0"/>
        <w:rPr>
          <w:sz w:val="22"/>
          <w:szCs w:val="22"/>
        </w:rPr>
      </w:pPr>
    </w:p>
    <w:p w:rsidR="00E83B32" w:rsidRPr="001277A5" w:rsidRDefault="00E83B32" w:rsidP="00BE0809">
      <w:pPr>
        <w:spacing w:after="0"/>
        <w:rPr>
          <w:sz w:val="22"/>
          <w:szCs w:val="22"/>
        </w:rPr>
      </w:pPr>
    </w:p>
    <w:p w:rsidR="0063420F" w:rsidRPr="00A10B55" w:rsidRDefault="00E815A8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-------</w:t>
      </w:r>
      <w:r w:rsidR="0063420F" w:rsidRPr="00A10B55">
        <w:rPr>
          <w:sz w:val="22"/>
          <w:szCs w:val="22"/>
        </w:rPr>
        <w:t>------</w:t>
      </w:r>
    </w:p>
    <w:sectPr w:rsidR="0063420F" w:rsidRPr="00A10B55" w:rsidSect="00206CE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64E89">
      <w:pPr>
        <w:spacing w:after="0"/>
      </w:pPr>
      <w:r>
        <w:separator/>
      </w:r>
    </w:p>
  </w:endnote>
  <w:endnote w:type="continuationSeparator" w:id="0">
    <w:p w:rsidR="00000000" w:rsidRDefault="00C64E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C5" w:rsidRDefault="00A50EC5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C64E8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C5" w:rsidRDefault="00A50EC5">
    <w:pPr>
      <w:pStyle w:val="Footer"/>
      <w:rPr>
        <w:sz w:val="24"/>
      </w:rPr>
    </w:pPr>
  </w:p>
  <w:p w:rsidR="00A50EC5" w:rsidRDefault="00A50EC5">
    <w:pPr>
      <w:pStyle w:val="Footer"/>
    </w:pPr>
    <w:r>
      <w:t>Commission européenne, B-1049 Bruxelles – Belgique, Téléphone : (32-2) 299 11 11.</w:t>
    </w:r>
  </w:p>
  <w:p w:rsidR="00A50EC5" w:rsidRDefault="00A50EC5">
    <w:pPr>
      <w:pStyle w:val="Footer"/>
    </w:pPr>
    <w:r>
      <w:t xml:space="preserve">Bureau: BERL 7/358, Téléphone: ligne directe (32-2) 295 07 46, Télécopieur: 296 59 57.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64E89">
      <w:pPr>
        <w:spacing w:after="0"/>
      </w:pPr>
      <w:r>
        <w:separator/>
      </w:r>
    </w:p>
  </w:footnote>
  <w:footnote w:type="continuationSeparator" w:id="0">
    <w:p w:rsidR="00000000" w:rsidRDefault="00C64E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C5" w:rsidRDefault="00A50EC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4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 w15:restartNumberingAfterBreak="0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6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7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8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9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A432656"/>
    <w:multiLevelType w:val="multilevel"/>
    <w:tmpl w:val="AC885D7A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 w15:restartNumberingAfterBreak="0">
    <w:nsid w:val="60FD1F3C"/>
    <w:multiLevelType w:val="hybridMultilevel"/>
    <w:tmpl w:val="F3F46C6A"/>
    <w:lvl w:ilvl="0" w:tplc="40D2097A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7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8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4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17"/>
  </w:num>
  <w:num w:numId="10">
    <w:abstractNumId w:val="16"/>
  </w:num>
  <w:num w:numId="11">
    <w:abstractNumId w:val="18"/>
  </w:num>
  <w:num w:numId="12">
    <w:abstractNumId w:val="6"/>
  </w:num>
  <w:num w:numId="13">
    <w:abstractNumId w:val="9"/>
  </w:num>
  <w:num w:numId="14">
    <w:abstractNumId w:val="11"/>
  </w:num>
  <w:num w:numId="15">
    <w:abstractNumId w:val="10"/>
  </w:num>
  <w:num w:numId="16">
    <w:abstractNumId w:val="2"/>
  </w:num>
  <w:num w:numId="17">
    <w:abstractNumId w:val="12"/>
  </w:num>
  <w:num w:numId="18">
    <w:abstractNumId w:val="5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T"/>
  </w:docVars>
  <w:rsids>
    <w:rsidRoot w:val="001349AB"/>
    <w:rsid w:val="0000667C"/>
    <w:rsid w:val="00011606"/>
    <w:rsid w:val="00013033"/>
    <w:rsid w:val="00014B1E"/>
    <w:rsid w:val="00015253"/>
    <w:rsid w:val="000220C0"/>
    <w:rsid w:val="00023482"/>
    <w:rsid w:val="0002436D"/>
    <w:rsid w:val="0002480C"/>
    <w:rsid w:val="00027C0D"/>
    <w:rsid w:val="00031F91"/>
    <w:rsid w:val="00032328"/>
    <w:rsid w:val="0005458A"/>
    <w:rsid w:val="00055C3B"/>
    <w:rsid w:val="00057A61"/>
    <w:rsid w:val="000615D6"/>
    <w:rsid w:val="00071727"/>
    <w:rsid w:val="00075B85"/>
    <w:rsid w:val="0007606A"/>
    <w:rsid w:val="0007618B"/>
    <w:rsid w:val="000824B1"/>
    <w:rsid w:val="00082834"/>
    <w:rsid w:val="00084252"/>
    <w:rsid w:val="000851F9"/>
    <w:rsid w:val="000852E0"/>
    <w:rsid w:val="000906D0"/>
    <w:rsid w:val="00093C24"/>
    <w:rsid w:val="000A05CA"/>
    <w:rsid w:val="000A302C"/>
    <w:rsid w:val="000B02B4"/>
    <w:rsid w:val="000B3530"/>
    <w:rsid w:val="000B3C53"/>
    <w:rsid w:val="000B51FE"/>
    <w:rsid w:val="000C0530"/>
    <w:rsid w:val="000C1703"/>
    <w:rsid w:val="000C5046"/>
    <w:rsid w:val="000C5DB2"/>
    <w:rsid w:val="000D2864"/>
    <w:rsid w:val="000D5A77"/>
    <w:rsid w:val="000D5C5C"/>
    <w:rsid w:val="000E1D72"/>
    <w:rsid w:val="000E3AC2"/>
    <w:rsid w:val="000E5696"/>
    <w:rsid w:val="000E718D"/>
    <w:rsid w:val="000F2152"/>
    <w:rsid w:val="000F3185"/>
    <w:rsid w:val="001007C5"/>
    <w:rsid w:val="001022DD"/>
    <w:rsid w:val="001050C6"/>
    <w:rsid w:val="0010677E"/>
    <w:rsid w:val="00107E13"/>
    <w:rsid w:val="00107ED1"/>
    <w:rsid w:val="00112673"/>
    <w:rsid w:val="00116919"/>
    <w:rsid w:val="00116AEB"/>
    <w:rsid w:val="00116BA5"/>
    <w:rsid w:val="00117D48"/>
    <w:rsid w:val="001207A7"/>
    <w:rsid w:val="0012295B"/>
    <w:rsid w:val="001277A5"/>
    <w:rsid w:val="00132221"/>
    <w:rsid w:val="001324FF"/>
    <w:rsid w:val="001349AB"/>
    <w:rsid w:val="00140CE0"/>
    <w:rsid w:val="0014173C"/>
    <w:rsid w:val="00142430"/>
    <w:rsid w:val="0014269F"/>
    <w:rsid w:val="00142EDF"/>
    <w:rsid w:val="00145833"/>
    <w:rsid w:val="00146EEB"/>
    <w:rsid w:val="0015044B"/>
    <w:rsid w:val="00153009"/>
    <w:rsid w:val="00154C1C"/>
    <w:rsid w:val="00156FAD"/>
    <w:rsid w:val="001618F9"/>
    <w:rsid w:val="00164179"/>
    <w:rsid w:val="001662D7"/>
    <w:rsid w:val="00167044"/>
    <w:rsid w:val="001748C0"/>
    <w:rsid w:val="00175EF9"/>
    <w:rsid w:val="001820A2"/>
    <w:rsid w:val="0019299D"/>
    <w:rsid w:val="0019373F"/>
    <w:rsid w:val="001A6A34"/>
    <w:rsid w:val="001A75CD"/>
    <w:rsid w:val="001B632E"/>
    <w:rsid w:val="001B6599"/>
    <w:rsid w:val="001C64BB"/>
    <w:rsid w:val="001D3C86"/>
    <w:rsid w:val="001D4689"/>
    <w:rsid w:val="001D55E9"/>
    <w:rsid w:val="001D7558"/>
    <w:rsid w:val="001E1F96"/>
    <w:rsid w:val="001E3693"/>
    <w:rsid w:val="001E36F5"/>
    <w:rsid w:val="001E3D07"/>
    <w:rsid w:val="001E4A5E"/>
    <w:rsid w:val="001E684C"/>
    <w:rsid w:val="001E7740"/>
    <w:rsid w:val="001F129E"/>
    <w:rsid w:val="001F1383"/>
    <w:rsid w:val="001F29DE"/>
    <w:rsid w:val="001F351F"/>
    <w:rsid w:val="001F3923"/>
    <w:rsid w:val="001F4CBB"/>
    <w:rsid w:val="001F7346"/>
    <w:rsid w:val="00200C6F"/>
    <w:rsid w:val="00202D6C"/>
    <w:rsid w:val="00205A3B"/>
    <w:rsid w:val="00206223"/>
    <w:rsid w:val="00206CE0"/>
    <w:rsid w:val="002100D7"/>
    <w:rsid w:val="00213823"/>
    <w:rsid w:val="00214AEF"/>
    <w:rsid w:val="00214B28"/>
    <w:rsid w:val="00217A89"/>
    <w:rsid w:val="002224A8"/>
    <w:rsid w:val="002225CB"/>
    <w:rsid w:val="00235499"/>
    <w:rsid w:val="00235AF4"/>
    <w:rsid w:val="00237A4F"/>
    <w:rsid w:val="00237CB9"/>
    <w:rsid w:val="002524F7"/>
    <w:rsid w:val="002557CF"/>
    <w:rsid w:val="002566F1"/>
    <w:rsid w:val="002752DC"/>
    <w:rsid w:val="00283FEE"/>
    <w:rsid w:val="002862E0"/>
    <w:rsid w:val="00293BD1"/>
    <w:rsid w:val="00295FEF"/>
    <w:rsid w:val="002A0400"/>
    <w:rsid w:val="002B1AAB"/>
    <w:rsid w:val="002B3E66"/>
    <w:rsid w:val="002B444A"/>
    <w:rsid w:val="002B48CA"/>
    <w:rsid w:val="002C39AF"/>
    <w:rsid w:val="002C3B4D"/>
    <w:rsid w:val="002C49FF"/>
    <w:rsid w:val="002C6D0D"/>
    <w:rsid w:val="002D25DE"/>
    <w:rsid w:val="002D378E"/>
    <w:rsid w:val="002E719B"/>
    <w:rsid w:val="002F1C67"/>
    <w:rsid w:val="002F407A"/>
    <w:rsid w:val="002F48B6"/>
    <w:rsid w:val="00301619"/>
    <w:rsid w:val="00302786"/>
    <w:rsid w:val="003046BA"/>
    <w:rsid w:val="00311BA5"/>
    <w:rsid w:val="00314013"/>
    <w:rsid w:val="00320D78"/>
    <w:rsid w:val="0032113A"/>
    <w:rsid w:val="003255A2"/>
    <w:rsid w:val="0032746F"/>
    <w:rsid w:val="003343BF"/>
    <w:rsid w:val="003346A2"/>
    <w:rsid w:val="00340A64"/>
    <w:rsid w:val="003427F2"/>
    <w:rsid w:val="00344180"/>
    <w:rsid w:val="0035454A"/>
    <w:rsid w:val="00356D8C"/>
    <w:rsid w:val="0036572D"/>
    <w:rsid w:val="00365E6D"/>
    <w:rsid w:val="00366A5A"/>
    <w:rsid w:val="00370DF9"/>
    <w:rsid w:val="0037700B"/>
    <w:rsid w:val="00381713"/>
    <w:rsid w:val="0038412B"/>
    <w:rsid w:val="00384FCE"/>
    <w:rsid w:val="00390AA1"/>
    <w:rsid w:val="0039355D"/>
    <w:rsid w:val="003A5F16"/>
    <w:rsid w:val="003A6BCE"/>
    <w:rsid w:val="003B0B1E"/>
    <w:rsid w:val="003B1AD7"/>
    <w:rsid w:val="003B5B81"/>
    <w:rsid w:val="003B5D47"/>
    <w:rsid w:val="003C275D"/>
    <w:rsid w:val="003C41E7"/>
    <w:rsid w:val="003C49EC"/>
    <w:rsid w:val="003C5C41"/>
    <w:rsid w:val="003C7681"/>
    <w:rsid w:val="003D1339"/>
    <w:rsid w:val="003D210C"/>
    <w:rsid w:val="003D2CBF"/>
    <w:rsid w:val="003D319B"/>
    <w:rsid w:val="003D3ED4"/>
    <w:rsid w:val="003E11BD"/>
    <w:rsid w:val="003E2343"/>
    <w:rsid w:val="003F039C"/>
    <w:rsid w:val="003F2BEB"/>
    <w:rsid w:val="003F384B"/>
    <w:rsid w:val="003F4263"/>
    <w:rsid w:val="003F79CE"/>
    <w:rsid w:val="0040083A"/>
    <w:rsid w:val="00400CB5"/>
    <w:rsid w:val="00403672"/>
    <w:rsid w:val="00406812"/>
    <w:rsid w:val="004122AF"/>
    <w:rsid w:val="00412739"/>
    <w:rsid w:val="00413678"/>
    <w:rsid w:val="00432680"/>
    <w:rsid w:val="00440612"/>
    <w:rsid w:val="004424D2"/>
    <w:rsid w:val="004439E0"/>
    <w:rsid w:val="00443B16"/>
    <w:rsid w:val="0044781C"/>
    <w:rsid w:val="00454101"/>
    <w:rsid w:val="00455A57"/>
    <w:rsid w:val="00457863"/>
    <w:rsid w:val="004705C6"/>
    <w:rsid w:val="00474BA1"/>
    <w:rsid w:val="00476B0A"/>
    <w:rsid w:val="00485544"/>
    <w:rsid w:val="00485FE2"/>
    <w:rsid w:val="00494449"/>
    <w:rsid w:val="004A0A8E"/>
    <w:rsid w:val="004A58DF"/>
    <w:rsid w:val="004A70B9"/>
    <w:rsid w:val="004A7630"/>
    <w:rsid w:val="004B41D6"/>
    <w:rsid w:val="004D19F0"/>
    <w:rsid w:val="004D797A"/>
    <w:rsid w:val="004D7E15"/>
    <w:rsid w:val="004E631D"/>
    <w:rsid w:val="004F0BE3"/>
    <w:rsid w:val="004F1C83"/>
    <w:rsid w:val="00506AC9"/>
    <w:rsid w:val="00507E3A"/>
    <w:rsid w:val="00507F2D"/>
    <w:rsid w:val="00523C54"/>
    <w:rsid w:val="005265A9"/>
    <w:rsid w:val="00527812"/>
    <w:rsid w:val="0053306B"/>
    <w:rsid w:val="00535554"/>
    <w:rsid w:val="005422BE"/>
    <w:rsid w:val="0054480B"/>
    <w:rsid w:val="00545509"/>
    <w:rsid w:val="00545B84"/>
    <w:rsid w:val="00546E0C"/>
    <w:rsid w:val="00547AE2"/>
    <w:rsid w:val="005504AC"/>
    <w:rsid w:val="00553308"/>
    <w:rsid w:val="00557DE1"/>
    <w:rsid w:val="00565F48"/>
    <w:rsid w:val="00567FB7"/>
    <w:rsid w:val="00572876"/>
    <w:rsid w:val="00574375"/>
    <w:rsid w:val="005768CE"/>
    <w:rsid w:val="005772D4"/>
    <w:rsid w:val="005809D6"/>
    <w:rsid w:val="00580C69"/>
    <w:rsid w:val="005819F9"/>
    <w:rsid w:val="00582919"/>
    <w:rsid w:val="00586ACF"/>
    <w:rsid w:val="00586C9C"/>
    <w:rsid w:val="00586D98"/>
    <w:rsid w:val="00590DBE"/>
    <w:rsid w:val="00595E96"/>
    <w:rsid w:val="0059662D"/>
    <w:rsid w:val="005A2B3D"/>
    <w:rsid w:val="005A418A"/>
    <w:rsid w:val="005A5ABF"/>
    <w:rsid w:val="005B2B0F"/>
    <w:rsid w:val="005B2B96"/>
    <w:rsid w:val="005B77DA"/>
    <w:rsid w:val="005C0B71"/>
    <w:rsid w:val="005C0D9C"/>
    <w:rsid w:val="005C11CF"/>
    <w:rsid w:val="005C25E7"/>
    <w:rsid w:val="005C28A9"/>
    <w:rsid w:val="005C3B7A"/>
    <w:rsid w:val="005C6297"/>
    <w:rsid w:val="005C6A7E"/>
    <w:rsid w:val="005C6CA2"/>
    <w:rsid w:val="005C6D15"/>
    <w:rsid w:val="005D7FF5"/>
    <w:rsid w:val="005F30D8"/>
    <w:rsid w:val="005F5937"/>
    <w:rsid w:val="00602BF4"/>
    <w:rsid w:val="00604036"/>
    <w:rsid w:val="0060447D"/>
    <w:rsid w:val="0060770B"/>
    <w:rsid w:val="00624A41"/>
    <w:rsid w:val="00625D15"/>
    <w:rsid w:val="00626B5D"/>
    <w:rsid w:val="0063420F"/>
    <w:rsid w:val="00635E7C"/>
    <w:rsid w:val="00636CEE"/>
    <w:rsid w:val="00637F49"/>
    <w:rsid w:val="00641627"/>
    <w:rsid w:val="00645AA6"/>
    <w:rsid w:val="00645AF9"/>
    <w:rsid w:val="00646CDB"/>
    <w:rsid w:val="006477F4"/>
    <w:rsid w:val="00651579"/>
    <w:rsid w:val="006524F1"/>
    <w:rsid w:val="00654626"/>
    <w:rsid w:val="006566A3"/>
    <w:rsid w:val="00675B62"/>
    <w:rsid w:val="006808A0"/>
    <w:rsid w:val="00683C6D"/>
    <w:rsid w:val="0068414B"/>
    <w:rsid w:val="00694FAA"/>
    <w:rsid w:val="00695C86"/>
    <w:rsid w:val="006B01A2"/>
    <w:rsid w:val="006B6642"/>
    <w:rsid w:val="006C4B8C"/>
    <w:rsid w:val="006D0546"/>
    <w:rsid w:val="006D05CB"/>
    <w:rsid w:val="006D088D"/>
    <w:rsid w:val="006D4531"/>
    <w:rsid w:val="006D7A86"/>
    <w:rsid w:val="006E02F5"/>
    <w:rsid w:val="006E252C"/>
    <w:rsid w:val="006E5850"/>
    <w:rsid w:val="006F1F98"/>
    <w:rsid w:val="006F5399"/>
    <w:rsid w:val="006F6834"/>
    <w:rsid w:val="006F74F1"/>
    <w:rsid w:val="00701BBD"/>
    <w:rsid w:val="00705F01"/>
    <w:rsid w:val="00706FF2"/>
    <w:rsid w:val="00707E99"/>
    <w:rsid w:val="007102E5"/>
    <w:rsid w:val="007162AA"/>
    <w:rsid w:val="00717E22"/>
    <w:rsid w:val="0072434A"/>
    <w:rsid w:val="00730499"/>
    <w:rsid w:val="0073256C"/>
    <w:rsid w:val="00733D97"/>
    <w:rsid w:val="007371C6"/>
    <w:rsid w:val="00737E83"/>
    <w:rsid w:val="00743AD7"/>
    <w:rsid w:val="0074436B"/>
    <w:rsid w:val="00751682"/>
    <w:rsid w:val="00751F13"/>
    <w:rsid w:val="00753D4A"/>
    <w:rsid w:val="0075530D"/>
    <w:rsid w:val="00760F58"/>
    <w:rsid w:val="0076601A"/>
    <w:rsid w:val="00771534"/>
    <w:rsid w:val="007722BC"/>
    <w:rsid w:val="0077331E"/>
    <w:rsid w:val="0077480B"/>
    <w:rsid w:val="007838F7"/>
    <w:rsid w:val="0079166B"/>
    <w:rsid w:val="0079487F"/>
    <w:rsid w:val="0079696E"/>
    <w:rsid w:val="00796E41"/>
    <w:rsid w:val="00797538"/>
    <w:rsid w:val="007A2746"/>
    <w:rsid w:val="007A3084"/>
    <w:rsid w:val="007A59B2"/>
    <w:rsid w:val="007A6120"/>
    <w:rsid w:val="007B08F7"/>
    <w:rsid w:val="007B32C0"/>
    <w:rsid w:val="007B38D0"/>
    <w:rsid w:val="007B3A28"/>
    <w:rsid w:val="007B5CDA"/>
    <w:rsid w:val="007C5198"/>
    <w:rsid w:val="007E26BF"/>
    <w:rsid w:val="007E3EF1"/>
    <w:rsid w:val="007E46A3"/>
    <w:rsid w:val="007F01CF"/>
    <w:rsid w:val="007F1038"/>
    <w:rsid w:val="007F5629"/>
    <w:rsid w:val="007F5E16"/>
    <w:rsid w:val="00802592"/>
    <w:rsid w:val="008029FE"/>
    <w:rsid w:val="0080352D"/>
    <w:rsid w:val="00803AE3"/>
    <w:rsid w:val="00804DA6"/>
    <w:rsid w:val="00804EA0"/>
    <w:rsid w:val="00806B7E"/>
    <w:rsid w:val="00813192"/>
    <w:rsid w:val="00814199"/>
    <w:rsid w:val="0082394F"/>
    <w:rsid w:val="00823FDA"/>
    <w:rsid w:val="0082435E"/>
    <w:rsid w:val="00830E80"/>
    <w:rsid w:val="0083323D"/>
    <w:rsid w:val="00835B17"/>
    <w:rsid w:val="00835DD9"/>
    <w:rsid w:val="00841F7E"/>
    <w:rsid w:val="00862D47"/>
    <w:rsid w:val="008707DD"/>
    <w:rsid w:val="00874A6F"/>
    <w:rsid w:val="00874BA2"/>
    <w:rsid w:val="00875AFA"/>
    <w:rsid w:val="00880156"/>
    <w:rsid w:val="008852A3"/>
    <w:rsid w:val="00885372"/>
    <w:rsid w:val="008853D9"/>
    <w:rsid w:val="008933E8"/>
    <w:rsid w:val="00894376"/>
    <w:rsid w:val="0089577C"/>
    <w:rsid w:val="008B1A39"/>
    <w:rsid w:val="008B5623"/>
    <w:rsid w:val="008C4BFF"/>
    <w:rsid w:val="008D03EE"/>
    <w:rsid w:val="008D27CC"/>
    <w:rsid w:val="008D4E7D"/>
    <w:rsid w:val="008D57F0"/>
    <w:rsid w:val="008E050D"/>
    <w:rsid w:val="008E7E6C"/>
    <w:rsid w:val="00905757"/>
    <w:rsid w:val="00911750"/>
    <w:rsid w:val="009121F0"/>
    <w:rsid w:val="0091324E"/>
    <w:rsid w:val="00915503"/>
    <w:rsid w:val="00917BF0"/>
    <w:rsid w:val="00920172"/>
    <w:rsid w:val="00920DBC"/>
    <w:rsid w:val="00921385"/>
    <w:rsid w:val="009220A3"/>
    <w:rsid w:val="00925856"/>
    <w:rsid w:val="0092760A"/>
    <w:rsid w:val="009354AA"/>
    <w:rsid w:val="00942FAB"/>
    <w:rsid w:val="00943705"/>
    <w:rsid w:val="0094677C"/>
    <w:rsid w:val="00947CF6"/>
    <w:rsid w:val="00950394"/>
    <w:rsid w:val="00955F51"/>
    <w:rsid w:val="0096181E"/>
    <w:rsid w:val="00971FBC"/>
    <w:rsid w:val="009726D6"/>
    <w:rsid w:val="00975656"/>
    <w:rsid w:val="009766FD"/>
    <w:rsid w:val="00976850"/>
    <w:rsid w:val="0098379D"/>
    <w:rsid w:val="009847DD"/>
    <w:rsid w:val="009915C0"/>
    <w:rsid w:val="00991F58"/>
    <w:rsid w:val="009945BA"/>
    <w:rsid w:val="00996BA1"/>
    <w:rsid w:val="009A2677"/>
    <w:rsid w:val="009A3F0F"/>
    <w:rsid w:val="009A3FCE"/>
    <w:rsid w:val="009A746F"/>
    <w:rsid w:val="009B44D7"/>
    <w:rsid w:val="009B6C9C"/>
    <w:rsid w:val="009B788F"/>
    <w:rsid w:val="009C039C"/>
    <w:rsid w:val="009C03AE"/>
    <w:rsid w:val="009C297C"/>
    <w:rsid w:val="009C3EBF"/>
    <w:rsid w:val="009C3F1E"/>
    <w:rsid w:val="009D03A5"/>
    <w:rsid w:val="009D3F0C"/>
    <w:rsid w:val="009D6AAC"/>
    <w:rsid w:val="009E0299"/>
    <w:rsid w:val="009E2BA7"/>
    <w:rsid w:val="009F040B"/>
    <w:rsid w:val="009F0B22"/>
    <w:rsid w:val="009F746A"/>
    <w:rsid w:val="00A00BE5"/>
    <w:rsid w:val="00A07DFF"/>
    <w:rsid w:val="00A10B55"/>
    <w:rsid w:val="00A12F2B"/>
    <w:rsid w:val="00A16C9F"/>
    <w:rsid w:val="00A22D0E"/>
    <w:rsid w:val="00A3180C"/>
    <w:rsid w:val="00A33ECD"/>
    <w:rsid w:val="00A34867"/>
    <w:rsid w:val="00A37C97"/>
    <w:rsid w:val="00A40DD0"/>
    <w:rsid w:val="00A43284"/>
    <w:rsid w:val="00A50EC5"/>
    <w:rsid w:val="00A53DE2"/>
    <w:rsid w:val="00A54FCE"/>
    <w:rsid w:val="00A56BB2"/>
    <w:rsid w:val="00A65A2F"/>
    <w:rsid w:val="00A664EE"/>
    <w:rsid w:val="00A677CB"/>
    <w:rsid w:val="00A74531"/>
    <w:rsid w:val="00A837C1"/>
    <w:rsid w:val="00A850A9"/>
    <w:rsid w:val="00A86312"/>
    <w:rsid w:val="00A907EF"/>
    <w:rsid w:val="00A935FA"/>
    <w:rsid w:val="00A94225"/>
    <w:rsid w:val="00A957A6"/>
    <w:rsid w:val="00AA32A1"/>
    <w:rsid w:val="00AA6295"/>
    <w:rsid w:val="00AA7AAA"/>
    <w:rsid w:val="00AB06C8"/>
    <w:rsid w:val="00AC16F6"/>
    <w:rsid w:val="00AC5807"/>
    <w:rsid w:val="00AC648E"/>
    <w:rsid w:val="00AC6C03"/>
    <w:rsid w:val="00AC6C4E"/>
    <w:rsid w:val="00AC6E35"/>
    <w:rsid w:val="00AC7ABA"/>
    <w:rsid w:val="00AD16BB"/>
    <w:rsid w:val="00AE4821"/>
    <w:rsid w:val="00AF4F59"/>
    <w:rsid w:val="00AF537D"/>
    <w:rsid w:val="00B12F35"/>
    <w:rsid w:val="00B22A62"/>
    <w:rsid w:val="00B2401E"/>
    <w:rsid w:val="00B24A40"/>
    <w:rsid w:val="00B25372"/>
    <w:rsid w:val="00B33E99"/>
    <w:rsid w:val="00B353E4"/>
    <w:rsid w:val="00B35D39"/>
    <w:rsid w:val="00B542AA"/>
    <w:rsid w:val="00B57425"/>
    <w:rsid w:val="00B57D9E"/>
    <w:rsid w:val="00B6689B"/>
    <w:rsid w:val="00B66FBE"/>
    <w:rsid w:val="00B67572"/>
    <w:rsid w:val="00B7287D"/>
    <w:rsid w:val="00B730CB"/>
    <w:rsid w:val="00B81E1B"/>
    <w:rsid w:val="00B838AE"/>
    <w:rsid w:val="00B83C28"/>
    <w:rsid w:val="00B84281"/>
    <w:rsid w:val="00B858AE"/>
    <w:rsid w:val="00B87821"/>
    <w:rsid w:val="00B90AEC"/>
    <w:rsid w:val="00B946DD"/>
    <w:rsid w:val="00B9781E"/>
    <w:rsid w:val="00BA28EC"/>
    <w:rsid w:val="00BA7C54"/>
    <w:rsid w:val="00BB4300"/>
    <w:rsid w:val="00BB5F59"/>
    <w:rsid w:val="00BC17C5"/>
    <w:rsid w:val="00BC65EB"/>
    <w:rsid w:val="00BC74F4"/>
    <w:rsid w:val="00BC7896"/>
    <w:rsid w:val="00BC7F76"/>
    <w:rsid w:val="00BE0809"/>
    <w:rsid w:val="00BE1659"/>
    <w:rsid w:val="00BE3CBC"/>
    <w:rsid w:val="00BF1DE4"/>
    <w:rsid w:val="00BF4F1B"/>
    <w:rsid w:val="00BF6529"/>
    <w:rsid w:val="00C13944"/>
    <w:rsid w:val="00C13EEE"/>
    <w:rsid w:val="00C16C5C"/>
    <w:rsid w:val="00C20969"/>
    <w:rsid w:val="00C2097A"/>
    <w:rsid w:val="00C2202D"/>
    <w:rsid w:val="00C250DF"/>
    <w:rsid w:val="00C26E0F"/>
    <w:rsid w:val="00C32768"/>
    <w:rsid w:val="00C345D1"/>
    <w:rsid w:val="00C347AC"/>
    <w:rsid w:val="00C43DC7"/>
    <w:rsid w:val="00C50024"/>
    <w:rsid w:val="00C51FA2"/>
    <w:rsid w:val="00C53A48"/>
    <w:rsid w:val="00C576BF"/>
    <w:rsid w:val="00C605F4"/>
    <w:rsid w:val="00C6385B"/>
    <w:rsid w:val="00C646DF"/>
    <w:rsid w:val="00C64E89"/>
    <w:rsid w:val="00C6652B"/>
    <w:rsid w:val="00C71B8A"/>
    <w:rsid w:val="00C7422B"/>
    <w:rsid w:val="00C76EC0"/>
    <w:rsid w:val="00C80AE5"/>
    <w:rsid w:val="00C81097"/>
    <w:rsid w:val="00C816AA"/>
    <w:rsid w:val="00C831F6"/>
    <w:rsid w:val="00C86F86"/>
    <w:rsid w:val="00C8770A"/>
    <w:rsid w:val="00CA0125"/>
    <w:rsid w:val="00CA2957"/>
    <w:rsid w:val="00CB0B7B"/>
    <w:rsid w:val="00CB0E97"/>
    <w:rsid w:val="00CB1533"/>
    <w:rsid w:val="00CB34C1"/>
    <w:rsid w:val="00CB4A8F"/>
    <w:rsid w:val="00CB4E8B"/>
    <w:rsid w:val="00CB5EBA"/>
    <w:rsid w:val="00CB68F8"/>
    <w:rsid w:val="00CB6982"/>
    <w:rsid w:val="00CC7214"/>
    <w:rsid w:val="00CC7D01"/>
    <w:rsid w:val="00CD1D08"/>
    <w:rsid w:val="00CD3267"/>
    <w:rsid w:val="00CD3E64"/>
    <w:rsid w:val="00CD502A"/>
    <w:rsid w:val="00CD7D65"/>
    <w:rsid w:val="00CE0367"/>
    <w:rsid w:val="00CE2276"/>
    <w:rsid w:val="00CE6E3F"/>
    <w:rsid w:val="00CF2F80"/>
    <w:rsid w:val="00D00063"/>
    <w:rsid w:val="00D0120D"/>
    <w:rsid w:val="00D06F57"/>
    <w:rsid w:val="00D07A60"/>
    <w:rsid w:val="00D11D9E"/>
    <w:rsid w:val="00D14B7D"/>
    <w:rsid w:val="00D223B1"/>
    <w:rsid w:val="00D27C61"/>
    <w:rsid w:val="00D33A51"/>
    <w:rsid w:val="00D34773"/>
    <w:rsid w:val="00D357C9"/>
    <w:rsid w:val="00D35D01"/>
    <w:rsid w:val="00D41DC0"/>
    <w:rsid w:val="00D4347F"/>
    <w:rsid w:val="00D43B31"/>
    <w:rsid w:val="00D4443A"/>
    <w:rsid w:val="00D45E1D"/>
    <w:rsid w:val="00D478B3"/>
    <w:rsid w:val="00D51442"/>
    <w:rsid w:val="00D5509F"/>
    <w:rsid w:val="00D55771"/>
    <w:rsid w:val="00D5752C"/>
    <w:rsid w:val="00D6418B"/>
    <w:rsid w:val="00D66908"/>
    <w:rsid w:val="00D72DDE"/>
    <w:rsid w:val="00D7693A"/>
    <w:rsid w:val="00D81B78"/>
    <w:rsid w:val="00D83021"/>
    <w:rsid w:val="00D83AB1"/>
    <w:rsid w:val="00D83DBB"/>
    <w:rsid w:val="00D8475E"/>
    <w:rsid w:val="00D85E9E"/>
    <w:rsid w:val="00D877B5"/>
    <w:rsid w:val="00D96FE9"/>
    <w:rsid w:val="00D974F4"/>
    <w:rsid w:val="00DA1469"/>
    <w:rsid w:val="00DA1501"/>
    <w:rsid w:val="00DA152B"/>
    <w:rsid w:val="00DA1CA4"/>
    <w:rsid w:val="00DA2C52"/>
    <w:rsid w:val="00DB15E0"/>
    <w:rsid w:val="00DB4258"/>
    <w:rsid w:val="00DB5AF6"/>
    <w:rsid w:val="00DC0394"/>
    <w:rsid w:val="00DC0892"/>
    <w:rsid w:val="00DC6B89"/>
    <w:rsid w:val="00DD0A2E"/>
    <w:rsid w:val="00DD4452"/>
    <w:rsid w:val="00DE077E"/>
    <w:rsid w:val="00DE15EB"/>
    <w:rsid w:val="00DE4989"/>
    <w:rsid w:val="00DF1E34"/>
    <w:rsid w:val="00DF2E37"/>
    <w:rsid w:val="00DF2FC7"/>
    <w:rsid w:val="00DF4D78"/>
    <w:rsid w:val="00DF5EF2"/>
    <w:rsid w:val="00DF6BB7"/>
    <w:rsid w:val="00E00734"/>
    <w:rsid w:val="00E03E46"/>
    <w:rsid w:val="00E05587"/>
    <w:rsid w:val="00E06C80"/>
    <w:rsid w:val="00E07C66"/>
    <w:rsid w:val="00E103E8"/>
    <w:rsid w:val="00E104A9"/>
    <w:rsid w:val="00E1275A"/>
    <w:rsid w:val="00E14B3C"/>
    <w:rsid w:val="00E15AF1"/>
    <w:rsid w:val="00E16540"/>
    <w:rsid w:val="00E20AB2"/>
    <w:rsid w:val="00E2505E"/>
    <w:rsid w:val="00E314C2"/>
    <w:rsid w:val="00E330BC"/>
    <w:rsid w:val="00E3617B"/>
    <w:rsid w:val="00E432DD"/>
    <w:rsid w:val="00E43ECD"/>
    <w:rsid w:val="00E4451D"/>
    <w:rsid w:val="00E45042"/>
    <w:rsid w:val="00E45AE6"/>
    <w:rsid w:val="00E464AE"/>
    <w:rsid w:val="00E47FB9"/>
    <w:rsid w:val="00E50C15"/>
    <w:rsid w:val="00E52CF2"/>
    <w:rsid w:val="00E55C5F"/>
    <w:rsid w:val="00E577C6"/>
    <w:rsid w:val="00E6019A"/>
    <w:rsid w:val="00E62760"/>
    <w:rsid w:val="00E63E0A"/>
    <w:rsid w:val="00E652FD"/>
    <w:rsid w:val="00E671DC"/>
    <w:rsid w:val="00E67A1D"/>
    <w:rsid w:val="00E70C8A"/>
    <w:rsid w:val="00E7313F"/>
    <w:rsid w:val="00E815A8"/>
    <w:rsid w:val="00E83B32"/>
    <w:rsid w:val="00E91513"/>
    <w:rsid w:val="00E976BF"/>
    <w:rsid w:val="00EA4588"/>
    <w:rsid w:val="00EA4AD3"/>
    <w:rsid w:val="00EA7328"/>
    <w:rsid w:val="00EB0353"/>
    <w:rsid w:val="00EB2BFF"/>
    <w:rsid w:val="00EB3A99"/>
    <w:rsid w:val="00EC1C29"/>
    <w:rsid w:val="00EC5B35"/>
    <w:rsid w:val="00EC606A"/>
    <w:rsid w:val="00ED1612"/>
    <w:rsid w:val="00ED1D88"/>
    <w:rsid w:val="00EE0096"/>
    <w:rsid w:val="00EE0F2D"/>
    <w:rsid w:val="00EE1991"/>
    <w:rsid w:val="00EE74AA"/>
    <w:rsid w:val="00EF273A"/>
    <w:rsid w:val="00F00D33"/>
    <w:rsid w:val="00F01C0A"/>
    <w:rsid w:val="00F06A19"/>
    <w:rsid w:val="00F104F1"/>
    <w:rsid w:val="00F12147"/>
    <w:rsid w:val="00F15A51"/>
    <w:rsid w:val="00F17099"/>
    <w:rsid w:val="00F218CE"/>
    <w:rsid w:val="00F21F65"/>
    <w:rsid w:val="00F23C34"/>
    <w:rsid w:val="00F343D0"/>
    <w:rsid w:val="00F35C15"/>
    <w:rsid w:val="00F36320"/>
    <w:rsid w:val="00F367B8"/>
    <w:rsid w:val="00F5153A"/>
    <w:rsid w:val="00F53085"/>
    <w:rsid w:val="00F53A90"/>
    <w:rsid w:val="00F55611"/>
    <w:rsid w:val="00F55C2C"/>
    <w:rsid w:val="00F623C4"/>
    <w:rsid w:val="00F65928"/>
    <w:rsid w:val="00F65A72"/>
    <w:rsid w:val="00F66ADB"/>
    <w:rsid w:val="00F676F9"/>
    <w:rsid w:val="00F67FD7"/>
    <w:rsid w:val="00F70411"/>
    <w:rsid w:val="00F70F00"/>
    <w:rsid w:val="00F71F53"/>
    <w:rsid w:val="00F7267C"/>
    <w:rsid w:val="00F75450"/>
    <w:rsid w:val="00F77D99"/>
    <w:rsid w:val="00F81139"/>
    <w:rsid w:val="00F82C5C"/>
    <w:rsid w:val="00F83CDD"/>
    <w:rsid w:val="00F849A2"/>
    <w:rsid w:val="00F866A1"/>
    <w:rsid w:val="00F95EE1"/>
    <w:rsid w:val="00F96494"/>
    <w:rsid w:val="00FA3865"/>
    <w:rsid w:val="00FA7B55"/>
    <w:rsid w:val="00FB0143"/>
    <w:rsid w:val="00FB4192"/>
    <w:rsid w:val="00FB79AE"/>
    <w:rsid w:val="00FC455E"/>
    <w:rsid w:val="00FC77CC"/>
    <w:rsid w:val="00FD1F53"/>
    <w:rsid w:val="00FD722C"/>
    <w:rsid w:val="00FE1B06"/>
    <w:rsid w:val="00FE2471"/>
    <w:rsid w:val="00FE69E7"/>
    <w:rsid w:val="00FF642E"/>
    <w:rsid w:val="00FF6652"/>
    <w:rsid w:val="00FF7377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DC00B13-1F9E-4681-869B-1D0123BE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jc w:val="both"/>
    </w:pPr>
    <w:rPr>
      <w:sz w:val="24"/>
      <w:lang w:val="fr-FR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pPr>
      <w:ind w:left="2880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next w:val="Signature"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next w:val="Contact"/>
    <w:pPr>
      <w:tabs>
        <w:tab w:val="left" w:pos="5103"/>
      </w:tabs>
      <w:spacing w:before="1200" w:after="0"/>
      <w:ind w:left="5103"/>
      <w:jc w:val="center"/>
    </w:pPr>
    <w:rPr>
      <w:lang w:val="de-DE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42"/>
      </w:tabs>
      <w:spacing w:before="480" w:after="0"/>
      <w:ind w:left="1792" w:hanging="1792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customStyle="1" w:styleId="Copies">
    <w:name w:val="Copies"/>
    <w:basedOn w:val="Normal"/>
    <w:next w:val="Normal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3"/>
      </w:numPr>
    </w:pPr>
  </w:style>
  <w:style w:type="paragraph" w:styleId="ListNumber2">
    <w:name w:val="List Number 2"/>
    <w:basedOn w:val="Text2"/>
    <w:pPr>
      <w:numPr>
        <w:numId w:val="15"/>
      </w:numPr>
      <w:tabs>
        <w:tab w:val="clear" w:pos="2160"/>
      </w:tabs>
    </w:pPr>
  </w:style>
  <w:style w:type="paragraph" w:styleId="ListNumber3">
    <w:name w:val="List Number 3"/>
    <w:basedOn w:val="Text3"/>
    <w:pPr>
      <w:numPr>
        <w:numId w:val="16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7"/>
      </w:numPr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19"/>
      </w:numPr>
    </w:pPr>
  </w:style>
  <w:style w:type="paragraph" w:customStyle="1" w:styleId="ListDash1">
    <w:name w:val="List Dash 1"/>
    <w:basedOn w:val="Text1"/>
    <w:pPr>
      <w:numPr>
        <w:numId w:val="9"/>
      </w:numPr>
    </w:pPr>
  </w:style>
  <w:style w:type="paragraph" w:customStyle="1" w:styleId="ListDash2">
    <w:name w:val="List Dash 2"/>
    <w:basedOn w:val="Text2"/>
    <w:pPr>
      <w:numPr>
        <w:numId w:val="10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1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2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3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3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3"/>
      </w:numPr>
    </w:pPr>
  </w:style>
  <w:style w:type="paragraph" w:customStyle="1" w:styleId="ListNumber1">
    <w:name w:val="List Number 1"/>
    <w:basedOn w:val="Text1"/>
    <w:pPr>
      <w:numPr>
        <w:numId w:val="14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4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4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4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5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5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5"/>
      </w:numPr>
      <w:tabs>
        <w:tab w:val="clear" w:pos="2160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6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6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6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7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7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7"/>
      </w:numPr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ZCom">
    <w:name w:val="Z_Com"/>
    <w:basedOn w:val="Normal"/>
    <w:next w:val="ZDGName"/>
    <w:pPr>
      <w:widowControl w:val="0"/>
      <w:spacing w:after="0"/>
      <w:ind w:right="85"/>
    </w:pPr>
    <w:rPr>
      <w:rFonts w:ascii="Arial" w:hAnsi="Arial"/>
      <w:snapToGrid w:val="0"/>
      <w:lang w:eastAsia="en-US"/>
    </w:rPr>
  </w:style>
  <w:style w:type="paragraph" w:customStyle="1" w:styleId="ZDGName">
    <w:name w:val="Z_DGName"/>
    <w:basedOn w:val="Normal"/>
    <w:pPr>
      <w:widowControl w:val="0"/>
      <w:spacing w:after="0"/>
      <w:ind w:right="85"/>
      <w:jc w:val="left"/>
    </w:pPr>
    <w:rPr>
      <w:rFonts w:ascii="Arial" w:hAnsi="Arial"/>
      <w:snapToGrid w:val="0"/>
      <w:sz w:val="16"/>
      <w:lang w:eastAsia="en-US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character" w:customStyle="1" w:styleId="DefaultMargins">
    <w:name w:val="DefaultMargins"/>
    <w:basedOn w:val="DefaultParagraphFont"/>
    <w:rPr>
      <w:rFonts w:ascii="Courier New" w:hAnsi="Courier New"/>
      <w:noProof w:val="0"/>
      <w:sz w:val="20"/>
      <w:lang w:val="en-US"/>
    </w:rPr>
  </w:style>
  <w:style w:type="paragraph" w:customStyle="1" w:styleId="Initial">
    <w:name w:val="Initial"/>
    <w:pPr>
      <w:tabs>
        <w:tab w:val="left" w:pos="-720"/>
      </w:tabs>
      <w:suppressAutoHyphens/>
      <w:jc w:val="both"/>
    </w:pPr>
    <w:rPr>
      <w:spacing w:val="-3"/>
      <w:sz w:val="24"/>
      <w:lang w:val="en-US"/>
    </w:rPr>
  </w:style>
  <w:style w:type="paragraph" w:customStyle="1" w:styleId="Statut">
    <w:name w:val="Statut"/>
    <w:basedOn w:val="Normal"/>
    <w:next w:val="Normal"/>
    <w:pPr>
      <w:spacing w:before="360" w:after="0"/>
      <w:jc w:val="center"/>
    </w:pPr>
    <w:rPr>
      <w:lang w:val="en-GB"/>
    </w:rPr>
  </w:style>
  <w:style w:type="paragraph" w:customStyle="1" w:styleId="Dput">
    <w:name w:val="Député"/>
    <w:basedOn w:val="Normal"/>
    <w:pPr>
      <w:widowControl w:val="0"/>
      <w:ind w:left="1418"/>
      <w:jc w:val="left"/>
    </w:pPr>
    <w:rPr>
      <w:snapToGrid w:val="0"/>
      <w:lang w:val="en-GB" w:eastAsia="en-US"/>
    </w:rPr>
  </w:style>
  <w:style w:type="paragraph" w:customStyle="1" w:styleId="Rfrencesproposition">
    <w:name w:val="Références proposition"/>
    <w:basedOn w:val="Normal"/>
    <w:next w:val="Normal"/>
    <w:pPr>
      <w:widowControl w:val="0"/>
      <w:spacing w:after="480"/>
      <w:ind w:left="1418"/>
      <w:jc w:val="left"/>
    </w:pPr>
    <w:rPr>
      <w:snapToGrid w:val="0"/>
      <w:lang w:val="en-GB" w:eastAsia="en-US"/>
    </w:rPr>
  </w:style>
  <w:style w:type="paragraph" w:customStyle="1" w:styleId="Typedudocument">
    <w:name w:val="Type du document"/>
    <w:basedOn w:val="Normal"/>
    <w:next w:val="Normal"/>
    <w:pPr>
      <w:spacing w:before="360" w:after="0"/>
      <w:jc w:val="center"/>
    </w:pPr>
    <w:rPr>
      <w:b/>
      <w:lang w:val="en-GB"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  <w:lang w:val="en-GB"/>
    </w:rPr>
  </w:style>
  <w:style w:type="character" w:customStyle="1" w:styleId="Marker">
    <w:name w:val="Marker"/>
    <w:basedOn w:val="DefaultParagraphFont"/>
    <w:rPr>
      <w:noProof w:val="0"/>
      <w:color w:val="0000FF"/>
      <w:lang w:val="en-GB"/>
    </w:rPr>
  </w:style>
  <w:style w:type="paragraph" w:customStyle="1" w:styleId="Rfrenceinstitutionelle">
    <w:name w:val="Référence institutionelle"/>
    <w:basedOn w:val="Normal"/>
    <w:next w:val="Normal"/>
    <w:pPr>
      <w:ind w:left="5103"/>
      <w:jc w:val="left"/>
    </w:pPr>
    <w:rPr>
      <w:lang w:val="en-GB"/>
    </w:rPr>
  </w:style>
  <w:style w:type="paragraph" w:customStyle="1" w:styleId="PointDouble0">
    <w:name w:val="PointDouble 0"/>
    <w:basedOn w:val="Normal"/>
    <w:pPr>
      <w:tabs>
        <w:tab w:val="left" w:pos="851"/>
      </w:tabs>
      <w:spacing w:before="120" w:after="120"/>
      <w:ind w:left="1418" w:hanging="1418"/>
    </w:pPr>
    <w:rPr>
      <w:lang w:val="de-D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ideTWBExt">
    <w:name w:val="HideTWBExt"/>
    <w:basedOn w:val="DefaultParagraphFont"/>
    <w:rPr>
      <w:rFonts w:ascii="Arial" w:hAnsi="Arial"/>
      <w:noProof/>
      <w:vanish/>
      <w:color w:val="000080"/>
      <w:sz w:val="16"/>
    </w:rPr>
  </w:style>
  <w:style w:type="paragraph" w:customStyle="1" w:styleId="TextToAmendAM">
    <w:name w:val="Text To Amend AM"/>
    <w:basedOn w:val="Normal"/>
    <w:pPr>
      <w:tabs>
        <w:tab w:val="left" w:pos="-720"/>
      </w:tabs>
      <w:spacing w:after="480"/>
      <w:jc w:val="left"/>
    </w:pPr>
    <w:rPr>
      <w:lang w:val="en-GB"/>
    </w:rPr>
  </w:style>
  <w:style w:type="character" w:customStyle="1" w:styleId="HideTWBInt">
    <w:name w:val="HideTWBInt"/>
    <w:basedOn w:val="DefaultParagraphFont"/>
    <w:rPr>
      <w:vanish/>
      <w:color w:val="808080"/>
    </w:rPr>
  </w:style>
  <w:style w:type="paragraph" w:customStyle="1" w:styleId="ManualHeading2">
    <w:name w:val="Manual Heading 2"/>
    <w:basedOn w:val="Heading2"/>
    <w:next w:val="Text2"/>
    <w:pPr>
      <w:tabs>
        <w:tab w:val="num" w:pos="851"/>
      </w:tabs>
      <w:spacing w:before="120" w:after="120"/>
      <w:ind w:left="851" w:hanging="851"/>
    </w:pPr>
    <w:rPr>
      <w:lang w:val="en-GB"/>
    </w:rPr>
  </w:style>
  <w:style w:type="character" w:styleId="Emphasis">
    <w:name w:val="Emphasis"/>
    <w:basedOn w:val="DefaultParagraphFont"/>
    <w:qFormat/>
    <w:rPr>
      <w:i/>
    </w:rPr>
  </w:style>
  <w:style w:type="paragraph" w:customStyle="1" w:styleId="Tiret0">
    <w:name w:val="Tiret 0"/>
    <w:basedOn w:val="Normal"/>
    <w:pPr>
      <w:spacing w:before="120" w:after="120"/>
      <w:ind w:left="851" w:hanging="851"/>
    </w:pPr>
    <w:rPr>
      <w:lang w:val="en-GB"/>
    </w:rPr>
  </w:style>
  <w:style w:type="paragraph" w:customStyle="1" w:styleId="ATHeading3">
    <w:name w:val="AT Heading 3"/>
    <w:basedOn w:val="Normal"/>
    <w:next w:val="Normal"/>
    <w:pPr>
      <w:keepNext/>
      <w:keepLines/>
      <w:spacing w:before="120" w:after="120"/>
      <w:jc w:val="left"/>
      <w:outlineLvl w:val="2"/>
    </w:pPr>
    <w:rPr>
      <w:b/>
      <w:noProof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b/>
      <w:lang w:val="en-GB"/>
    </w:rPr>
  </w:style>
  <w:style w:type="paragraph" w:customStyle="1" w:styleId="Par-dash">
    <w:name w:val="Par-dash"/>
    <w:basedOn w:val="Normal"/>
    <w:next w:val="Normal"/>
    <w:pPr>
      <w:widowControl w:val="0"/>
      <w:numPr>
        <w:numId w:val="18"/>
      </w:numPr>
      <w:spacing w:after="0" w:line="360" w:lineRule="auto"/>
      <w:jc w:val="left"/>
    </w:pPr>
    <w:rPr>
      <w:lang w:val="en-GB"/>
    </w:rPr>
  </w:style>
  <w:style w:type="paragraph" w:customStyle="1" w:styleId="Rfrencestatut">
    <w:name w:val="Référence statut"/>
    <w:basedOn w:val="Normal"/>
    <w:next w:val="Normal"/>
    <w:pPr>
      <w:keepNext/>
      <w:keepLines/>
      <w:widowControl w:val="0"/>
      <w:spacing w:after="0"/>
      <w:jc w:val="right"/>
    </w:pPr>
    <w:rPr>
      <w:rFonts w:ascii="Arial" w:hAnsi="Arial"/>
      <w:snapToGrid w:val="0"/>
      <w:lang w:val="en-GB" w:eastAsia="en-US"/>
    </w:rPr>
  </w:style>
  <w:style w:type="character" w:customStyle="1" w:styleId="Point0Char">
    <w:name w:val="Point 0 Char"/>
    <w:basedOn w:val="DefaultParagraphFont"/>
    <w:rPr>
      <w:noProof w:val="0"/>
      <w:sz w:val="24"/>
      <w:lang w:val="fr-FR" w:eastAsia="ko-KR" w:bidi="ar-SA"/>
    </w:rPr>
  </w:style>
  <w:style w:type="paragraph" w:customStyle="1" w:styleId="ManualHeading3">
    <w:name w:val="Manual Heading 3"/>
    <w:basedOn w:val="Heading3"/>
    <w:next w:val="Text3"/>
    <w:pPr>
      <w:tabs>
        <w:tab w:val="num" w:pos="851"/>
      </w:tabs>
      <w:spacing w:before="120" w:after="120"/>
      <w:ind w:left="850" w:hanging="850"/>
    </w:pPr>
    <w:rPr>
      <w:lang w:val="en-GB"/>
    </w:rPr>
  </w:style>
  <w:style w:type="paragraph" w:customStyle="1" w:styleId="titreobjet0">
    <w:name w:val="titreobjet"/>
    <w:basedOn w:val="Normal"/>
    <w:pPr>
      <w:snapToGrid w:val="0"/>
      <w:spacing w:after="0"/>
      <w:ind w:left="1418"/>
      <w:jc w:val="left"/>
    </w:pPr>
    <w:rPr>
      <w:lang w:val="en-GB"/>
    </w:rPr>
  </w:style>
  <w:style w:type="paragraph" w:customStyle="1" w:styleId="text10">
    <w:name w:val="text1"/>
    <w:basedOn w:val="Normal"/>
    <w:pPr>
      <w:ind w:left="482"/>
    </w:pPr>
    <w:rPr>
      <w:lang w:val="en-GB"/>
    </w:rPr>
  </w:style>
  <w:style w:type="paragraph" w:customStyle="1" w:styleId="notehead0">
    <w:name w:val="notehead"/>
    <w:basedOn w:val="Normal"/>
    <w:pPr>
      <w:spacing w:before="720" w:after="720"/>
      <w:jc w:val="center"/>
    </w:pPr>
    <w:rPr>
      <w:b/>
      <w:smallCaps/>
      <w:lang w:val="en-GB"/>
    </w:rPr>
  </w:style>
  <w:style w:type="paragraph" w:customStyle="1" w:styleId="numpar10">
    <w:name w:val="numpar1"/>
    <w:basedOn w:val="Normal"/>
    <w:pPr>
      <w:ind w:left="480" w:hanging="480"/>
    </w:pPr>
    <w:rPr>
      <w:lang w:val="en-GB"/>
    </w:rPr>
  </w:style>
  <w:style w:type="paragraph" w:customStyle="1" w:styleId="Point0">
    <w:name w:val="Point 0"/>
    <w:basedOn w:val="Normal"/>
    <w:rsid w:val="00027C0D"/>
    <w:pPr>
      <w:spacing w:before="120" w:after="120"/>
      <w:ind w:left="850" w:hanging="850"/>
    </w:pPr>
    <w:rPr>
      <w:lang w:val="en-GB"/>
    </w:rPr>
  </w:style>
  <w:style w:type="paragraph" w:customStyle="1" w:styleId="Rfrenceinterinstitutionelle">
    <w:name w:val="Référence interinstitutionelle"/>
    <w:basedOn w:val="Normal"/>
    <w:next w:val="Normal"/>
    <w:rsid w:val="00027C0D"/>
    <w:pPr>
      <w:spacing w:after="0"/>
      <w:ind w:left="5103"/>
      <w:jc w:val="left"/>
    </w:pPr>
    <w:rPr>
      <w:lang w:val="en-GB"/>
    </w:rPr>
  </w:style>
  <w:style w:type="paragraph" w:customStyle="1" w:styleId="5Normal">
    <w:name w:val="5 Normal"/>
    <w:rsid w:val="002B48C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jc w:val="both"/>
    </w:pPr>
    <w:rPr>
      <w:spacing w:val="-2"/>
      <w:sz w:val="24"/>
      <w:szCs w:val="24"/>
    </w:rPr>
  </w:style>
  <w:style w:type="paragraph" w:customStyle="1" w:styleId="normal0">
    <w:name w:val="normal"/>
    <w:rsid w:val="002225CB"/>
    <w:pPr>
      <w:spacing w:after="170"/>
      <w:jc w:val="both"/>
    </w:pPr>
    <w:rPr>
      <w:rFonts w:ascii="Helvetica" w:hAnsi="Helvetica"/>
      <w:snapToGrid w:val="0"/>
      <w:color w:val="000000"/>
      <w:lang w:eastAsia="en-US"/>
    </w:rPr>
  </w:style>
  <w:style w:type="paragraph" w:customStyle="1" w:styleId="paragraphe1">
    <w:name w:val="paragraphe1"/>
    <w:basedOn w:val="normal0"/>
    <w:rsid w:val="002225CB"/>
    <w:pPr>
      <w:tabs>
        <w:tab w:val="left" w:pos="283"/>
      </w:tabs>
      <w:ind w:left="283" w:hanging="283"/>
    </w:pPr>
    <w:rPr>
      <w:color w:val="auto"/>
    </w:rPr>
  </w:style>
  <w:style w:type="paragraph" w:customStyle="1" w:styleId="Normal12Centre">
    <w:name w:val="Normal12Centre"/>
    <w:basedOn w:val="Normal"/>
    <w:rsid w:val="00CB6982"/>
    <w:pPr>
      <w:widowControl w:val="0"/>
      <w:jc w:val="center"/>
    </w:pPr>
    <w:rPr>
      <w:lang w:val="en-GB"/>
    </w:rPr>
  </w:style>
  <w:style w:type="paragraph" w:customStyle="1" w:styleId="Normal12Italic">
    <w:name w:val="Normal12Italic"/>
    <w:basedOn w:val="Normal"/>
    <w:rsid w:val="00CB6982"/>
    <w:pPr>
      <w:widowControl w:val="0"/>
      <w:jc w:val="left"/>
    </w:pPr>
    <w:rPr>
      <w:i/>
      <w:lang w:val="en-GB"/>
    </w:rPr>
  </w:style>
  <w:style w:type="paragraph" w:customStyle="1" w:styleId="Normal12Center">
    <w:name w:val="Normal12Center"/>
    <w:basedOn w:val="Normal"/>
    <w:rsid w:val="00CB6982"/>
    <w:pPr>
      <w:widowControl w:val="0"/>
      <w:jc w:val="center"/>
    </w:pPr>
    <w:rPr>
      <w:lang w:val="en-GB"/>
    </w:rPr>
  </w:style>
  <w:style w:type="table" w:styleId="TableGrid">
    <w:name w:val="Table Grid"/>
    <w:basedOn w:val="TableNormal"/>
    <w:rsid w:val="00D8475E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ualNumPar1">
    <w:name w:val="Manual NumPar 1"/>
    <w:basedOn w:val="Normal"/>
    <w:next w:val="Normal"/>
    <w:rsid w:val="00DF4D78"/>
    <w:pPr>
      <w:spacing w:before="120" w:after="120"/>
      <w:ind w:left="851" w:hanging="851"/>
    </w:pPr>
    <w:rPr>
      <w:lang w:val="en-GB"/>
    </w:rPr>
  </w:style>
  <w:style w:type="paragraph" w:customStyle="1" w:styleId="ManualNumPar2">
    <w:name w:val="Manual NumPar 2"/>
    <w:basedOn w:val="Normal"/>
    <w:next w:val="Normal"/>
    <w:rsid w:val="002862E0"/>
    <w:pPr>
      <w:spacing w:before="120" w:after="120"/>
      <w:ind w:left="851" w:hanging="851"/>
    </w:pPr>
    <w:rPr>
      <w:lang w:val="en-GB"/>
    </w:rPr>
  </w:style>
  <w:style w:type="paragraph" w:customStyle="1" w:styleId="CoverNormal">
    <w:name w:val="CoverNormal"/>
    <w:basedOn w:val="Normal"/>
    <w:rsid w:val="00547AE2"/>
    <w:pPr>
      <w:widowControl w:val="0"/>
      <w:spacing w:after="0"/>
      <w:ind w:left="1418"/>
      <w:jc w:val="left"/>
    </w:pPr>
    <w:rPr>
      <w:lang w:val="en-GB"/>
    </w:rPr>
  </w:style>
  <w:style w:type="paragraph" w:customStyle="1" w:styleId="RefStatus">
    <w:name w:val="RefStatus"/>
    <w:basedOn w:val="Normal"/>
    <w:rsid w:val="005C6CA2"/>
    <w:pPr>
      <w:widowControl w:val="0"/>
      <w:spacing w:after="0"/>
      <w:jc w:val="right"/>
    </w:pPr>
    <w:rPr>
      <w:rFonts w:ascii="Arial" w:hAnsi="Arial"/>
      <w:caps/>
      <w:lang w:val="en-GB"/>
    </w:rPr>
  </w:style>
  <w:style w:type="paragraph" w:styleId="NormalWeb">
    <w:name w:val="Normal (Web)"/>
    <w:basedOn w:val="Normal"/>
    <w:rsid w:val="005C6CA2"/>
    <w:pPr>
      <w:spacing w:before="100" w:beforeAutospacing="1" w:after="100" w:afterAutospacing="1"/>
      <w:jc w:val="left"/>
    </w:pPr>
    <w:rPr>
      <w:szCs w:val="24"/>
      <w:lang w:val="en-GB"/>
    </w:rPr>
  </w:style>
  <w:style w:type="paragraph" w:styleId="BalloonText">
    <w:name w:val="Balloon Text"/>
    <w:basedOn w:val="Normal"/>
    <w:semiHidden/>
    <w:rsid w:val="00F01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not.dot</Template>
  <TotalTime>0</TotalTime>
  <Pages>11</Pages>
  <Words>1842</Words>
  <Characters>10504</Characters>
  <Application>Microsoft Office Word</Application>
  <DocSecurity>0</DocSecurity>
  <PresentationFormat>Microsoft Word 8.0b</PresentationFormat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 WERKER</dc:creator>
  <cp:keywords>EL4</cp:keywords>
  <cp:lastModifiedBy>GALLONE Frederic</cp:lastModifiedBy>
  <cp:revision>2</cp:revision>
  <cp:lastPrinted>2005-01-12T09:47:00Z</cp:lastPrinted>
  <dcterms:created xsi:type="dcterms:W3CDTF">2024-10-17T15:50:00Z</dcterms:created>
  <dcterms:modified xsi:type="dcterms:W3CDTF">2024-10-17T15:50:00Z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4.1.3.4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 [20010706]</vt:lpwstr>
  </property>
  <property fmtid="{D5CDD505-2E9C-101B-9397-08002B2CF9AE}" pid="6" name="Last edited using">
    <vt:lpwstr>EL 4.1eTp XP1 [20020325]</vt:lpwstr>
  </property>
  <property fmtid="{D5CDD505-2E9C-101B-9397-08002B2CF9AE}" pid="7" name="EL_Author">
    <vt:lpwstr>M. WERKER</vt:lpwstr>
  </property>
  <property fmtid="{D5CDD505-2E9C-101B-9397-08002B2CF9AE}" pid="8" name="Type">
    <vt:lpwstr>Eurolook Note &amp; Letter</vt:lpwstr>
  </property>
  <property fmtid="{D5CDD505-2E9C-101B-9397-08002B2CF9AE}" pid="9" name="Language">
    <vt:lpwstr>FR</vt:lpwstr>
  </property>
  <property fmtid="{D5CDD505-2E9C-101B-9397-08002B2CF9AE}" pid="10" name="EL_Language">
    <vt:lpwstr>FR</vt:lpwstr>
  </property>
  <property fmtid="{D5CDD505-2E9C-101B-9397-08002B2CF9AE}" pid="11" name="Formatting">
    <vt:lpwstr>4.1</vt:lpwstr>
  </property>
  <property fmtid="{D5CDD505-2E9C-101B-9397-08002B2CF9AE}" pid="12" name="_AdHocReviewCycleID">
    <vt:i4>2059141537</vt:i4>
  </property>
  <property fmtid="{D5CDD505-2E9C-101B-9397-08002B2CF9AE}" pid="13" name="_EmailSubject">
    <vt:lpwstr>Communication novembre</vt:lpwstr>
  </property>
  <property fmtid="{D5CDD505-2E9C-101B-9397-08002B2CF9AE}" pid="14" name="_AuthorEmail">
    <vt:lpwstr>Anna.KARAMARKOU@cec.eu.int</vt:lpwstr>
  </property>
  <property fmtid="{D5CDD505-2E9C-101B-9397-08002B2CF9AE}" pid="15" name="_AuthorEmailDisplayName">
    <vt:lpwstr>KARAMARKOU Anna (SG)</vt:lpwstr>
  </property>
  <property fmtid="{D5CDD505-2E9C-101B-9397-08002B2CF9AE}" pid="16" name="_PreviousAdHocReviewCycleID">
    <vt:i4>-2015135424</vt:i4>
  </property>
  <property fmtid="{D5CDD505-2E9C-101B-9397-08002B2CF9AE}" pid="17" name="_ReviewingToolsShownOnce">
    <vt:lpwstr/>
  </property>
</Properties>
</file>