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814"/>
        <w:gridCol w:w="7655"/>
      </w:tblGrid>
      <w:tr w:rsidR="0063420F" w:rsidRPr="00507AB4">
        <w:tblPrEx>
          <w:tblCellMar>
            <w:top w:w="0" w:type="dxa"/>
            <w:left w:w="0" w:type="dxa"/>
            <w:bottom w:w="0" w:type="dxa"/>
            <w:right w:w="0" w:type="dxa"/>
          </w:tblCellMar>
        </w:tblPrEx>
        <w:trPr>
          <w:trHeight w:val="1440"/>
        </w:trPr>
        <w:tc>
          <w:tcPr>
            <w:tcW w:w="1814" w:type="dxa"/>
          </w:tcPr>
          <w:p w:rsidR="0063420F" w:rsidRPr="00507AB4" w:rsidRDefault="0031656D">
            <w:pPr>
              <w:jc w:val="left"/>
            </w:pPr>
            <w:bookmarkStart w:id="0" w:name="_GoBack"/>
            <w:bookmarkEnd w:id="0"/>
            <w:r w:rsidRPr="00507AB4">
              <w:rPr>
                <w:noProof/>
                <w:sz w:val="20"/>
                <w:lang w:val="en-GB"/>
              </w:rPr>
              <w:drawing>
                <wp:inline distT="0" distB="0" distL="0" distR="0">
                  <wp:extent cx="100965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676275"/>
                          </a:xfrm>
                          <a:prstGeom prst="rect">
                            <a:avLst/>
                          </a:prstGeom>
                          <a:noFill/>
                          <a:ln>
                            <a:noFill/>
                          </a:ln>
                        </pic:spPr>
                      </pic:pic>
                    </a:graphicData>
                  </a:graphic>
                </wp:inline>
              </w:drawing>
            </w:r>
          </w:p>
        </w:tc>
        <w:tc>
          <w:tcPr>
            <w:tcW w:w="7655" w:type="dxa"/>
          </w:tcPr>
          <w:p w:rsidR="0063420F" w:rsidRPr="00507AB4" w:rsidRDefault="0063420F">
            <w:pPr>
              <w:pStyle w:val="ZCom"/>
              <w:widowControl/>
            </w:pPr>
            <w:r w:rsidRPr="00507AB4">
              <w:t>COMMISSION EUROPÉENNE</w:t>
            </w:r>
          </w:p>
          <w:p w:rsidR="0063420F" w:rsidRPr="00507AB4" w:rsidRDefault="0063420F">
            <w:pPr>
              <w:pStyle w:val="ZDGName"/>
              <w:widowControl/>
            </w:pPr>
            <w:r w:rsidRPr="00507AB4">
              <w:t>SECRÉTARIAT GÉNÉRAL</w:t>
            </w:r>
          </w:p>
          <w:p w:rsidR="0063420F" w:rsidRPr="00507AB4" w:rsidRDefault="0063420F">
            <w:pPr>
              <w:pStyle w:val="ZDGName"/>
              <w:widowControl/>
            </w:pPr>
            <w:r w:rsidRPr="00507AB4">
              <w:t xml:space="preserve">Direction </w:t>
            </w:r>
            <w:r w:rsidR="00AF7FA9" w:rsidRPr="00507AB4">
              <w:t>G</w:t>
            </w:r>
          </w:p>
          <w:p w:rsidR="0063420F" w:rsidRPr="00507AB4" w:rsidRDefault="0063420F">
            <w:pPr>
              <w:pStyle w:val="ZDGName"/>
              <w:widowControl/>
            </w:pPr>
            <w:r w:rsidRPr="00507AB4">
              <w:rPr>
                <w:b/>
              </w:rPr>
              <w:t xml:space="preserve">Relations avec le Parlement européen, le </w:t>
            </w:r>
            <w:r w:rsidR="00AF7FA9" w:rsidRPr="00507AB4">
              <w:rPr>
                <w:b/>
              </w:rPr>
              <w:t>M</w:t>
            </w:r>
            <w:r w:rsidRPr="00507AB4">
              <w:rPr>
                <w:b/>
              </w:rPr>
              <w:t>édiateur européen, le Comité économique et social européen</w:t>
            </w:r>
            <w:r w:rsidR="00AF7FA9" w:rsidRPr="00507AB4">
              <w:rPr>
                <w:b/>
              </w:rPr>
              <w:t>,</w:t>
            </w:r>
            <w:r w:rsidRPr="00507AB4">
              <w:rPr>
                <w:b/>
              </w:rPr>
              <w:t xml:space="preserve"> le Comité des </w:t>
            </w:r>
            <w:r w:rsidR="00AF7FA9" w:rsidRPr="00507AB4">
              <w:rPr>
                <w:b/>
              </w:rPr>
              <w:t>R</w:t>
            </w:r>
            <w:r w:rsidRPr="00507AB4">
              <w:rPr>
                <w:b/>
              </w:rPr>
              <w:t>égions</w:t>
            </w:r>
            <w:r w:rsidR="00AF7FA9" w:rsidRPr="00507AB4">
              <w:rPr>
                <w:b/>
              </w:rPr>
              <w:t xml:space="preserve"> et les Parlements nationaux</w:t>
            </w:r>
          </w:p>
          <w:p w:rsidR="0063420F" w:rsidRPr="00507AB4" w:rsidRDefault="0063420F">
            <w:pPr>
              <w:spacing w:after="0"/>
            </w:pPr>
          </w:p>
        </w:tc>
      </w:tr>
    </w:tbl>
    <w:p w:rsidR="0063420F" w:rsidRPr="00507AB4" w:rsidRDefault="0063420F">
      <w:pPr>
        <w:pStyle w:val="Date"/>
      </w:pPr>
      <w:r w:rsidRPr="00507AB4">
        <w:t>Bruxelles, le</w:t>
      </w:r>
      <w:r w:rsidR="00C63385" w:rsidRPr="00507AB4">
        <w:t xml:space="preserve"> </w:t>
      </w:r>
      <w:r w:rsidR="006A56EE" w:rsidRPr="00507AB4">
        <w:t>3</w:t>
      </w:r>
      <w:r w:rsidR="00C100B0" w:rsidRPr="00507AB4">
        <w:t>1</w:t>
      </w:r>
      <w:r w:rsidR="001556D4" w:rsidRPr="00507AB4">
        <w:t xml:space="preserve"> mars 2005</w:t>
      </w:r>
    </w:p>
    <w:p w:rsidR="0063420F" w:rsidRPr="00507AB4" w:rsidRDefault="0063420F">
      <w:pPr>
        <w:pStyle w:val="References"/>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0"/>
        <w:gridCol w:w="2976"/>
        <w:gridCol w:w="786"/>
      </w:tblGrid>
      <w:tr w:rsidR="0063420F" w:rsidRPr="00507AB4">
        <w:tblPrEx>
          <w:tblCellMar>
            <w:top w:w="0" w:type="dxa"/>
            <w:bottom w:w="0" w:type="dxa"/>
          </w:tblCellMar>
        </w:tblPrEx>
        <w:trPr>
          <w:cantSplit/>
        </w:trPr>
        <w:tc>
          <w:tcPr>
            <w:tcW w:w="5070" w:type="dxa"/>
            <w:tcBorders>
              <w:top w:val="nil"/>
              <w:left w:val="nil"/>
              <w:bottom w:val="nil"/>
              <w:right w:val="nil"/>
            </w:tcBorders>
          </w:tcPr>
          <w:p w:rsidR="0063420F" w:rsidRPr="00507AB4" w:rsidRDefault="0063420F">
            <w:r w:rsidRPr="00507AB4">
              <w:rPr>
                <w:b/>
              </w:rPr>
              <w:t>SP(200</w:t>
            </w:r>
            <w:r w:rsidR="006D5D05" w:rsidRPr="00507AB4">
              <w:rPr>
                <w:b/>
              </w:rPr>
              <w:t>5</w:t>
            </w:r>
            <w:r w:rsidRPr="00507AB4">
              <w:rPr>
                <w:b/>
              </w:rPr>
              <w:t>)</w:t>
            </w:r>
            <w:r w:rsidR="00667177" w:rsidRPr="00507AB4">
              <w:rPr>
                <w:b/>
              </w:rPr>
              <w:t>1076</w:t>
            </w:r>
            <w:r w:rsidR="00C100B0" w:rsidRPr="00507AB4">
              <w:rPr>
                <w:b/>
              </w:rPr>
              <w:t>/2</w:t>
            </w:r>
          </w:p>
        </w:tc>
        <w:tc>
          <w:tcPr>
            <w:tcW w:w="2976" w:type="dxa"/>
            <w:tcBorders>
              <w:top w:val="nil"/>
              <w:left w:val="nil"/>
              <w:bottom w:val="nil"/>
              <w:right w:val="nil"/>
            </w:tcBorders>
          </w:tcPr>
          <w:p w:rsidR="00E43ECD" w:rsidRPr="00507AB4" w:rsidRDefault="00E43ECD" w:rsidP="008D27CC">
            <w:pPr>
              <w:spacing w:after="0"/>
            </w:pPr>
          </w:p>
        </w:tc>
        <w:tc>
          <w:tcPr>
            <w:tcW w:w="786" w:type="dxa"/>
            <w:tcBorders>
              <w:top w:val="nil"/>
              <w:left w:val="nil"/>
              <w:bottom w:val="nil"/>
              <w:right w:val="nil"/>
            </w:tcBorders>
          </w:tcPr>
          <w:p w:rsidR="0063420F" w:rsidRPr="00507AB4" w:rsidRDefault="0063420F"/>
        </w:tc>
      </w:tr>
    </w:tbl>
    <w:p w:rsidR="0063420F" w:rsidRPr="00507AB4" w:rsidRDefault="0063420F">
      <w:pPr>
        <w:spacing w:after="120"/>
        <w:rPr>
          <w:sz w:val="48"/>
        </w:rPr>
      </w:pPr>
    </w:p>
    <w:p w:rsidR="0063420F" w:rsidRPr="00507AB4" w:rsidRDefault="0063420F">
      <w:pPr>
        <w:jc w:val="center"/>
        <w:rPr>
          <w:b/>
          <w:sz w:val="48"/>
        </w:rPr>
      </w:pPr>
    </w:p>
    <w:p w:rsidR="0063420F" w:rsidRPr="00507AB4" w:rsidRDefault="0063420F">
      <w:pPr>
        <w:jc w:val="center"/>
        <w:rPr>
          <w:b/>
          <w:sz w:val="48"/>
        </w:rPr>
      </w:pPr>
      <w:r w:rsidRPr="00507AB4">
        <w:rPr>
          <w:b/>
          <w:sz w:val="48"/>
        </w:rPr>
        <w:t>Communication de la Commission</w:t>
      </w:r>
      <w:r w:rsidRPr="00507AB4">
        <w:rPr>
          <w:b/>
          <w:sz w:val="48"/>
        </w:rPr>
        <w:br/>
        <w:t>sur les suites données aux avis et résolutions adoptés par le Parlement européen lors de</w:t>
      </w:r>
      <w:r w:rsidR="0074436B" w:rsidRPr="00507AB4">
        <w:rPr>
          <w:b/>
          <w:sz w:val="48"/>
        </w:rPr>
        <w:t xml:space="preserve"> </w:t>
      </w:r>
      <w:r w:rsidR="00FE59C7" w:rsidRPr="00507AB4">
        <w:rPr>
          <w:b/>
          <w:sz w:val="48"/>
        </w:rPr>
        <w:t xml:space="preserve">la </w:t>
      </w:r>
      <w:r w:rsidRPr="00507AB4">
        <w:rPr>
          <w:b/>
          <w:sz w:val="48"/>
        </w:rPr>
        <w:t>session</w:t>
      </w:r>
      <w:r w:rsidR="00FE59C7" w:rsidRPr="00507AB4">
        <w:rPr>
          <w:b/>
          <w:sz w:val="48"/>
        </w:rPr>
        <w:t xml:space="preserve"> </w:t>
      </w:r>
      <w:r w:rsidRPr="00507AB4">
        <w:rPr>
          <w:b/>
          <w:sz w:val="48"/>
        </w:rPr>
        <w:t>d</w:t>
      </w:r>
      <w:r w:rsidR="0074436B" w:rsidRPr="00507AB4">
        <w:rPr>
          <w:b/>
          <w:sz w:val="48"/>
        </w:rPr>
        <w:t xml:space="preserve">e </w:t>
      </w:r>
      <w:r w:rsidR="00FE59C7" w:rsidRPr="00507AB4">
        <w:rPr>
          <w:b/>
          <w:sz w:val="48"/>
        </w:rPr>
        <w:t>février</w:t>
      </w:r>
      <w:r w:rsidR="00AF7FA9" w:rsidRPr="00507AB4">
        <w:rPr>
          <w:b/>
          <w:sz w:val="48"/>
        </w:rPr>
        <w:t xml:space="preserve"> 2</w:t>
      </w:r>
      <w:r w:rsidRPr="00507AB4">
        <w:rPr>
          <w:b/>
          <w:sz w:val="48"/>
        </w:rPr>
        <w:t>00</w:t>
      </w:r>
      <w:r w:rsidR="00AF7FA9" w:rsidRPr="00507AB4">
        <w:rPr>
          <w:b/>
          <w:sz w:val="48"/>
        </w:rPr>
        <w:t>5</w:t>
      </w:r>
    </w:p>
    <w:p w:rsidR="0063420F" w:rsidRPr="00507AB4" w:rsidRDefault="0063420F">
      <w:pPr>
        <w:rPr>
          <w:b/>
        </w:rPr>
      </w:pPr>
      <w:r w:rsidRPr="00507AB4">
        <w:br w:type="page"/>
      </w:r>
    </w:p>
    <w:p w:rsidR="0063420F" w:rsidRPr="00507AB4" w:rsidRDefault="0063420F">
      <w:pPr>
        <w:rPr>
          <w:b/>
          <w:smallCaps/>
        </w:rPr>
      </w:pPr>
      <w:r w:rsidRPr="00507AB4">
        <w:rPr>
          <w:b/>
          <w:smallCaps/>
        </w:rPr>
        <w:lastRenderedPageBreak/>
        <w:t>Dans la première partie, cette communication informe le Parlement européen sur les suites que la Commission a données aux amendements adoptés par celui</w:t>
      </w:r>
      <w:r w:rsidR="00AF7FA9" w:rsidRPr="00507AB4">
        <w:rPr>
          <w:b/>
          <w:smallCaps/>
        </w:rPr>
        <w:t>-ci</w:t>
      </w:r>
      <w:r w:rsidRPr="00507AB4">
        <w:rPr>
          <w:b/>
          <w:smallCaps/>
        </w:rPr>
        <w:t xml:space="preserve"> sur ses propositions législatives au cours de</w:t>
      </w:r>
      <w:r w:rsidR="00FE59C7" w:rsidRPr="00507AB4">
        <w:rPr>
          <w:b/>
          <w:smallCaps/>
        </w:rPr>
        <w:t xml:space="preserve"> la</w:t>
      </w:r>
      <w:r w:rsidR="00E83B32" w:rsidRPr="00507AB4">
        <w:rPr>
          <w:b/>
          <w:smallCaps/>
        </w:rPr>
        <w:t xml:space="preserve"> </w:t>
      </w:r>
      <w:r w:rsidRPr="00507AB4">
        <w:rPr>
          <w:b/>
          <w:smallCaps/>
        </w:rPr>
        <w:t>session plénière</w:t>
      </w:r>
      <w:r w:rsidR="00290435" w:rsidRPr="00507AB4">
        <w:rPr>
          <w:b/>
          <w:smallCaps/>
        </w:rPr>
        <w:t xml:space="preserve"> </w:t>
      </w:r>
      <w:r w:rsidRPr="00507AB4">
        <w:rPr>
          <w:b/>
          <w:smallCaps/>
        </w:rPr>
        <w:t>du mois d</w:t>
      </w:r>
      <w:r w:rsidR="00E83B32" w:rsidRPr="00507AB4">
        <w:rPr>
          <w:b/>
          <w:smallCaps/>
        </w:rPr>
        <w:t xml:space="preserve">e </w:t>
      </w:r>
      <w:r w:rsidR="00FE59C7" w:rsidRPr="00507AB4">
        <w:rPr>
          <w:b/>
          <w:smallCaps/>
        </w:rPr>
        <w:t>fevrier</w:t>
      </w:r>
      <w:r w:rsidRPr="00507AB4">
        <w:rPr>
          <w:b/>
          <w:smallCaps/>
        </w:rPr>
        <w:t xml:space="preserve"> 200</w:t>
      </w:r>
      <w:r w:rsidR="00AF7FA9" w:rsidRPr="00507AB4">
        <w:rPr>
          <w:b/>
          <w:smallCaps/>
        </w:rPr>
        <w:t>5</w:t>
      </w:r>
      <w:r w:rsidRPr="00507AB4">
        <w:rPr>
          <w:b/>
          <w:smallCaps/>
        </w:rPr>
        <w:t>.</w:t>
      </w:r>
    </w:p>
    <w:p w:rsidR="0063420F" w:rsidRPr="00507AB4" w:rsidRDefault="0063420F">
      <w:pPr>
        <w:rPr>
          <w:b/>
          <w:smallCaps/>
        </w:rPr>
      </w:pPr>
      <w:r w:rsidRPr="00507AB4">
        <w:rPr>
          <w:b/>
          <w:smallCaps/>
        </w:rPr>
        <w:t xml:space="preserve">Dans la deuxième partie, la Commission dresse la liste d'un certain nombre de résolutions </w:t>
      </w:r>
      <w:r w:rsidR="00D33A51" w:rsidRPr="00507AB4">
        <w:rPr>
          <w:b/>
          <w:smallCaps/>
        </w:rPr>
        <w:t>non legislatives</w:t>
      </w:r>
      <w:r w:rsidRPr="00507AB4">
        <w:rPr>
          <w:b/>
          <w:smallCaps/>
        </w:rPr>
        <w:t xml:space="preserve"> adoptées par le </w:t>
      </w:r>
      <w:r w:rsidR="005819F9" w:rsidRPr="00507AB4">
        <w:rPr>
          <w:b/>
          <w:smallCaps/>
        </w:rPr>
        <w:t>p</w:t>
      </w:r>
      <w:r w:rsidRPr="00507AB4">
        <w:rPr>
          <w:b/>
          <w:smallCaps/>
        </w:rPr>
        <w:t>arlement au cours d</w:t>
      </w:r>
      <w:r w:rsidR="00FE59C7" w:rsidRPr="00507AB4">
        <w:rPr>
          <w:b/>
          <w:smallCaps/>
        </w:rPr>
        <w:t>e la</w:t>
      </w:r>
      <w:r w:rsidRPr="00507AB4">
        <w:rPr>
          <w:b/>
          <w:smallCaps/>
        </w:rPr>
        <w:t xml:space="preserve"> meme session plénière</w:t>
      </w:r>
      <w:r w:rsidR="001D7558" w:rsidRPr="00507AB4">
        <w:rPr>
          <w:b/>
          <w:smallCaps/>
        </w:rPr>
        <w:t>,</w:t>
      </w:r>
      <w:r w:rsidRPr="00507AB4">
        <w:rPr>
          <w:b/>
          <w:smallCaps/>
        </w:rPr>
        <w:t xml:space="preserve"> </w:t>
      </w:r>
      <w:r w:rsidR="00D33A51" w:rsidRPr="00507AB4">
        <w:rPr>
          <w:b/>
          <w:smallCaps/>
        </w:rPr>
        <w:t xml:space="preserve">pour lesquelles </w:t>
      </w:r>
      <w:r w:rsidRPr="00507AB4">
        <w:rPr>
          <w:b/>
          <w:smallCaps/>
        </w:rPr>
        <w:t xml:space="preserve">elle </w:t>
      </w:r>
      <w:r w:rsidR="003C5C41" w:rsidRPr="00507AB4">
        <w:rPr>
          <w:b/>
          <w:smallCaps/>
        </w:rPr>
        <w:t>n</w:t>
      </w:r>
      <w:r w:rsidR="009C03AE" w:rsidRPr="00507AB4">
        <w:rPr>
          <w:b/>
          <w:smallCaps/>
        </w:rPr>
        <w:t>’entend pas donner</w:t>
      </w:r>
      <w:r w:rsidRPr="00507AB4">
        <w:rPr>
          <w:b/>
          <w:smallCaps/>
        </w:rPr>
        <w:t xml:space="preserve"> suite </w:t>
      </w:r>
      <w:r w:rsidR="00D33A51" w:rsidRPr="00507AB4">
        <w:rPr>
          <w:b/>
          <w:smallCaps/>
        </w:rPr>
        <w:t>sous forme de fiche</w:t>
      </w:r>
      <w:r w:rsidR="009C03AE" w:rsidRPr="00507AB4">
        <w:rPr>
          <w:b/>
          <w:smallCaps/>
        </w:rPr>
        <w:t xml:space="preserve"> en justifiant les raisons</w:t>
      </w:r>
      <w:r w:rsidRPr="00507AB4">
        <w:rPr>
          <w:b/>
          <w:smallCaps/>
        </w:rPr>
        <w:t>.</w:t>
      </w:r>
    </w:p>
    <w:p w:rsidR="0063420F" w:rsidRPr="00507AB4" w:rsidRDefault="0063420F">
      <w:pPr>
        <w:spacing w:after="0"/>
        <w:rPr>
          <w:b/>
          <w:smallCaps/>
        </w:rPr>
      </w:pPr>
      <w:r w:rsidRPr="00507AB4">
        <w:rPr>
          <w:b/>
          <w:smallCaps/>
        </w:rPr>
        <w:br w:type="page"/>
      </w:r>
    </w:p>
    <w:p w:rsidR="0063420F" w:rsidRPr="00507AB4" w:rsidRDefault="0063420F">
      <w:pPr>
        <w:spacing w:after="0"/>
        <w:jc w:val="center"/>
        <w:rPr>
          <w:b/>
        </w:rPr>
      </w:pPr>
    </w:p>
    <w:p w:rsidR="0063420F" w:rsidRPr="00507AB4" w:rsidRDefault="0063420F">
      <w:pPr>
        <w:spacing w:after="0"/>
        <w:jc w:val="center"/>
        <w:rPr>
          <w:b/>
        </w:rPr>
      </w:pPr>
      <w:r w:rsidRPr="00507AB4">
        <w:rPr>
          <w:b/>
        </w:rPr>
        <w:t>SOMMAIRE</w:t>
      </w:r>
    </w:p>
    <w:p w:rsidR="0063420F" w:rsidRPr="00507AB4" w:rsidRDefault="0063420F">
      <w:pPr>
        <w:spacing w:after="0"/>
        <w:jc w:val="center"/>
      </w:pPr>
    </w:p>
    <w:p w:rsidR="0063420F" w:rsidRPr="00507AB4" w:rsidRDefault="0063420F">
      <w:pPr>
        <w:spacing w:after="0"/>
        <w:jc w:val="center"/>
      </w:pPr>
    </w:p>
    <w:p w:rsidR="0063420F" w:rsidRPr="00507AB4" w:rsidRDefault="0063420F">
      <w:pPr>
        <w:spacing w:after="0"/>
        <w:jc w:val="center"/>
      </w:pPr>
    </w:p>
    <w:p w:rsidR="0063420F" w:rsidRPr="00507AB4" w:rsidRDefault="0063420F">
      <w:pPr>
        <w:spacing w:after="0"/>
        <w:jc w:val="center"/>
      </w:pPr>
    </w:p>
    <w:tbl>
      <w:tblPr>
        <w:tblW w:w="0" w:type="auto"/>
        <w:tblLayout w:type="fixed"/>
        <w:tblLook w:val="0000" w:firstRow="0" w:lastRow="0" w:firstColumn="0" w:lastColumn="0" w:noHBand="0" w:noVBand="0"/>
      </w:tblPr>
      <w:tblGrid>
        <w:gridCol w:w="7621"/>
        <w:gridCol w:w="1134"/>
      </w:tblGrid>
      <w:tr w:rsidR="0063420F" w:rsidRPr="00507AB4">
        <w:tblPrEx>
          <w:tblCellMar>
            <w:top w:w="0" w:type="dxa"/>
            <w:bottom w:w="0" w:type="dxa"/>
          </w:tblCellMar>
        </w:tblPrEx>
        <w:tc>
          <w:tcPr>
            <w:tcW w:w="7621" w:type="dxa"/>
          </w:tcPr>
          <w:p w:rsidR="00D14B7D" w:rsidRPr="00507AB4" w:rsidRDefault="00D14B7D">
            <w:pPr>
              <w:spacing w:after="0"/>
              <w:rPr>
                <w:b/>
              </w:rPr>
            </w:pPr>
          </w:p>
          <w:p w:rsidR="00D14B7D" w:rsidRPr="00507AB4" w:rsidRDefault="00D14B7D">
            <w:pPr>
              <w:spacing w:after="0"/>
              <w:rPr>
                <w:b/>
              </w:rPr>
            </w:pPr>
          </w:p>
          <w:p w:rsidR="0063420F" w:rsidRPr="00507AB4" w:rsidRDefault="0063420F">
            <w:pPr>
              <w:spacing w:after="0"/>
              <w:rPr>
                <w:b/>
                <w:smallCaps/>
              </w:rPr>
            </w:pPr>
            <w:r w:rsidRPr="00507AB4">
              <w:rPr>
                <w:b/>
              </w:rPr>
              <w:t xml:space="preserve">PREMIERE PARTIE – </w:t>
            </w:r>
            <w:r w:rsidRPr="00507AB4">
              <w:rPr>
                <w:b/>
                <w:smallCaps/>
              </w:rPr>
              <w:t>Avis Législatifs</w:t>
            </w:r>
          </w:p>
          <w:p w:rsidR="0063420F" w:rsidRPr="00507AB4" w:rsidRDefault="0063420F">
            <w:pPr>
              <w:spacing w:after="0"/>
              <w:rPr>
                <w:b/>
              </w:rPr>
            </w:pPr>
          </w:p>
        </w:tc>
        <w:tc>
          <w:tcPr>
            <w:tcW w:w="1134" w:type="dxa"/>
          </w:tcPr>
          <w:p w:rsidR="00235AF4" w:rsidRPr="00507AB4" w:rsidRDefault="00235AF4">
            <w:pPr>
              <w:spacing w:after="0"/>
              <w:jc w:val="right"/>
              <w:rPr>
                <w:b/>
              </w:rPr>
            </w:pPr>
          </w:p>
          <w:p w:rsidR="00235AF4" w:rsidRPr="00507AB4" w:rsidRDefault="00235AF4">
            <w:pPr>
              <w:spacing w:after="0"/>
              <w:jc w:val="right"/>
              <w:rPr>
                <w:b/>
              </w:rPr>
            </w:pPr>
          </w:p>
          <w:p w:rsidR="0063420F" w:rsidRPr="00507AB4" w:rsidRDefault="00733657">
            <w:pPr>
              <w:spacing w:after="0"/>
              <w:jc w:val="right"/>
              <w:rPr>
                <w:b/>
              </w:rPr>
            </w:pPr>
            <w:r w:rsidRPr="00507AB4">
              <w:rPr>
                <w:b/>
              </w:rPr>
              <w:t>5</w:t>
            </w:r>
          </w:p>
        </w:tc>
      </w:tr>
      <w:tr w:rsidR="008F213A" w:rsidRPr="00507AB4">
        <w:tblPrEx>
          <w:tblCellMar>
            <w:top w:w="0" w:type="dxa"/>
            <w:bottom w:w="0" w:type="dxa"/>
          </w:tblCellMar>
        </w:tblPrEx>
        <w:tc>
          <w:tcPr>
            <w:tcW w:w="7621" w:type="dxa"/>
          </w:tcPr>
          <w:p w:rsidR="008F213A" w:rsidRPr="00507AB4" w:rsidRDefault="008F213A" w:rsidP="0002436D">
            <w:pPr>
              <w:spacing w:after="0"/>
            </w:pPr>
          </w:p>
          <w:p w:rsidR="008F213A" w:rsidRPr="00507AB4" w:rsidRDefault="008F213A" w:rsidP="0002436D">
            <w:pPr>
              <w:spacing w:after="0"/>
            </w:pPr>
          </w:p>
          <w:p w:rsidR="008F213A" w:rsidRPr="00507AB4" w:rsidRDefault="008F213A" w:rsidP="0002436D">
            <w:pPr>
              <w:spacing w:after="0"/>
              <w:rPr>
                <w:b/>
                <w:smallCaps/>
              </w:rPr>
            </w:pPr>
            <w:r w:rsidRPr="00507AB4">
              <w:rPr>
                <w:b/>
                <w:smallCaps/>
              </w:rPr>
              <w:t xml:space="preserve">Procédure de codecision – </w:t>
            </w:r>
            <w:r w:rsidR="00135E9E" w:rsidRPr="00507AB4">
              <w:rPr>
                <w:b/>
                <w:smallCaps/>
              </w:rPr>
              <w:t>2eme</w:t>
            </w:r>
            <w:r w:rsidRPr="00507AB4">
              <w:rPr>
                <w:b/>
                <w:smallCaps/>
              </w:rPr>
              <w:t xml:space="preserve"> lecture</w:t>
            </w:r>
          </w:p>
          <w:p w:rsidR="008F213A" w:rsidRPr="00507AB4" w:rsidRDefault="008F213A" w:rsidP="0002436D">
            <w:pPr>
              <w:spacing w:after="0"/>
            </w:pPr>
          </w:p>
        </w:tc>
        <w:tc>
          <w:tcPr>
            <w:tcW w:w="1134" w:type="dxa"/>
          </w:tcPr>
          <w:p w:rsidR="008F213A" w:rsidRPr="00507AB4" w:rsidRDefault="008F213A">
            <w:pPr>
              <w:spacing w:after="0"/>
              <w:jc w:val="right"/>
            </w:pPr>
          </w:p>
        </w:tc>
      </w:tr>
      <w:tr w:rsidR="008F213A" w:rsidRPr="00507AB4">
        <w:tblPrEx>
          <w:tblCellMar>
            <w:top w:w="0" w:type="dxa"/>
            <w:bottom w:w="0" w:type="dxa"/>
          </w:tblCellMar>
        </w:tblPrEx>
        <w:tc>
          <w:tcPr>
            <w:tcW w:w="7621" w:type="dxa"/>
          </w:tcPr>
          <w:p w:rsidR="00AF7FA9" w:rsidRPr="00507AB4" w:rsidRDefault="00214FA1" w:rsidP="0002436D">
            <w:pPr>
              <w:spacing w:after="0"/>
            </w:pPr>
            <w:r w:rsidRPr="00507AB4">
              <w:t>Introduction de sanctions en cas d’infractions de pollution</w:t>
            </w:r>
          </w:p>
          <w:p w:rsidR="00214FA1" w:rsidRPr="00507AB4" w:rsidRDefault="00214FA1" w:rsidP="0002436D">
            <w:pPr>
              <w:spacing w:after="0"/>
            </w:pPr>
            <w:r w:rsidRPr="00507AB4">
              <w:t>Corien M. WORTMANN-KOOL – A6-0015/2005</w:t>
            </w:r>
          </w:p>
          <w:p w:rsidR="008F213A" w:rsidRPr="00507AB4" w:rsidRDefault="008F213A" w:rsidP="0002436D">
            <w:pPr>
              <w:spacing w:after="0"/>
            </w:pPr>
          </w:p>
        </w:tc>
        <w:tc>
          <w:tcPr>
            <w:tcW w:w="1134" w:type="dxa"/>
          </w:tcPr>
          <w:p w:rsidR="008F213A" w:rsidRPr="00507AB4" w:rsidRDefault="00BA3616">
            <w:pPr>
              <w:spacing w:after="0"/>
              <w:jc w:val="right"/>
            </w:pPr>
            <w:r w:rsidRPr="00507AB4">
              <w:t>6</w:t>
            </w:r>
          </w:p>
        </w:tc>
      </w:tr>
      <w:tr w:rsidR="00EA2329" w:rsidRPr="00507AB4">
        <w:tblPrEx>
          <w:tblCellMar>
            <w:top w:w="0" w:type="dxa"/>
            <w:bottom w:w="0" w:type="dxa"/>
          </w:tblCellMar>
        </w:tblPrEx>
        <w:tc>
          <w:tcPr>
            <w:tcW w:w="7621" w:type="dxa"/>
          </w:tcPr>
          <w:p w:rsidR="00EA2329" w:rsidRPr="00507AB4" w:rsidRDefault="00214FA1" w:rsidP="0002436D">
            <w:pPr>
              <w:spacing w:after="0"/>
            </w:pPr>
            <w:r w:rsidRPr="00507AB4">
              <w:t>Pratiques commerciales déloyales des entreprises vis-à-vis des consommateurs</w:t>
            </w:r>
          </w:p>
          <w:p w:rsidR="00214FA1" w:rsidRPr="00507AB4" w:rsidRDefault="00214FA1" w:rsidP="0002436D">
            <w:pPr>
              <w:spacing w:after="0"/>
            </w:pPr>
            <w:r w:rsidRPr="00507AB4">
              <w:t>Mercedes BRESSO – A6-0027/2005</w:t>
            </w:r>
          </w:p>
          <w:p w:rsidR="00EA2329" w:rsidRPr="00507AB4" w:rsidRDefault="00EA2329" w:rsidP="0002436D">
            <w:pPr>
              <w:spacing w:after="0"/>
            </w:pPr>
          </w:p>
        </w:tc>
        <w:tc>
          <w:tcPr>
            <w:tcW w:w="1134" w:type="dxa"/>
          </w:tcPr>
          <w:p w:rsidR="00EA2329" w:rsidRPr="00507AB4" w:rsidRDefault="002C1FBF">
            <w:pPr>
              <w:spacing w:after="0"/>
              <w:jc w:val="right"/>
            </w:pPr>
            <w:r w:rsidRPr="00507AB4">
              <w:t>7</w:t>
            </w:r>
          </w:p>
        </w:tc>
      </w:tr>
      <w:tr w:rsidR="00AF7FA9" w:rsidRPr="00507AB4">
        <w:tblPrEx>
          <w:tblCellMar>
            <w:top w:w="0" w:type="dxa"/>
            <w:bottom w:w="0" w:type="dxa"/>
          </w:tblCellMar>
        </w:tblPrEx>
        <w:tc>
          <w:tcPr>
            <w:tcW w:w="7621" w:type="dxa"/>
          </w:tcPr>
          <w:p w:rsidR="00AF7FA9" w:rsidRPr="00507AB4" w:rsidRDefault="00AF7FA9" w:rsidP="0002436D">
            <w:pPr>
              <w:spacing w:after="0"/>
            </w:pPr>
          </w:p>
          <w:p w:rsidR="00EA2329" w:rsidRPr="00507AB4" w:rsidRDefault="00EA2329" w:rsidP="0002436D">
            <w:pPr>
              <w:spacing w:after="0"/>
            </w:pPr>
          </w:p>
          <w:p w:rsidR="00EA2329" w:rsidRPr="00507AB4" w:rsidRDefault="00EA2329" w:rsidP="0002436D">
            <w:pPr>
              <w:spacing w:after="0"/>
            </w:pPr>
            <w:r w:rsidRPr="00507AB4">
              <w:rPr>
                <w:b/>
                <w:smallCaps/>
              </w:rPr>
              <w:t xml:space="preserve">Procédure de codecision – </w:t>
            </w:r>
            <w:r w:rsidR="00135E9E" w:rsidRPr="00507AB4">
              <w:rPr>
                <w:b/>
                <w:smallCaps/>
              </w:rPr>
              <w:t>1ere</w:t>
            </w:r>
            <w:r w:rsidRPr="00507AB4">
              <w:rPr>
                <w:b/>
                <w:smallCaps/>
              </w:rPr>
              <w:t xml:space="preserve"> lecture</w:t>
            </w:r>
          </w:p>
          <w:p w:rsidR="00FE59C7" w:rsidRPr="00507AB4" w:rsidRDefault="00FE59C7" w:rsidP="0002436D">
            <w:pPr>
              <w:spacing w:after="0"/>
            </w:pPr>
          </w:p>
        </w:tc>
        <w:tc>
          <w:tcPr>
            <w:tcW w:w="1134" w:type="dxa"/>
          </w:tcPr>
          <w:p w:rsidR="00AF7FA9" w:rsidRPr="00507AB4" w:rsidRDefault="00AF7FA9">
            <w:pPr>
              <w:spacing w:after="0"/>
              <w:jc w:val="right"/>
            </w:pPr>
          </w:p>
        </w:tc>
      </w:tr>
      <w:tr w:rsidR="00EA2329" w:rsidRPr="00507AB4">
        <w:tblPrEx>
          <w:tblCellMar>
            <w:top w:w="0" w:type="dxa"/>
            <w:bottom w:w="0" w:type="dxa"/>
          </w:tblCellMar>
        </w:tblPrEx>
        <w:tc>
          <w:tcPr>
            <w:tcW w:w="7621" w:type="dxa"/>
          </w:tcPr>
          <w:p w:rsidR="00EA2329" w:rsidRPr="00507AB4" w:rsidRDefault="002D2DEB" w:rsidP="0002436D">
            <w:pPr>
              <w:spacing w:after="0"/>
            </w:pPr>
            <w:r w:rsidRPr="00507AB4">
              <w:t>Statistiques sur la formation professionnelle continue en entreprise</w:t>
            </w:r>
          </w:p>
          <w:p w:rsidR="002D2DEB" w:rsidRPr="00507AB4" w:rsidRDefault="002D2DEB" w:rsidP="0002436D">
            <w:pPr>
              <w:spacing w:after="0"/>
            </w:pPr>
            <w:r w:rsidRPr="00507AB4">
              <w:t>Ottaviano DEL TURCO – A6-0033/2005</w:t>
            </w:r>
          </w:p>
          <w:p w:rsidR="00EA2329" w:rsidRPr="00507AB4" w:rsidRDefault="00EA2329" w:rsidP="0002436D">
            <w:pPr>
              <w:spacing w:after="0"/>
            </w:pPr>
          </w:p>
        </w:tc>
        <w:tc>
          <w:tcPr>
            <w:tcW w:w="1134" w:type="dxa"/>
          </w:tcPr>
          <w:p w:rsidR="00EA2329" w:rsidRPr="00507AB4" w:rsidRDefault="002C1FBF">
            <w:pPr>
              <w:spacing w:after="0"/>
              <w:jc w:val="right"/>
            </w:pPr>
            <w:r w:rsidRPr="00507AB4">
              <w:t>8</w:t>
            </w:r>
          </w:p>
        </w:tc>
      </w:tr>
      <w:tr w:rsidR="00135E9E" w:rsidRPr="00507AB4">
        <w:tblPrEx>
          <w:tblCellMar>
            <w:top w:w="0" w:type="dxa"/>
            <w:bottom w:w="0" w:type="dxa"/>
          </w:tblCellMar>
        </w:tblPrEx>
        <w:tc>
          <w:tcPr>
            <w:tcW w:w="7621" w:type="dxa"/>
          </w:tcPr>
          <w:p w:rsidR="00135E9E" w:rsidRPr="00507AB4" w:rsidRDefault="002D2DEB" w:rsidP="0002436D">
            <w:pPr>
              <w:spacing w:after="0"/>
            </w:pPr>
            <w:r w:rsidRPr="00507AB4">
              <w:t>Services d’information fluviale</w:t>
            </w:r>
          </w:p>
          <w:p w:rsidR="002D2DEB" w:rsidRPr="00507AB4" w:rsidRDefault="002D2DEB" w:rsidP="0002436D">
            <w:pPr>
              <w:spacing w:after="0"/>
            </w:pPr>
            <w:r w:rsidRPr="00507AB4">
              <w:t xml:space="preserve">Renate SOMMER </w:t>
            </w:r>
            <w:r w:rsidR="00C22DF9" w:rsidRPr="00507AB4">
              <w:t>–</w:t>
            </w:r>
            <w:r w:rsidRPr="00507AB4">
              <w:t xml:space="preserve"> A</w:t>
            </w:r>
            <w:r w:rsidR="00C22DF9" w:rsidRPr="00507AB4">
              <w:t>6-0055/2004</w:t>
            </w:r>
          </w:p>
          <w:p w:rsidR="00135E9E" w:rsidRPr="00507AB4" w:rsidRDefault="00135E9E" w:rsidP="0002436D">
            <w:pPr>
              <w:spacing w:after="0"/>
            </w:pPr>
          </w:p>
        </w:tc>
        <w:tc>
          <w:tcPr>
            <w:tcW w:w="1134" w:type="dxa"/>
          </w:tcPr>
          <w:p w:rsidR="00135E9E" w:rsidRPr="00507AB4" w:rsidRDefault="002C1FBF">
            <w:pPr>
              <w:spacing w:after="0"/>
              <w:jc w:val="right"/>
            </w:pPr>
            <w:r w:rsidRPr="00507AB4">
              <w:t>9</w:t>
            </w:r>
          </w:p>
        </w:tc>
      </w:tr>
      <w:tr w:rsidR="00C22DF9" w:rsidRPr="00507AB4">
        <w:tblPrEx>
          <w:tblCellMar>
            <w:top w:w="0" w:type="dxa"/>
            <w:bottom w:w="0" w:type="dxa"/>
          </w:tblCellMar>
        </w:tblPrEx>
        <w:tc>
          <w:tcPr>
            <w:tcW w:w="7621" w:type="dxa"/>
          </w:tcPr>
          <w:p w:rsidR="00C22DF9" w:rsidRPr="00507AB4" w:rsidRDefault="00C22DF9" w:rsidP="0002436D">
            <w:pPr>
              <w:spacing w:after="0"/>
            </w:pPr>
            <w:r w:rsidRPr="00507AB4">
              <w:t>Reconnaissance des brevets des gens de mer</w:t>
            </w:r>
          </w:p>
          <w:p w:rsidR="00C22DF9" w:rsidRPr="00507AB4" w:rsidRDefault="00C22DF9" w:rsidP="0002436D">
            <w:pPr>
              <w:spacing w:after="0"/>
            </w:pPr>
            <w:r w:rsidRPr="00507AB4">
              <w:t>Robert J.E.</w:t>
            </w:r>
            <w:r w:rsidR="00BC170D" w:rsidRPr="00507AB4">
              <w:t xml:space="preserve"> </w:t>
            </w:r>
            <w:r w:rsidRPr="00507AB4">
              <w:t>EVANS – A6-0057/2004</w:t>
            </w:r>
          </w:p>
          <w:p w:rsidR="00C22DF9" w:rsidRPr="00507AB4" w:rsidRDefault="00C22DF9" w:rsidP="0002436D">
            <w:pPr>
              <w:spacing w:after="0"/>
            </w:pPr>
          </w:p>
        </w:tc>
        <w:tc>
          <w:tcPr>
            <w:tcW w:w="1134" w:type="dxa"/>
          </w:tcPr>
          <w:p w:rsidR="00C22DF9" w:rsidRPr="00507AB4" w:rsidRDefault="002C1FBF">
            <w:pPr>
              <w:spacing w:after="0"/>
              <w:jc w:val="right"/>
            </w:pPr>
            <w:r w:rsidRPr="00507AB4">
              <w:t>10</w:t>
            </w:r>
          </w:p>
        </w:tc>
      </w:tr>
      <w:tr w:rsidR="00C22DF9" w:rsidRPr="00507AB4">
        <w:tblPrEx>
          <w:tblCellMar>
            <w:top w:w="0" w:type="dxa"/>
            <w:bottom w:w="0" w:type="dxa"/>
          </w:tblCellMar>
        </w:tblPrEx>
        <w:tc>
          <w:tcPr>
            <w:tcW w:w="7621" w:type="dxa"/>
          </w:tcPr>
          <w:p w:rsidR="00C22DF9" w:rsidRPr="00507AB4" w:rsidRDefault="00C22DF9" w:rsidP="0002436D">
            <w:pPr>
              <w:spacing w:after="0"/>
            </w:pPr>
            <w:r w:rsidRPr="00507AB4">
              <w:t>Permis de conduire</w:t>
            </w:r>
          </w:p>
          <w:p w:rsidR="00C22DF9" w:rsidRPr="00507AB4" w:rsidRDefault="00C22DF9" w:rsidP="0002436D">
            <w:pPr>
              <w:spacing w:after="0"/>
            </w:pPr>
            <w:r w:rsidRPr="00507AB4">
              <w:t>Mathieu GROSCH – A6-0016/2005</w:t>
            </w:r>
          </w:p>
          <w:p w:rsidR="002C708F" w:rsidRPr="00507AB4" w:rsidRDefault="002C708F" w:rsidP="0002436D">
            <w:pPr>
              <w:spacing w:after="0"/>
            </w:pPr>
          </w:p>
        </w:tc>
        <w:tc>
          <w:tcPr>
            <w:tcW w:w="1134" w:type="dxa"/>
          </w:tcPr>
          <w:p w:rsidR="00C22DF9" w:rsidRPr="00507AB4" w:rsidRDefault="002C1FBF">
            <w:pPr>
              <w:spacing w:after="0"/>
              <w:jc w:val="right"/>
            </w:pPr>
            <w:r w:rsidRPr="00507AB4">
              <w:t>11</w:t>
            </w:r>
          </w:p>
        </w:tc>
      </w:tr>
      <w:tr w:rsidR="00C22DF9" w:rsidRPr="00507AB4">
        <w:tblPrEx>
          <w:tblCellMar>
            <w:top w:w="0" w:type="dxa"/>
            <w:bottom w:w="0" w:type="dxa"/>
          </w:tblCellMar>
        </w:tblPrEx>
        <w:tc>
          <w:tcPr>
            <w:tcW w:w="7621" w:type="dxa"/>
          </w:tcPr>
          <w:p w:rsidR="00C22DF9" w:rsidRPr="00507AB4" w:rsidRDefault="00C22DF9" w:rsidP="0002436D">
            <w:pPr>
              <w:spacing w:after="0"/>
            </w:pPr>
            <w:r w:rsidRPr="00507AB4">
              <w:t>Statistiques conjoncturelles</w:t>
            </w:r>
          </w:p>
          <w:p w:rsidR="00C22DF9" w:rsidRPr="00507AB4" w:rsidRDefault="00C22DF9" w:rsidP="0002436D">
            <w:pPr>
              <w:spacing w:after="0"/>
            </w:pPr>
            <w:r w:rsidRPr="00507AB4">
              <w:t>Margarita S</w:t>
            </w:r>
            <w:r w:rsidR="00A92D7C" w:rsidRPr="00507AB4">
              <w:t>TARKEVIČIŪT</w:t>
            </w:r>
            <w:r w:rsidR="00BC170D" w:rsidRPr="00507AB4">
              <w:t>É</w:t>
            </w:r>
            <w:r w:rsidR="00A92D7C" w:rsidRPr="00507AB4">
              <w:t xml:space="preserve"> – A6-0023/2005</w:t>
            </w:r>
          </w:p>
          <w:p w:rsidR="00C22DF9" w:rsidRPr="00507AB4" w:rsidRDefault="00C22DF9" w:rsidP="0002436D">
            <w:pPr>
              <w:spacing w:after="0"/>
            </w:pPr>
          </w:p>
        </w:tc>
        <w:tc>
          <w:tcPr>
            <w:tcW w:w="1134" w:type="dxa"/>
          </w:tcPr>
          <w:p w:rsidR="00C22DF9" w:rsidRPr="00507AB4" w:rsidRDefault="002C1FBF">
            <w:pPr>
              <w:spacing w:after="0"/>
              <w:jc w:val="right"/>
            </w:pPr>
            <w:r w:rsidRPr="00507AB4">
              <w:t>14</w:t>
            </w:r>
          </w:p>
        </w:tc>
      </w:tr>
      <w:tr w:rsidR="00EA2329" w:rsidRPr="00507AB4">
        <w:tblPrEx>
          <w:tblCellMar>
            <w:top w:w="0" w:type="dxa"/>
            <w:bottom w:w="0" w:type="dxa"/>
          </w:tblCellMar>
        </w:tblPrEx>
        <w:tc>
          <w:tcPr>
            <w:tcW w:w="7621" w:type="dxa"/>
          </w:tcPr>
          <w:p w:rsidR="00EA2329" w:rsidRPr="00507AB4" w:rsidRDefault="00EA2329" w:rsidP="0002436D">
            <w:pPr>
              <w:spacing w:after="0"/>
            </w:pPr>
          </w:p>
          <w:p w:rsidR="00135E9E" w:rsidRPr="00507AB4" w:rsidRDefault="00135E9E" w:rsidP="0002436D">
            <w:pPr>
              <w:spacing w:after="0"/>
            </w:pPr>
          </w:p>
          <w:p w:rsidR="00135E9E" w:rsidRPr="00507AB4" w:rsidRDefault="00135E9E" w:rsidP="0002436D">
            <w:pPr>
              <w:spacing w:after="0"/>
              <w:rPr>
                <w:b/>
                <w:smallCaps/>
              </w:rPr>
            </w:pPr>
            <w:r w:rsidRPr="00507AB4">
              <w:rPr>
                <w:b/>
                <w:smallCaps/>
              </w:rPr>
              <w:t>Procédure de consultation necessitant une seule lecture</w:t>
            </w:r>
          </w:p>
          <w:p w:rsidR="00EA2329" w:rsidRPr="00507AB4" w:rsidRDefault="00EA2329" w:rsidP="0002436D">
            <w:pPr>
              <w:spacing w:after="0"/>
            </w:pPr>
          </w:p>
        </w:tc>
        <w:tc>
          <w:tcPr>
            <w:tcW w:w="1134" w:type="dxa"/>
          </w:tcPr>
          <w:p w:rsidR="00EA2329" w:rsidRPr="00507AB4" w:rsidRDefault="00EA2329">
            <w:pPr>
              <w:spacing w:after="0"/>
              <w:jc w:val="right"/>
            </w:pPr>
          </w:p>
        </w:tc>
      </w:tr>
      <w:tr w:rsidR="00EA2329" w:rsidRPr="00507AB4">
        <w:tblPrEx>
          <w:tblCellMar>
            <w:top w:w="0" w:type="dxa"/>
            <w:bottom w:w="0" w:type="dxa"/>
          </w:tblCellMar>
        </w:tblPrEx>
        <w:tc>
          <w:tcPr>
            <w:tcW w:w="7621" w:type="dxa"/>
          </w:tcPr>
          <w:p w:rsidR="00EA2329" w:rsidRPr="00507AB4" w:rsidRDefault="00E81164" w:rsidP="0002436D">
            <w:pPr>
              <w:spacing w:after="0"/>
            </w:pPr>
            <w:r w:rsidRPr="00507AB4">
              <w:t>Agence communautaire de contrôle des pêches</w:t>
            </w:r>
          </w:p>
          <w:p w:rsidR="00E81164" w:rsidRPr="00507AB4" w:rsidRDefault="00E81164" w:rsidP="0002436D">
            <w:pPr>
              <w:spacing w:after="0"/>
            </w:pPr>
            <w:r w:rsidRPr="00507AB4">
              <w:t>Elspeth ATTWOOLL – A6-0022/2005</w:t>
            </w:r>
          </w:p>
          <w:p w:rsidR="00EA2329" w:rsidRPr="00507AB4" w:rsidRDefault="00EA2329" w:rsidP="0002436D">
            <w:pPr>
              <w:spacing w:after="0"/>
            </w:pPr>
          </w:p>
        </w:tc>
        <w:tc>
          <w:tcPr>
            <w:tcW w:w="1134" w:type="dxa"/>
          </w:tcPr>
          <w:p w:rsidR="00EA2329" w:rsidRPr="00507AB4" w:rsidRDefault="002C1FBF">
            <w:pPr>
              <w:spacing w:after="0"/>
              <w:jc w:val="right"/>
            </w:pPr>
            <w:r w:rsidRPr="00507AB4">
              <w:t>15</w:t>
            </w:r>
          </w:p>
        </w:tc>
      </w:tr>
    </w:tbl>
    <w:p w:rsidR="00941F14" w:rsidRPr="00507AB4" w:rsidRDefault="00941F14">
      <w:r w:rsidRPr="00507AB4">
        <w:br w:type="page"/>
      </w:r>
    </w:p>
    <w:tbl>
      <w:tblPr>
        <w:tblW w:w="0" w:type="auto"/>
        <w:tblLayout w:type="fixed"/>
        <w:tblLook w:val="0000" w:firstRow="0" w:lastRow="0" w:firstColumn="0" w:lastColumn="0" w:noHBand="0" w:noVBand="0"/>
      </w:tblPr>
      <w:tblGrid>
        <w:gridCol w:w="7621"/>
        <w:gridCol w:w="1134"/>
      </w:tblGrid>
      <w:tr w:rsidR="00214FA1" w:rsidRPr="00507AB4">
        <w:tblPrEx>
          <w:tblCellMar>
            <w:top w:w="0" w:type="dxa"/>
            <w:bottom w:w="0" w:type="dxa"/>
          </w:tblCellMar>
        </w:tblPrEx>
        <w:tc>
          <w:tcPr>
            <w:tcW w:w="7621" w:type="dxa"/>
          </w:tcPr>
          <w:p w:rsidR="00214FA1" w:rsidRPr="00507AB4" w:rsidRDefault="00E81164" w:rsidP="0002436D">
            <w:pPr>
              <w:spacing w:after="0"/>
            </w:pPr>
            <w:r w:rsidRPr="00507AB4">
              <w:t>Transfert de navires vers des pays touchés par le tsunami en 2004</w:t>
            </w:r>
          </w:p>
          <w:p w:rsidR="00E81164" w:rsidRPr="00507AB4" w:rsidRDefault="00E81164" w:rsidP="0002436D">
            <w:pPr>
              <w:spacing w:after="0"/>
            </w:pPr>
            <w:r w:rsidRPr="00507AB4">
              <w:t>C6-0036/2005</w:t>
            </w:r>
          </w:p>
          <w:p w:rsidR="00214FA1" w:rsidRPr="00507AB4" w:rsidRDefault="00214FA1" w:rsidP="0002436D">
            <w:pPr>
              <w:spacing w:after="0"/>
            </w:pPr>
          </w:p>
        </w:tc>
        <w:tc>
          <w:tcPr>
            <w:tcW w:w="1134" w:type="dxa"/>
          </w:tcPr>
          <w:p w:rsidR="00214FA1" w:rsidRPr="00507AB4" w:rsidRDefault="002C1FBF">
            <w:pPr>
              <w:spacing w:after="0"/>
              <w:jc w:val="right"/>
            </w:pPr>
            <w:r w:rsidRPr="00507AB4">
              <w:t>1</w:t>
            </w:r>
            <w:r w:rsidR="00415649">
              <w:t>9</w:t>
            </w:r>
          </w:p>
        </w:tc>
      </w:tr>
      <w:tr w:rsidR="00E81164" w:rsidRPr="00507AB4">
        <w:tblPrEx>
          <w:tblCellMar>
            <w:top w:w="0" w:type="dxa"/>
            <w:bottom w:w="0" w:type="dxa"/>
          </w:tblCellMar>
        </w:tblPrEx>
        <w:tc>
          <w:tcPr>
            <w:tcW w:w="7621" w:type="dxa"/>
          </w:tcPr>
          <w:p w:rsidR="00E81164" w:rsidRPr="00507AB4" w:rsidRDefault="00E81164" w:rsidP="0002436D">
            <w:pPr>
              <w:spacing w:after="0"/>
            </w:pPr>
            <w:r w:rsidRPr="00507AB4">
              <w:t>Echange d’informations extraites du casier judiciaire</w:t>
            </w:r>
          </w:p>
          <w:p w:rsidR="00E81164" w:rsidRPr="00507AB4" w:rsidRDefault="00E81164" w:rsidP="0002436D">
            <w:pPr>
              <w:spacing w:after="0"/>
            </w:pPr>
            <w:r w:rsidRPr="00507AB4">
              <w:t>Antonio DI PIETRO – A6-0020/2005</w:t>
            </w:r>
          </w:p>
          <w:p w:rsidR="00E81164" w:rsidRPr="00507AB4" w:rsidRDefault="00E81164" w:rsidP="0002436D">
            <w:pPr>
              <w:spacing w:after="0"/>
            </w:pPr>
          </w:p>
        </w:tc>
        <w:tc>
          <w:tcPr>
            <w:tcW w:w="1134" w:type="dxa"/>
          </w:tcPr>
          <w:p w:rsidR="00E81164" w:rsidRPr="00507AB4" w:rsidRDefault="002C1FBF">
            <w:pPr>
              <w:spacing w:after="0"/>
              <w:jc w:val="right"/>
            </w:pPr>
            <w:r w:rsidRPr="00507AB4">
              <w:t>2</w:t>
            </w:r>
            <w:r w:rsidR="00415649">
              <w:t>1</w:t>
            </w:r>
          </w:p>
        </w:tc>
      </w:tr>
      <w:tr w:rsidR="00E81164" w:rsidRPr="00507AB4">
        <w:tblPrEx>
          <w:tblCellMar>
            <w:top w:w="0" w:type="dxa"/>
            <w:bottom w:w="0" w:type="dxa"/>
          </w:tblCellMar>
        </w:tblPrEx>
        <w:tc>
          <w:tcPr>
            <w:tcW w:w="7621" w:type="dxa"/>
          </w:tcPr>
          <w:p w:rsidR="00E81164" w:rsidRPr="00507AB4" w:rsidRDefault="00E81164" w:rsidP="0002436D">
            <w:pPr>
              <w:spacing w:after="0"/>
            </w:pPr>
            <w:r w:rsidRPr="00507AB4">
              <w:t>Mesures restrictives à l’encontre de certaines personnes et entités de la Côte d’Ivoire</w:t>
            </w:r>
          </w:p>
          <w:p w:rsidR="00E81164" w:rsidRPr="00507AB4" w:rsidRDefault="00E81164" w:rsidP="0002436D">
            <w:pPr>
              <w:spacing w:after="0"/>
            </w:pPr>
            <w:r w:rsidRPr="00507AB4">
              <w:t>Jean Marie CAVADA – A6-0042/2005</w:t>
            </w:r>
          </w:p>
          <w:p w:rsidR="00E81164" w:rsidRPr="00507AB4" w:rsidRDefault="00E81164" w:rsidP="0002436D">
            <w:pPr>
              <w:spacing w:after="0"/>
            </w:pPr>
          </w:p>
        </w:tc>
        <w:tc>
          <w:tcPr>
            <w:tcW w:w="1134" w:type="dxa"/>
          </w:tcPr>
          <w:p w:rsidR="00E81164" w:rsidRPr="00507AB4" w:rsidRDefault="002C1FBF">
            <w:pPr>
              <w:spacing w:after="0"/>
              <w:jc w:val="right"/>
            </w:pPr>
            <w:r w:rsidRPr="00507AB4">
              <w:t>2</w:t>
            </w:r>
            <w:r w:rsidR="00415649">
              <w:t>3</w:t>
            </w:r>
          </w:p>
        </w:tc>
      </w:tr>
      <w:tr w:rsidR="0063420F" w:rsidRPr="00507AB4">
        <w:tblPrEx>
          <w:tblCellMar>
            <w:top w:w="0" w:type="dxa"/>
            <w:bottom w:w="0" w:type="dxa"/>
          </w:tblCellMar>
        </w:tblPrEx>
        <w:tc>
          <w:tcPr>
            <w:tcW w:w="7621" w:type="dxa"/>
          </w:tcPr>
          <w:p w:rsidR="0063420F" w:rsidRPr="00507AB4" w:rsidRDefault="0063420F">
            <w:pPr>
              <w:spacing w:after="0"/>
              <w:rPr>
                <w:b/>
              </w:rPr>
            </w:pPr>
          </w:p>
          <w:p w:rsidR="003F2BEB" w:rsidRPr="00507AB4" w:rsidRDefault="003F2BEB">
            <w:pPr>
              <w:spacing w:after="0"/>
              <w:rPr>
                <w:b/>
              </w:rPr>
            </w:pPr>
          </w:p>
          <w:p w:rsidR="0063420F" w:rsidRPr="00507AB4" w:rsidRDefault="0063420F">
            <w:pPr>
              <w:spacing w:after="0"/>
              <w:rPr>
                <w:b/>
                <w:smallCaps/>
              </w:rPr>
            </w:pPr>
            <w:r w:rsidRPr="00507AB4">
              <w:rPr>
                <w:b/>
              </w:rPr>
              <w:t xml:space="preserve">DEUXIEME PARTIE – </w:t>
            </w:r>
            <w:r w:rsidRPr="00507AB4">
              <w:rPr>
                <w:b/>
                <w:smallCaps/>
              </w:rPr>
              <w:t xml:space="preserve">Résolutions </w:t>
            </w:r>
            <w:r w:rsidR="00B12F35" w:rsidRPr="00507AB4">
              <w:rPr>
                <w:b/>
                <w:smallCaps/>
              </w:rPr>
              <w:t>non legislatives</w:t>
            </w:r>
          </w:p>
          <w:p w:rsidR="0063420F" w:rsidRPr="00507AB4" w:rsidRDefault="0063420F">
            <w:pPr>
              <w:spacing w:after="0"/>
            </w:pPr>
          </w:p>
        </w:tc>
        <w:tc>
          <w:tcPr>
            <w:tcW w:w="1134" w:type="dxa"/>
          </w:tcPr>
          <w:p w:rsidR="00235AF4" w:rsidRPr="00507AB4" w:rsidRDefault="00235AF4">
            <w:pPr>
              <w:spacing w:after="0"/>
              <w:jc w:val="right"/>
              <w:rPr>
                <w:b/>
              </w:rPr>
            </w:pPr>
          </w:p>
          <w:p w:rsidR="004A70B9" w:rsidRPr="00507AB4" w:rsidRDefault="004A70B9">
            <w:pPr>
              <w:spacing w:after="0"/>
              <w:jc w:val="right"/>
              <w:rPr>
                <w:b/>
              </w:rPr>
            </w:pPr>
          </w:p>
          <w:p w:rsidR="00235AF4" w:rsidRPr="00507AB4" w:rsidRDefault="002C1FBF">
            <w:pPr>
              <w:spacing w:after="0"/>
              <w:jc w:val="right"/>
              <w:rPr>
                <w:b/>
              </w:rPr>
            </w:pPr>
            <w:r w:rsidRPr="00507AB4">
              <w:rPr>
                <w:b/>
              </w:rPr>
              <w:t>2</w:t>
            </w:r>
            <w:r w:rsidR="00415649">
              <w:rPr>
                <w:b/>
              </w:rPr>
              <w:t>6</w:t>
            </w:r>
          </w:p>
          <w:p w:rsidR="0063420F" w:rsidRPr="00507AB4" w:rsidRDefault="0063420F">
            <w:pPr>
              <w:spacing w:after="0"/>
              <w:jc w:val="right"/>
              <w:rPr>
                <w:b/>
              </w:rPr>
            </w:pPr>
          </w:p>
        </w:tc>
      </w:tr>
    </w:tbl>
    <w:p w:rsidR="0063420F" w:rsidRPr="00507AB4" w:rsidRDefault="0063420F">
      <w:pPr>
        <w:pStyle w:val="Initial"/>
        <w:tabs>
          <w:tab w:val="clear" w:pos="-720"/>
        </w:tabs>
        <w:spacing w:after="240"/>
        <w:rPr>
          <w:b/>
          <w:smallCaps/>
          <w:lang w:val="fr-FR"/>
        </w:rPr>
      </w:pPr>
    </w:p>
    <w:p w:rsidR="0063420F" w:rsidRPr="00507AB4" w:rsidRDefault="00D14B7D" w:rsidP="00EA4AD3">
      <w:pPr>
        <w:jc w:val="left"/>
      </w:pPr>
      <w:r w:rsidRPr="00507AB4">
        <w:br w:type="page"/>
      </w:r>
    </w:p>
    <w:p w:rsidR="00EA4AD3" w:rsidRPr="00507AB4" w:rsidRDefault="00EA4AD3" w:rsidP="00EA4AD3">
      <w:pPr>
        <w:jc w:val="left"/>
      </w:pPr>
    </w:p>
    <w:p w:rsidR="00EA4AD3" w:rsidRPr="00507AB4" w:rsidRDefault="00EA4AD3" w:rsidP="00D14B7D">
      <w:pPr>
        <w:jc w:val="center"/>
        <w:rPr>
          <w:sz w:val="48"/>
        </w:rPr>
      </w:pPr>
    </w:p>
    <w:p w:rsidR="0063420F" w:rsidRPr="00507AB4" w:rsidRDefault="0063420F" w:rsidP="00D14B7D">
      <w:pPr>
        <w:jc w:val="center"/>
        <w:rPr>
          <w:b/>
          <w:smallCaps/>
          <w:sz w:val="48"/>
        </w:rPr>
      </w:pPr>
    </w:p>
    <w:p w:rsidR="00EA4AD3" w:rsidRPr="00507AB4" w:rsidRDefault="00EA4AD3" w:rsidP="00D14B7D">
      <w:pPr>
        <w:jc w:val="center"/>
        <w:rPr>
          <w:b/>
          <w:smallCaps/>
          <w:sz w:val="48"/>
        </w:rPr>
      </w:pPr>
    </w:p>
    <w:p w:rsidR="00EA4AD3" w:rsidRPr="00507AB4" w:rsidRDefault="00EA4AD3" w:rsidP="00D14B7D">
      <w:pPr>
        <w:jc w:val="center"/>
        <w:rPr>
          <w:b/>
          <w:smallCaps/>
          <w:sz w:val="48"/>
        </w:rPr>
      </w:pPr>
    </w:p>
    <w:p w:rsidR="0063420F" w:rsidRPr="00507AB4" w:rsidRDefault="0063420F" w:rsidP="00D14B7D">
      <w:pPr>
        <w:jc w:val="center"/>
        <w:rPr>
          <w:b/>
          <w:smallCaps/>
          <w:sz w:val="48"/>
        </w:rPr>
      </w:pPr>
    </w:p>
    <w:p w:rsidR="0063420F" w:rsidRPr="00507AB4" w:rsidRDefault="0063420F">
      <w:pPr>
        <w:jc w:val="center"/>
        <w:rPr>
          <w:b/>
          <w:sz w:val="48"/>
        </w:rPr>
      </w:pPr>
      <w:r w:rsidRPr="00507AB4">
        <w:rPr>
          <w:b/>
          <w:sz w:val="48"/>
        </w:rPr>
        <w:t>Première partie</w:t>
      </w:r>
      <w:r w:rsidRPr="00507AB4">
        <w:rPr>
          <w:b/>
          <w:sz w:val="48"/>
        </w:rPr>
        <w:br/>
        <w:t>Avis législatifs</w:t>
      </w:r>
    </w:p>
    <w:p w:rsidR="008A4EAF" w:rsidRPr="00507AB4" w:rsidRDefault="0063420F" w:rsidP="008D2930">
      <w:r w:rsidRPr="00507AB4">
        <w:br w:type="page"/>
      </w:r>
    </w:p>
    <w:p w:rsidR="008D2930" w:rsidRPr="00507AB4" w:rsidRDefault="008D2930" w:rsidP="008D2930">
      <w:pPr>
        <w:jc w:val="center"/>
        <w:outlineLvl w:val="0"/>
        <w:rPr>
          <w:b/>
          <w:snapToGrid w:val="0"/>
          <w:lang w:eastAsia="en-US"/>
        </w:rPr>
      </w:pPr>
      <w:r w:rsidRPr="00507AB4">
        <w:rPr>
          <w:b/>
          <w:snapToGrid w:val="0"/>
          <w:lang w:eastAsia="en-US"/>
        </w:rPr>
        <w:t>PROCEDURE DE CODECISION – 2ème lecture</w:t>
      </w:r>
    </w:p>
    <w:p w:rsidR="008D2930" w:rsidRPr="00507AB4" w:rsidRDefault="008D2930" w:rsidP="008D2930">
      <w:pPr>
        <w:jc w:val="center"/>
        <w:outlineLvl w:val="0"/>
      </w:pPr>
      <w:r w:rsidRPr="00507AB4">
        <w:rPr>
          <w:b/>
        </w:rPr>
        <w:t>Proposition de directive du Parlement européen et du Conseil  relative à la pollution causée par les navires et à l'introduction de sanctions, notamment pénales, en cas d’infractions de pollution</w:t>
      </w:r>
    </w:p>
    <w:p w:rsidR="008D2930" w:rsidRPr="00507AB4" w:rsidRDefault="008D2930" w:rsidP="008D2930">
      <w:pPr>
        <w:rPr>
          <w:b/>
          <w:smallCaps/>
          <w:szCs w:val="24"/>
        </w:rPr>
      </w:pPr>
    </w:p>
    <w:p w:rsidR="008D2930" w:rsidRPr="00507AB4" w:rsidRDefault="008D2930" w:rsidP="008D2930">
      <w:pPr>
        <w:rPr>
          <w:snapToGrid w:val="0"/>
          <w:lang w:eastAsia="en-US"/>
        </w:rPr>
      </w:pPr>
    </w:p>
    <w:p w:rsidR="008D2930" w:rsidRPr="00507AB4" w:rsidRDefault="008D2930" w:rsidP="008D2930">
      <w:pPr>
        <w:rPr>
          <w:snapToGrid w:val="0"/>
          <w:lang w:eastAsia="en-US"/>
        </w:rPr>
      </w:pPr>
      <w:r w:rsidRPr="00507AB4">
        <w:rPr>
          <w:b/>
          <w:snapToGrid w:val="0"/>
          <w:lang w:eastAsia="en-US"/>
        </w:rPr>
        <w:t>1.</w:t>
      </w:r>
      <w:r w:rsidRPr="00507AB4">
        <w:rPr>
          <w:b/>
          <w:snapToGrid w:val="0"/>
          <w:lang w:eastAsia="en-US"/>
        </w:rPr>
        <w:tab/>
        <w:t>Rapporteur :</w:t>
      </w:r>
      <w:r w:rsidRPr="00507AB4">
        <w:rPr>
          <w:snapToGrid w:val="0"/>
          <w:lang w:eastAsia="en-US"/>
        </w:rPr>
        <w:t xml:space="preserve"> Corien </w:t>
      </w:r>
      <w:r w:rsidR="00BA3616" w:rsidRPr="00507AB4">
        <w:rPr>
          <w:snapToGrid w:val="0"/>
          <w:lang w:eastAsia="en-US"/>
        </w:rPr>
        <w:t xml:space="preserve">M. </w:t>
      </w:r>
      <w:r w:rsidRPr="00507AB4">
        <w:rPr>
          <w:snapToGrid w:val="0"/>
          <w:lang w:eastAsia="en-US"/>
        </w:rPr>
        <w:t>Wortmann-Kool</w:t>
      </w:r>
    </w:p>
    <w:p w:rsidR="008D2930" w:rsidRPr="00507AB4" w:rsidRDefault="008D2930" w:rsidP="008D2930">
      <w:r w:rsidRPr="00507AB4">
        <w:rPr>
          <w:b/>
          <w:snapToGrid w:val="0"/>
          <w:lang w:eastAsia="en-US"/>
        </w:rPr>
        <w:t>2.</w:t>
      </w:r>
      <w:r w:rsidRPr="00507AB4">
        <w:rPr>
          <w:b/>
          <w:snapToGrid w:val="0"/>
          <w:lang w:eastAsia="en-US"/>
        </w:rPr>
        <w:tab/>
        <w:t xml:space="preserve">N° </w:t>
      </w:r>
      <w:r w:rsidR="00F33EA6" w:rsidRPr="00507AB4">
        <w:rPr>
          <w:b/>
          <w:snapToGrid w:val="0"/>
          <w:lang w:eastAsia="en-US"/>
        </w:rPr>
        <w:t xml:space="preserve">du </w:t>
      </w:r>
      <w:r w:rsidRPr="00507AB4">
        <w:rPr>
          <w:b/>
          <w:snapToGrid w:val="0"/>
          <w:lang w:eastAsia="en-US"/>
        </w:rPr>
        <w:t>PE</w:t>
      </w:r>
      <w:r w:rsidRPr="00507AB4">
        <w:rPr>
          <w:snapToGrid w:val="0"/>
          <w:lang w:eastAsia="en-US"/>
        </w:rPr>
        <w:t> : A6-0015/2005</w:t>
      </w:r>
    </w:p>
    <w:p w:rsidR="008D2930" w:rsidRPr="00507AB4" w:rsidRDefault="008D2930" w:rsidP="008D2930">
      <w:pPr>
        <w:rPr>
          <w:snapToGrid w:val="0"/>
          <w:lang w:eastAsia="en-US"/>
        </w:rPr>
      </w:pPr>
      <w:r w:rsidRPr="00507AB4">
        <w:rPr>
          <w:b/>
          <w:snapToGrid w:val="0"/>
          <w:lang w:eastAsia="en-US"/>
        </w:rPr>
        <w:t>3.</w:t>
      </w:r>
      <w:r w:rsidRPr="00507AB4">
        <w:rPr>
          <w:b/>
          <w:snapToGrid w:val="0"/>
          <w:lang w:eastAsia="en-US"/>
        </w:rPr>
        <w:tab/>
        <w:t>Date d’adoption du rapport</w:t>
      </w:r>
      <w:r w:rsidRPr="00507AB4">
        <w:rPr>
          <w:snapToGrid w:val="0"/>
          <w:lang w:eastAsia="en-US"/>
        </w:rPr>
        <w:t> : 23 février 2005</w:t>
      </w:r>
    </w:p>
    <w:p w:rsidR="008D2930" w:rsidRPr="00507AB4" w:rsidRDefault="008D2930" w:rsidP="008D2930">
      <w:r w:rsidRPr="00507AB4">
        <w:rPr>
          <w:b/>
          <w:snapToGrid w:val="0"/>
          <w:lang w:eastAsia="en-US"/>
        </w:rPr>
        <w:t>4.</w:t>
      </w:r>
      <w:r w:rsidRPr="00507AB4">
        <w:rPr>
          <w:b/>
          <w:snapToGrid w:val="0"/>
          <w:lang w:eastAsia="en-US"/>
        </w:rPr>
        <w:tab/>
        <w:t>Objet</w:t>
      </w:r>
      <w:r w:rsidRPr="00507AB4">
        <w:rPr>
          <w:snapToGrid w:val="0"/>
          <w:lang w:eastAsia="en-US"/>
        </w:rPr>
        <w:t xml:space="preserve"> : </w:t>
      </w:r>
      <w:r w:rsidRPr="00507AB4">
        <w:rPr>
          <w:szCs w:val="24"/>
        </w:rPr>
        <w:t>Proposition de directive du Parlement européen et du Conseil relative à la pollution causée par les navires et à l'introduction de sanctions, notamment pénales, en cas d’infractions de pollution</w:t>
      </w:r>
      <w:r w:rsidR="00B72608" w:rsidRPr="00507AB4">
        <w:rPr>
          <w:szCs w:val="24"/>
        </w:rPr>
        <w:t xml:space="preserve"> (COM(2003) 92)</w:t>
      </w:r>
    </w:p>
    <w:p w:rsidR="008D2930" w:rsidRPr="00507AB4" w:rsidRDefault="008D2930" w:rsidP="008D2930">
      <w:pPr>
        <w:rPr>
          <w:snapToGrid w:val="0"/>
          <w:lang w:eastAsia="en-US"/>
        </w:rPr>
      </w:pPr>
      <w:r w:rsidRPr="00507AB4">
        <w:rPr>
          <w:b/>
          <w:snapToGrid w:val="0"/>
          <w:lang w:eastAsia="en-US"/>
        </w:rPr>
        <w:t xml:space="preserve">5. </w:t>
      </w:r>
      <w:r w:rsidRPr="00507AB4">
        <w:rPr>
          <w:b/>
          <w:snapToGrid w:val="0"/>
          <w:lang w:eastAsia="en-US"/>
        </w:rPr>
        <w:tab/>
        <w:t xml:space="preserve">Référence </w:t>
      </w:r>
      <w:r w:rsidR="00507AB4" w:rsidRPr="00507AB4">
        <w:rPr>
          <w:b/>
          <w:snapToGrid w:val="0"/>
          <w:lang w:eastAsia="en-US"/>
        </w:rPr>
        <w:t>interinstitutionnelle</w:t>
      </w:r>
      <w:r w:rsidRPr="00507AB4">
        <w:rPr>
          <w:snapToGrid w:val="0"/>
          <w:lang w:eastAsia="en-US"/>
        </w:rPr>
        <w:t xml:space="preserve"> : </w:t>
      </w:r>
      <w:r w:rsidRPr="00507AB4">
        <w:rPr>
          <w:bCs/>
        </w:rPr>
        <w:t>2003/0037(COD</w:t>
      </w:r>
      <w:r w:rsidRPr="00507AB4">
        <w:rPr>
          <w:snapToGrid w:val="0"/>
          <w:lang w:eastAsia="en-US"/>
        </w:rPr>
        <w:t>)</w:t>
      </w:r>
    </w:p>
    <w:p w:rsidR="008D2930" w:rsidRPr="00507AB4" w:rsidRDefault="008D2930" w:rsidP="008D2930">
      <w:pPr>
        <w:rPr>
          <w:snapToGrid w:val="0"/>
          <w:lang w:eastAsia="en-US"/>
        </w:rPr>
      </w:pPr>
      <w:r w:rsidRPr="00507AB4">
        <w:rPr>
          <w:b/>
          <w:snapToGrid w:val="0"/>
          <w:lang w:eastAsia="en-US"/>
        </w:rPr>
        <w:t>6.</w:t>
      </w:r>
      <w:r w:rsidRPr="00507AB4">
        <w:rPr>
          <w:b/>
          <w:snapToGrid w:val="0"/>
          <w:lang w:eastAsia="en-US"/>
        </w:rPr>
        <w:tab/>
        <w:t>Base juridique</w:t>
      </w:r>
      <w:r w:rsidRPr="00507AB4">
        <w:rPr>
          <w:snapToGrid w:val="0"/>
          <w:lang w:eastAsia="en-US"/>
        </w:rPr>
        <w:t> : Article 80</w:t>
      </w:r>
      <w:r w:rsidR="00CD1013">
        <w:rPr>
          <w:snapToGrid w:val="0"/>
          <w:lang w:eastAsia="en-US"/>
        </w:rPr>
        <w:t xml:space="preserve">, paragraphe </w:t>
      </w:r>
      <w:r w:rsidRPr="00507AB4">
        <w:rPr>
          <w:snapToGrid w:val="0"/>
          <w:lang w:eastAsia="en-US"/>
        </w:rPr>
        <w:t>2</w:t>
      </w:r>
    </w:p>
    <w:p w:rsidR="008D2930" w:rsidRPr="00507AB4" w:rsidRDefault="008D2930" w:rsidP="00B72608">
      <w:pPr>
        <w:rPr>
          <w:snapToGrid w:val="0"/>
          <w:lang w:eastAsia="en-US"/>
        </w:rPr>
      </w:pPr>
      <w:r w:rsidRPr="00507AB4">
        <w:rPr>
          <w:b/>
          <w:snapToGrid w:val="0"/>
          <w:lang w:eastAsia="en-US"/>
        </w:rPr>
        <w:t>7.</w:t>
      </w:r>
      <w:r w:rsidRPr="00507AB4">
        <w:rPr>
          <w:b/>
          <w:snapToGrid w:val="0"/>
          <w:lang w:eastAsia="en-US"/>
        </w:rPr>
        <w:tab/>
        <w:t xml:space="preserve">Commission parlementaire </w:t>
      </w:r>
      <w:r w:rsidR="00F33EA6" w:rsidRPr="00507AB4">
        <w:rPr>
          <w:b/>
          <w:snapToGrid w:val="0"/>
          <w:lang w:eastAsia="en-US"/>
        </w:rPr>
        <w:t>compétente</w:t>
      </w:r>
      <w:r w:rsidRPr="00507AB4">
        <w:rPr>
          <w:b/>
          <w:snapToGrid w:val="0"/>
          <w:lang w:eastAsia="en-US"/>
        </w:rPr>
        <w:t xml:space="preserve"> :</w:t>
      </w:r>
      <w:r w:rsidRPr="00507AB4">
        <w:rPr>
          <w:snapToGrid w:val="0"/>
          <w:lang w:eastAsia="en-US"/>
        </w:rPr>
        <w:t xml:space="preserve"> Commission des </w:t>
      </w:r>
      <w:r w:rsidR="000F382A">
        <w:rPr>
          <w:snapToGrid w:val="0"/>
          <w:lang w:eastAsia="en-US"/>
        </w:rPr>
        <w:t>t</w:t>
      </w:r>
      <w:r w:rsidRPr="00507AB4">
        <w:rPr>
          <w:snapToGrid w:val="0"/>
          <w:lang w:eastAsia="en-US"/>
        </w:rPr>
        <w:t xml:space="preserve">ransports et du </w:t>
      </w:r>
      <w:r w:rsidR="000F382A">
        <w:rPr>
          <w:snapToGrid w:val="0"/>
          <w:lang w:eastAsia="en-US"/>
        </w:rPr>
        <w:t>t</w:t>
      </w:r>
      <w:r w:rsidRPr="00507AB4">
        <w:rPr>
          <w:snapToGrid w:val="0"/>
          <w:lang w:eastAsia="en-US"/>
        </w:rPr>
        <w:t>ourisme (TRAN)</w:t>
      </w:r>
    </w:p>
    <w:p w:rsidR="008D2930" w:rsidRPr="00507AB4" w:rsidRDefault="008D2930" w:rsidP="00B72608">
      <w:pPr>
        <w:rPr>
          <w:snapToGrid w:val="0"/>
          <w:lang w:eastAsia="en-US"/>
        </w:rPr>
      </w:pPr>
      <w:r w:rsidRPr="00507AB4">
        <w:rPr>
          <w:b/>
          <w:snapToGrid w:val="0"/>
          <w:lang w:eastAsia="en-US"/>
        </w:rPr>
        <w:t>8.</w:t>
      </w:r>
      <w:r w:rsidRPr="00507AB4">
        <w:rPr>
          <w:b/>
          <w:snapToGrid w:val="0"/>
          <w:lang w:eastAsia="en-US"/>
        </w:rPr>
        <w:tab/>
        <w:t>Position de la Commission</w:t>
      </w:r>
      <w:r w:rsidRPr="00507AB4">
        <w:rPr>
          <w:snapToGrid w:val="0"/>
          <w:lang w:eastAsia="en-US"/>
        </w:rPr>
        <w:t> : La Commission a accepté le paquet de 16 amendements de compromis.</w:t>
      </w:r>
    </w:p>
    <w:p w:rsidR="008D2930" w:rsidRPr="00507AB4" w:rsidRDefault="008D2930" w:rsidP="00B72608">
      <w:r w:rsidRPr="00507AB4">
        <w:rPr>
          <w:b/>
        </w:rPr>
        <w:t>9.</w:t>
      </w:r>
      <w:r w:rsidRPr="00507AB4">
        <w:rPr>
          <w:b/>
        </w:rPr>
        <w:tab/>
        <w:t xml:space="preserve">Possibilité de modification de la proposition : </w:t>
      </w:r>
      <w:r w:rsidRPr="00507AB4">
        <w:t>La Commission présentera pour fin avril un avis, conformément à l'article 251, paragraphe 2, troisième alinéa, point c), du traité CE, sur les amendements du Parlement européen à la position commune du Conseil concernant la proposition de directive du Parlement européen et du Conseil sur la pollution causée par les navires et l'introduction de sanctions, notamment pénales, pour les infractions de pollution</w:t>
      </w:r>
      <w:r w:rsidR="00B72608" w:rsidRPr="00507AB4">
        <w:t>.</w:t>
      </w:r>
    </w:p>
    <w:p w:rsidR="00B72608" w:rsidRPr="00507AB4" w:rsidRDefault="008D2930" w:rsidP="00B72608">
      <w:r w:rsidRPr="00507AB4">
        <w:rPr>
          <w:b/>
        </w:rPr>
        <w:t>10.</w:t>
      </w:r>
      <w:r w:rsidRPr="00507AB4">
        <w:rPr>
          <w:b/>
        </w:rPr>
        <w:tab/>
        <w:t xml:space="preserve">Calendrier prévu pour l’adoption : </w:t>
      </w:r>
      <w:r w:rsidRPr="00507AB4">
        <w:t>L’adoption de cette directive se fera conjointement à l’adoption de la décision cadre visant le renforcement du cadre pénal pour la répression de la pollution causée par les navires.</w:t>
      </w:r>
    </w:p>
    <w:p w:rsidR="00C73607" w:rsidRPr="00507AB4" w:rsidRDefault="002E5FEB" w:rsidP="00B72608">
      <w:r w:rsidRPr="00507AB4">
        <w:br w:type="page"/>
      </w:r>
    </w:p>
    <w:p w:rsidR="00C73607" w:rsidRPr="00507AB4" w:rsidRDefault="005174FB" w:rsidP="00C73607">
      <w:pPr>
        <w:ind w:left="1191" w:hanging="1191"/>
        <w:jc w:val="center"/>
        <w:rPr>
          <w:b/>
          <w:bCs/>
        </w:rPr>
      </w:pPr>
      <w:r w:rsidRPr="00507AB4">
        <w:rPr>
          <w:b/>
          <w:bCs/>
        </w:rPr>
        <w:t xml:space="preserve">PROCÉDURE DE </w:t>
      </w:r>
      <w:r w:rsidR="00CD1013">
        <w:rPr>
          <w:b/>
          <w:bCs/>
        </w:rPr>
        <w:t>CODÉCISION</w:t>
      </w:r>
      <w:r w:rsidR="00C73607" w:rsidRPr="00507AB4">
        <w:rPr>
          <w:b/>
          <w:bCs/>
        </w:rPr>
        <w:t xml:space="preserve"> – </w:t>
      </w:r>
      <w:r w:rsidRPr="00507AB4">
        <w:rPr>
          <w:b/>
          <w:bCs/>
        </w:rPr>
        <w:t>2ème lecture</w:t>
      </w:r>
    </w:p>
    <w:p w:rsidR="00F26D76" w:rsidRPr="00507AB4" w:rsidRDefault="00F26D76" w:rsidP="005E7E32">
      <w:pPr>
        <w:jc w:val="center"/>
        <w:rPr>
          <w:b/>
        </w:rPr>
      </w:pPr>
      <w:r w:rsidRPr="00507AB4">
        <w:rPr>
          <w:b/>
        </w:rPr>
        <w:t xml:space="preserve">Résolution législative du Parlement européen sur la position commune arrêtée par le Conseil en vue de l'adoption de la directive du Parlement européen et du Conseil relative aux pratiques commerciales déloyales des entreprises vis-à-vis des consommateurs dans le marché intérieur et modifiant la directive 84/450/CEE du Conseil et les directives 97/7/CE, 98/27/CE et 2002/65/CE du Parlement européen et du Conseil et le règlement (CE) n° </w:t>
      </w:r>
      <w:r w:rsidR="00C36783">
        <w:rPr>
          <w:b/>
        </w:rPr>
        <w:t>2006</w:t>
      </w:r>
      <w:r w:rsidRPr="00507AB4">
        <w:rPr>
          <w:b/>
        </w:rPr>
        <w:t>/2004 du Parlement européen et du Conseil ("directive sur les pratiques commerciales déloyales")</w:t>
      </w:r>
    </w:p>
    <w:p w:rsidR="00C73607" w:rsidRPr="00507AB4" w:rsidRDefault="00C73607" w:rsidP="005E7E32">
      <w:pPr>
        <w:jc w:val="left"/>
      </w:pPr>
    </w:p>
    <w:p w:rsidR="00C73607" w:rsidRPr="00507AB4" w:rsidRDefault="00C73607" w:rsidP="005E7E32">
      <w:pPr>
        <w:jc w:val="left"/>
      </w:pPr>
    </w:p>
    <w:p w:rsidR="00C73607" w:rsidRPr="00507AB4" w:rsidRDefault="00C73607" w:rsidP="00540962">
      <w:pPr>
        <w:ind w:left="567" w:hanging="567"/>
      </w:pPr>
      <w:r w:rsidRPr="00507AB4">
        <w:rPr>
          <w:b/>
          <w:bCs/>
        </w:rPr>
        <w:t>1.</w:t>
      </w:r>
      <w:r w:rsidRPr="00507AB4">
        <w:rPr>
          <w:b/>
          <w:bCs/>
        </w:rPr>
        <w:tab/>
      </w:r>
      <w:r w:rsidR="001F52E6" w:rsidRPr="00507AB4">
        <w:rPr>
          <w:b/>
          <w:bCs/>
        </w:rPr>
        <w:tab/>
      </w:r>
      <w:r w:rsidRPr="00507AB4">
        <w:rPr>
          <w:b/>
          <w:bCs/>
        </w:rPr>
        <w:t xml:space="preserve">Rapporteur: </w:t>
      </w:r>
      <w:r w:rsidRPr="00507AB4">
        <w:rPr>
          <w:bCs/>
        </w:rPr>
        <w:t>Mercedes Bresso</w:t>
      </w:r>
    </w:p>
    <w:p w:rsidR="00C73607" w:rsidRPr="00507AB4" w:rsidRDefault="00C73607" w:rsidP="00540962">
      <w:pPr>
        <w:ind w:left="567" w:hanging="567"/>
        <w:rPr>
          <w:b/>
          <w:bCs/>
        </w:rPr>
      </w:pPr>
      <w:r w:rsidRPr="00507AB4">
        <w:rPr>
          <w:b/>
          <w:bCs/>
        </w:rPr>
        <w:t>2.</w:t>
      </w:r>
      <w:r w:rsidRPr="00507AB4">
        <w:rPr>
          <w:b/>
          <w:bCs/>
        </w:rPr>
        <w:tab/>
      </w:r>
      <w:r w:rsidR="001F52E6" w:rsidRPr="00507AB4">
        <w:rPr>
          <w:b/>
          <w:bCs/>
        </w:rPr>
        <w:tab/>
      </w:r>
      <w:r w:rsidR="005174FB" w:rsidRPr="00507AB4">
        <w:rPr>
          <w:b/>
          <w:bCs/>
        </w:rPr>
        <w:t>N° du PE</w:t>
      </w:r>
      <w:r w:rsidRPr="00507AB4">
        <w:rPr>
          <w:b/>
          <w:bCs/>
        </w:rPr>
        <w:t xml:space="preserve">: </w:t>
      </w:r>
      <w:r w:rsidRPr="00507AB4">
        <w:rPr>
          <w:bCs/>
        </w:rPr>
        <w:t>A6-0027/2005</w:t>
      </w:r>
    </w:p>
    <w:p w:rsidR="00C73607" w:rsidRPr="00507AB4" w:rsidRDefault="00C73607" w:rsidP="00540962">
      <w:pPr>
        <w:ind w:left="567" w:hanging="567"/>
        <w:rPr>
          <w:b/>
          <w:bCs/>
        </w:rPr>
      </w:pPr>
      <w:r w:rsidRPr="00507AB4">
        <w:rPr>
          <w:b/>
          <w:bCs/>
        </w:rPr>
        <w:t>3.</w:t>
      </w:r>
      <w:r w:rsidRPr="00507AB4">
        <w:rPr>
          <w:b/>
          <w:bCs/>
        </w:rPr>
        <w:tab/>
      </w:r>
      <w:r w:rsidR="001F52E6" w:rsidRPr="00507AB4">
        <w:rPr>
          <w:b/>
          <w:bCs/>
        </w:rPr>
        <w:tab/>
      </w:r>
      <w:r w:rsidR="005174FB" w:rsidRPr="00507AB4">
        <w:rPr>
          <w:b/>
          <w:bCs/>
        </w:rPr>
        <w:t>Date d’adoption du rapport</w:t>
      </w:r>
      <w:r w:rsidRPr="00507AB4">
        <w:rPr>
          <w:b/>
          <w:bCs/>
        </w:rPr>
        <w:t xml:space="preserve">: </w:t>
      </w:r>
      <w:r w:rsidRPr="00507AB4">
        <w:rPr>
          <w:bCs/>
        </w:rPr>
        <w:t xml:space="preserve">24 </w:t>
      </w:r>
      <w:r w:rsidR="005174FB" w:rsidRPr="00507AB4">
        <w:rPr>
          <w:bCs/>
        </w:rPr>
        <w:t>février</w:t>
      </w:r>
      <w:r w:rsidRPr="00507AB4">
        <w:rPr>
          <w:bCs/>
        </w:rPr>
        <w:t xml:space="preserve"> 2005</w:t>
      </w:r>
    </w:p>
    <w:p w:rsidR="00C73607" w:rsidRPr="00507AB4" w:rsidRDefault="001F52E6" w:rsidP="00540962">
      <w:pPr>
        <w:ind w:left="567" w:hanging="567"/>
      </w:pPr>
      <w:r w:rsidRPr="00507AB4">
        <w:rPr>
          <w:b/>
        </w:rPr>
        <w:t>4.</w:t>
      </w:r>
      <w:r w:rsidRPr="00507AB4">
        <w:rPr>
          <w:b/>
        </w:rPr>
        <w:tab/>
      </w:r>
      <w:r w:rsidRPr="00507AB4">
        <w:rPr>
          <w:b/>
        </w:rPr>
        <w:tab/>
      </w:r>
      <w:r w:rsidR="005174FB" w:rsidRPr="00507AB4">
        <w:rPr>
          <w:b/>
        </w:rPr>
        <w:t>Objet:</w:t>
      </w:r>
      <w:r w:rsidR="00C73607" w:rsidRPr="00507AB4">
        <w:t xml:space="preserve"> </w:t>
      </w:r>
      <w:r w:rsidR="00F26D76" w:rsidRPr="00507AB4">
        <w:t>Pratiques commerciales déloyales</w:t>
      </w:r>
    </w:p>
    <w:p w:rsidR="00C73607" w:rsidRPr="00507AB4" w:rsidRDefault="00C73607" w:rsidP="00540962">
      <w:pPr>
        <w:ind w:left="567" w:hanging="567"/>
      </w:pPr>
      <w:r w:rsidRPr="00507AB4">
        <w:rPr>
          <w:b/>
        </w:rPr>
        <w:t>5.</w:t>
      </w:r>
      <w:r w:rsidRPr="00507AB4">
        <w:rPr>
          <w:b/>
        </w:rPr>
        <w:tab/>
      </w:r>
      <w:r w:rsidR="001F52E6" w:rsidRPr="00507AB4">
        <w:rPr>
          <w:b/>
        </w:rPr>
        <w:tab/>
      </w:r>
      <w:r w:rsidR="005174FB" w:rsidRPr="00507AB4">
        <w:rPr>
          <w:b/>
        </w:rPr>
        <w:t xml:space="preserve">Référence </w:t>
      </w:r>
      <w:r w:rsidR="00507AB4" w:rsidRPr="00507AB4">
        <w:rPr>
          <w:b/>
        </w:rPr>
        <w:t>interinstitutionnelle</w:t>
      </w:r>
      <w:r w:rsidRPr="00507AB4">
        <w:t>: 2003/0134(COD)</w:t>
      </w:r>
    </w:p>
    <w:p w:rsidR="00C73607" w:rsidRPr="00507AB4" w:rsidRDefault="00C73607" w:rsidP="00540962">
      <w:pPr>
        <w:ind w:left="567" w:hanging="567"/>
      </w:pPr>
      <w:r w:rsidRPr="00507AB4">
        <w:rPr>
          <w:b/>
          <w:bCs/>
        </w:rPr>
        <w:t>6.</w:t>
      </w:r>
      <w:r w:rsidRPr="00507AB4">
        <w:rPr>
          <w:b/>
          <w:bCs/>
        </w:rPr>
        <w:tab/>
      </w:r>
      <w:r w:rsidR="001F52E6" w:rsidRPr="00507AB4">
        <w:rPr>
          <w:b/>
          <w:bCs/>
        </w:rPr>
        <w:tab/>
      </w:r>
      <w:r w:rsidR="005174FB" w:rsidRPr="00507AB4">
        <w:rPr>
          <w:b/>
          <w:bCs/>
        </w:rPr>
        <w:t>Base juridique:</w:t>
      </w:r>
      <w:r w:rsidRPr="00507AB4">
        <w:rPr>
          <w:b/>
          <w:bCs/>
        </w:rPr>
        <w:t xml:space="preserve"> </w:t>
      </w:r>
      <w:r w:rsidRPr="00507AB4">
        <w:rPr>
          <w:bCs/>
        </w:rPr>
        <w:t xml:space="preserve">Article 95 </w:t>
      </w:r>
      <w:r w:rsidR="00F26D76" w:rsidRPr="00507AB4">
        <w:rPr>
          <w:bCs/>
        </w:rPr>
        <w:t>du traité CE</w:t>
      </w:r>
    </w:p>
    <w:p w:rsidR="001F52E6" w:rsidRPr="00507AB4" w:rsidRDefault="00C73607" w:rsidP="00540962">
      <w:pPr>
        <w:ind w:left="567" w:hanging="567"/>
        <w:rPr>
          <w:b/>
          <w:bCs/>
        </w:rPr>
      </w:pPr>
      <w:r w:rsidRPr="00507AB4">
        <w:rPr>
          <w:b/>
          <w:bCs/>
        </w:rPr>
        <w:t>7.</w:t>
      </w:r>
      <w:r w:rsidRPr="00507AB4">
        <w:rPr>
          <w:b/>
          <w:bCs/>
        </w:rPr>
        <w:tab/>
      </w:r>
      <w:r w:rsidR="001F52E6" w:rsidRPr="00507AB4">
        <w:rPr>
          <w:b/>
          <w:bCs/>
        </w:rPr>
        <w:tab/>
      </w:r>
      <w:r w:rsidR="005174FB" w:rsidRPr="00507AB4">
        <w:rPr>
          <w:b/>
          <w:bCs/>
        </w:rPr>
        <w:t>Commission parlementaire compétente</w:t>
      </w:r>
      <w:r w:rsidRPr="00507AB4">
        <w:rPr>
          <w:b/>
          <w:bCs/>
        </w:rPr>
        <w:t>:</w:t>
      </w:r>
    </w:p>
    <w:p w:rsidR="00C73607" w:rsidRPr="00507AB4" w:rsidRDefault="00F26D76" w:rsidP="00540962">
      <w:pPr>
        <w:ind w:left="567" w:hanging="567"/>
        <w:rPr>
          <w:b/>
          <w:bCs/>
        </w:rPr>
      </w:pPr>
      <w:r w:rsidRPr="00507AB4">
        <w:rPr>
          <w:color w:val="000000"/>
        </w:rPr>
        <w:t>Commission du marché intérieur et de la protection des consommateurs (IMCO)</w:t>
      </w:r>
    </w:p>
    <w:p w:rsidR="001F52E6" w:rsidRPr="00507AB4" w:rsidRDefault="00C73607" w:rsidP="00540962">
      <w:pPr>
        <w:ind w:left="567" w:hanging="567"/>
        <w:rPr>
          <w:b/>
          <w:bCs/>
        </w:rPr>
      </w:pPr>
      <w:r w:rsidRPr="00507AB4">
        <w:rPr>
          <w:b/>
          <w:bCs/>
        </w:rPr>
        <w:t>8.</w:t>
      </w:r>
      <w:r w:rsidR="001F52E6" w:rsidRPr="00507AB4">
        <w:rPr>
          <w:b/>
          <w:bCs/>
        </w:rPr>
        <w:tab/>
      </w:r>
      <w:r w:rsidR="001F52E6" w:rsidRPr="00507AB4">
        <w:rPr>
          <w:b/>
          <w:bCs/>
        </w:rPr>
        <w:tab/>
      </w:r>
      <w:r w:rsidR="005174FB" w:rsidRPr="00507AB4">
        <w:rPr>
          <w:b/>
          <w:bCs/>
        </w:rPr>
        <w:t>Position de la Commission</w:t>
      </w:r>
      <w:r w:rsidRPr="00507AB4">
        <w:rPr>
          <w:b/>
          <w:bCs/>
        </w:rPr>
        <w:t>:</w:t>
      </w:r>
    </w:p>
    <w:p w:rsidR="00C73607" w:rsidRPr="00507AB4" w:rsidRDefault="00F26D76" w:rsidP="00540962">
      <w:r w:rsidRPr="00507AB4">
        <w:rPr>
          <w:bCs/>
        </w:rPr>
        <w:t>La</w:t>
      </w:r>
      <w:r w:rsidR="00C73607" w:rsidRPr="00507AB4">
        <w:rPr>
          <w:bCs/>
        </w:rPr>
        <w:t xml:space="preserve"> Commission </w:t>
      </w:r>
      <w:r w:rsidRPr="00507AB4">
        <w:rPr>
          <w:bCs/>
          <w:u w:val="single"/>
        </w:rPr>
        <w:t xml:space="preserve">peut accepter intégralement </w:t>
      </w:r>
      <w:r w:rsidRPr="00507AB4">
        <w:rPr>
          <w:bCs/>
        </w:rPr>
        <w:t>les</w:t>
      </w:r>
      <w:r w:rsidR="00C73607" w:rsidRPr="00507AB4">
        <w:rPr>
          <w:bCs/>
        </w:rPr>
        <w:t xml:space="preserve"> 19 amend</w:t>
      </w:r>
      <w:r w:rsidRPr="00507AB4">
        <w:rPr>
          <w:bCs/>
        </w:rPr>
        <w:t>e</w:t>
      </w:r>
      <w:r w:rsidR="00C73607" w:rsidRPr="00507AB4">
        <w:rPr>
          <w:bCs/>
        </w:rPr>
        <w:t>ments adopt</w:t>
      </w:r>
      <w:r w:rsidRPr="00507AB4">
        <w:rPr>
          <w:bCs/>
        </w:rPr>
        <w:t xml:space="preserve">és par le Parlement européen. </w:t>
      </w:r>
      <w:r w:rsidR="00BC49E3" w:rsidRPr="00507AB4">
        <w:rPr>
          <w:bCs/>
        </w:rPr>
        <w:t>Ils sont le résultat</w:t>
      </w:r>
      <w:r w:rsidRPr="00507AB4">
        <w:rPr>
          <w:bCs/>
        </w:rPr>
        <w:t xml:space="preserve"> d’un accord de compromis </w:t>
      </w:r>
      <w:r w:rsidR="00BC49E3" w:rsidRPr="00507AB4">
        <w:rPr>
          <w:bCs/>
        </w:rPr>
        <w:t>auquel sont parvenus le Parlement européen, le Conseil et la Commission en deuxième lecture. Ces amendements rejoignent les objectifs de la Commission pour la proposition et conservent l'équilibre des intérêts atteint dans la position commune</w:t>
      </w:r>
      <w:r w:rsidR="00C73607" w:rsidRPr="00507AB4">
        <w:rPr>
          <w:bCs/>
        </w:rPr>
        <w:t>.</w:t>
      </w:r>
    </w:p>
    <w:p w:rsidR="00C73607" w:rsidRPr="00507AB4" w:rsidRDefault="001F52E6" w:rsidP="00540962">
      <w:r w:rsidRPr="00507AB4">
        <w:rPr>
          <w:b/>
          <w:bCs/>
        </w:rPr>
        <w:t>9.</w:t>
      </w:r>
      <w:r w:rsidRPr="00507AB4">
        <w:rPr>
          <w:b/>
          <w:bCs/>
        </w:rPr>
        <w:tab/>
      </w:r>
      <w:r w:rsidR="00BC49E3" w:rsidRPr="00507AB4">
        <w:rPr>
          <w:b/>
          <w:bCs/>
        </w:rPr>
        <w:t xml:space="preserve">Prévisions quant à l’avis de la </w:t>
      </w:r>
      <w:r w:rsidR="00C73607" w:rsidRPr="00507AB4">
        <w:rPr>
          <w:b/>
          <w:bCs/>
        </w:rPr>
        <w:t>Commission:</w:t>
      </w:r>
      <w:r w:rsidRPr="00507AB4">
        <w:rPr>
          <w:b/>
          <w:bCs/>
        </w:rPr>
        <w:t xml:space="preserve"> </w:t>
      </w:r>
      <w:r w:rsidR="00BC49E3" w:rsidRPr="00507AB4">
        <w:rPr>
          <w:bCs/>
        </w:rPr>
        <w:t>Conformément à l’article 250, paragraphe 2</w:t>
      </w:r>
      <w:r w:rsidR="001354D5">
        <w:rPr>
          <w:bCs/>
        </w:rPr>
        <w:t>,</w:t>
      </w:r>
      <w:r w:rsidR="00BC49E3" w:rsidRPr="00507AB4">
        <w:rPr>
          <w:bCs/>
        </w:rPr>
        <w:t xml:space="preserve"> du traité CE, la Commission modifie sa proposition et accepte les amendements adoptés par le Parlement européen</w:t>
      </w:r>
      <w:r w:rsidR="00C73607" w:rsidRPr="00507AB4">
        <w:rPr>
          <w:bCs/>
        </w:rPr>
        <w:t>.</w:t>
      </w:r>
    </w:p>
    <w:p w:rsidR="00C73607" w:rsidRPr="00507AB4" w:rsidRDefault="00C73607" w:rsidP="00540962">
      <w:r w:rsidRPr="00507AB4">
        <w:rPr>
          <w:b/>
          <w:bCs/>
        </w:rPr>
        <w:t>10.</w:t>
      </w:r>
      <w:r w:rsidRPr="00507AB4">
        <w:rPr>
          <w:b/>
          <w:bCs/>
        </w:rPr>
        <w:tab/>
      </w:r>
      <w:r w:rsidR="00BC49E3" w:rsidRPr="00507AB4">
        <w:rPr>
          <w:b/>
          <w:bCs/>
        </w:rPr>
        <w:t>Prévisions quant à l’adoption de la proposition</w:t>
      </w:r>
      <w:r w:rsidRPr="00507AB4">
        <w:rPr>
          <w:b/>
          <w:bCs/>
        </w:rPr>
        <w:t>:</w:t>
      </w:r>
      <w:r w:rsidRPr="00507AB4">
        <w:t xml:space="preserve"> </w:t>
      </w:r>
      <w:r w:rsidR="00C656AD" w:rsidRPr="00507AB4">
        <w:t>L'adoption officielle devrait avoir lieu lors du Conseil "Compétitivité" de juin</w:t>
      </w:r>
      <w:r w:rsidRPr="00507AB4">
        <w:t>.</w:t>
      </w:r>
    </w:p>
    <w:p w:rsidR="00DA5007" w:rsidRPr="00507AB4" w:rsidRDefault="00C73607" w:rsidP="00DA5007">
      <w:pPr>
        <w:pStyle w:val="Subject"/>
        <w:spacing w:after="240"/>
        <w:rPr>
          <w:rStyle w:val="DefaultMargins"/>
          <w:rFonts w:ascii="Times New Roman" w:hAnsi="Times New Roman"/>
          <w:spacing w:val="-2"/>
          <w:sz w:val="24"/>
          <w:szCs w:val="24"/>
          <w:lang w:val="fr-FR"/>
        </w:rPr>
      </w:pPr>
      <w:r w:rsidRPr="00507AB4">
        <w:rPr>
          <w:rStyle w:val="DefaultMargins"/>
          <w:rFonts w:ascii="Times New Roman" w:hAnsi="Times New Roman"/>
          <w:spacing w:val="-2"/>
          <w:sz w:val="24"/>
          <w:szCs w:val="24"/>
          <w:lang w:val="fr-FR"/>
        </w:rPr>
        <w:br w:type="page"/>
      </w:r>
    </w:p>
    <w:p w:rsidR="00DA5007" w:rsidRPr="00507AB4" w:rsidRDefault="005174FB" w:rsidP="00DA5007">
      <w:pPr>
        <w:pStyle w:val="Subject"/>
        <w:spacing w:after="240"/>
        <w:jc w:val="center"/>
      </w:pPr>
      <w:r w:rsidRPr="00507AB4">
        <w:t xml:space="preserve">PROCÉDURE DE </w:t>
      </w:r>
      <w:r w:rsidR="00CD1013">
        <w:t>CODÉCISION</w:t>
      </w:r>
      <w:r w:rsidR="00DA5007" w:rsidRPr="00507AB4">
        <w:t xml:space="preserve"> – </w:t>
      </w:r>
      <w:r w:rsidR="000F382A">
        <w:t>1ère</w:t>
      </w:r>
      <w:r w:rsidR="00C656AD" w:rsidRPr="00507AB4">
        <w:t xml:space="preserve"> lecture</w:t>
      </w:r>
    </w:p>
    <w:p w:rsidR="00DA5007" w:rsidRPr="00507AB4" w:rsidRDefault="00DA5007" w:rsidP="00DA5007">
      <w:pPr>
        <w:jc w:val="center"/>
        <w:rPr>
          <w:b/>
        </w:rPr>
      </w:pPr>
      <w:r w:rsidRPr="00507AB4">
        <w:rPr>
          <w:b/>
          <w:color w:val="000000"/>
        </w:rPr>
        <w:t>Propos</w:t>
      </w:r>
      <w:r w:rsidR="00C656AD" w:rsidRPr="00507AB4">
        <w:rPr>
          <w:b/>
          <w:color w:val="000000"/>
        </w:rPr>
        <w:t xml:space="preserve">ition de règlement </w:t>
      </w:r>
      <w:r w:rsidR="001354D5">
        <w:rPr>
          <w:b/>
          <w:color w:val="000000"/>
        </w:rPr>
        <w:t>concernant</w:t>
      </w:r>
      <w:r w:rsidR="00C656AD" w:rsidRPr="00507AB4">
        <w:rPr>
          <w:b/>
          <w:color w:val="000000"/>
        </w:rPr>
        <w:t xml:space="preserve"> les statistiques sur la formation professionnelle continue en entreprise</w:t>
      </w:r>
    </w:p>
    <w:p w:rsidR="00DA5007" w:rsidRPr="00507AB4" w:rsidRDefault="00DA5007" w:rsidP="00540962"/>
    <w:p w:rsidR="00DA5007" w:rsidRPr="00507AB4" w:rsidRDefault="00DA5007" w:rsidP="00540962"/>
    <w:p w:rsidR="00DA5007" w:rsidRPr="00507AB4" w:rsidRDefault="00DA5007" w:rsidP="00540962">
      <w:r w:rsidRPr="00507AB4">
        <w:rPr>
          <w:b/>
        </w:rPr>
        <w:t>1.</w:t>
      </w:r>
      <w:r w:rsidRPr="00507AB4">
        <w:rPr>
          <w:b/>
        </w:rPr>
        <w:tab/>
        <w:t xml:space="preserve">Rapporteur: </w:t>
      </w:r>
      <w:r w:rsidRPr="00507AB4">
        <w:t>Ottaviano Del Turco</w:t>
      </w:r>
    </w:p>
    <w:p w:rsidR="00DA5007" w:rsidRPr="00507AB4" w:rsidRDefault="00DA5007" w:rsidP="00540962">
      <w:r w:rsidRPr="00507AB4">
        <w:rPr>
          <w:b/>
        </w:rPr>
        <w:t>2.</w:t>
      </w:r>
      <w:r w:rsidRPr="00507AB4">
        <w:rPr>
          <w:b/>
        </w:rPr>
        <w:tab/>
      </w:r>
      <w:r w:rsidR="005174FB" w:rsidRPr="00507AB4">
        <w:rPr>
          <w:b/>
        </w:rPr>
        <w:t>N° du PE</w:t>
      </w:r>
      <w:r w:rsidRPr="00507AB4">
        <w:rPr>
          <w:b/>
        </w:rPr>
        <w:t xml:space="preserve">: </w:t>
      </w:r>
      <w:r w:rsidRPr="00507AB4">
        <w:t>A6-0033/2005</w:t>
      </w:r>
    </w:p>
    <w:p w:rsidR="00DA5007" w:rsidRPr="00507AB4" w:rsidRDefault="00DA5007" w:rsidP="00540962">
      <w:r w:rsidRPr="00507AB4">
        <w:rPr>
          <w:b/>
        </w:rPr>
        <w:t>3.</w:t>
      </w:r>
      <w:r w:rsidRPr="00507AB4">
        <w:rPr>
          <w:b/>
        </w:rPr>
        <w:tab/>
      </w:r>
      <w:r w:rsidR="005174FB" w:rsidRPr="00507AB4">
        <w:rPr>
          <w:b/>
        </w:rPr>
        <w:t>Date d’adoption du rapport</w:t>
      </w:r>
      <w:r w:rsidRPr="00507AB4">
        <w:rPr>
          <w:b/>
        </w:rPr>
        <w:t xml:space="preserve">: </w:t>
      </w:r>
      <w:r w:rsidRPr="00507AB4">
        <w:t xml:space="preserve">23 </w:t>
      </w:r>
      <w:r w:rsidR="00C84DFD" w:rsidRPr="00507AB4">
        <w:t>février</w:t>
      </w:r>
      <w:r w:rsidRPr="00507AB4">
        <w:t xml:space="preserve"> 2005</w:t>
      </w:r>
    </w:p>
    <w:p w:rsidR="00DA5007" w:rsidRPr="00507AB4" w:rsidRDefault="00DA5007" w:rsidP="00540962">
      <w:r w:rsidRPr="00507AB4">
        <w:rPr>
          <w:b/>
        </w:rPr>
        <w:t>4.</w:t>
      </w:r>
      <w:r w:rsidRPr="00507AB4">
        <w:rPr>
          <w:b/>
        </w:rPr>
        <w:tab/>
      </w:r>
      <w:r w:rsidR="005174FB" w:rsidRPr="00507AB4">
        <w:rPr>
          <w:b/>
        </w:rPr>
        <w:t>Objet:</w:t>
      </w:r>
      <w:r w:rsidRPr="00507AB4">
        <w:rPr>
          <w:b/>
        </w:rPr>
        <w:t xml:space="preserve"> </w:t>
      </w:r>
      <w:r w:rsidRPr="00507AB4">
        <w:rPr>
          <w:color w:val="000000"/>
        </w:rPr>
        <w:t>Propos</w:t>
      </w:r>
      <w:r w:rsidR="00500D60" w:rsidRPr="00507AB4">
        <w:rPr>
          <w:color w:val="000000"/>
        </w:rPr>
        <w:t>ition de règlement concernant les statistiques sur la formation professionnelle continue en entreprise</w:t>
      </w:r>
    </w:p>
    <w:p w:rsidR="00DA5007" w:rsidRPr="00507AB4" w:rsidRDefault="00DA5007" w:rsidP="00540962">
      <w:pPr>
        <w:ind w:left="284" w:hanging="284"/>
        <w:rPr>
          <w:snapToGrid w:val="0"/>
          <w:lang w:eastAsia="en-US"/>
        </w:rPr>
      </w:pPr>
      <w:r w:rsidRPr="00507AB4">
        <w:rPr>
          <w:b/>
        </w:rPr>
        <w:t>5.</w:t>
      </w:r>
      <w:r w:rsidRPr="00507AB4">
        <w:rPr>
          <w:b/>
        </w:rPr>
        <w:tab/>
      </w:r>
      <w:r w:rsidRPr="00507AB4">
        <w:rPr>
          <w:b/>
        </w:rPr>
        <w:tab/>
      </w:r>
      <w:r w:rsidR="005174FB" w:rsidRPr="00507AB4">
        <w:rPr>
          <w:b/>
        </w:rPr>
        <w:t xml:space="preserve">Référence </w:t>
      </w:r>
      <w:r w:rsidR="00507AB4" w:rsidRPr="00507AB4">
        <w:rPr>
          <w:b/>
        </w:rPr>
        <w:t>interinstitutionnelle</w:t>
      </w:r>
      <w:r w:rsidRPr="00507AB4">
        <w:rPr>
          <w:b/>
        </w:rPr>
        <w:t xml:space="preserve">: </w:t>
      </w:r>
      <w:r w:rsidRPr="00507AB4">
        <w:rPr>
          <w:snapToGrid w:val="0"/>
          <w:lang w:eastAsia="en-US"/>
        </w:rPr>
        <w:t>2004/0041(COD)</w:t>
      </w:r>
    </w:p>
    <w:p w:rsidR="00DA5007" w:rsidRPr="00507AB4" w:rsidRDefault="00DA5007" w:rsidP="00540962">
      <w:r w:rsidRPr="00507AB4">
        <w:rPr>
          <w:b/>
        </w:rPr>
        <w:t>6.</w:t>
      </w:r>
      <w:r w:rsidRPr="00507AB4">
        <w:rPr>
          <w:b/>
        </w:rPr>
        <w:tab/>
      </w:r>
      <w:r w:rsidR="005174FB" w:rsidRPr="00507AB4">
        <w:rPr>
          <w:b/>
        </w:rPr>
        <w:t>Base juridique:</w:t>
      </w:r>
      <w:r w:rsidRPr="00507AB4">
        <w:rPr>
          <w:b/>
        </w:rPr>
        <w:t xml:space="preserve"> </w:t>
      </w:r>
      <w:r w:rsidR="00F65442" w:rsidRPr="00507AB4">
        <w:t xml:space="preserve">article </w:t>
      </w:r>
      <w:r w:rsidRPr="00507AB4">
        <w:t>285</w:t>
      </w:r>
      <w:r w:rsidR="00F65442" w:rsidRPr="00507AB4">
        <w:t xml:space="preserve">, paragraphe </w:t>
      </w:r>
      <w:r w:rsidRPr="00507AB4">
        <w:t>1</w:t>
      </w:r>
      <w:r w:rsidR="00F65442" w:rsidRPr="00507AB4">
        <w:t xml:space="preserve"> du</w:t>
      </w:r>
      <w:r w:rsidRPr="00507AB4">
        <w:t xml:space="preserve"> </w:t>
      </w:r>
      <w:r w:rsidR="00F65442" w:rsidRPr="00507AB4">
        <w:t>Traité CE</w:t>
      </w:r>
    </w:p>
    <w:p w:rsidR="00DA5007" w:rsidRPr="00507AB4" w:rsidRDefault="00DA5007" w:rsidP="00540962">
      <w:pPr>
        <w:ind w:left="284" w:hanging="284"/>
      </w:pPr>
      <w:r w:rsidRPr="00507AB4">
        <w:rPr>
          <w:b/>
        </w:rPr>
        <w:t>7.</w:t>
      </w:r>
      <w:r w:rsidRPr="00507AB4">
        <w:rPr>
          <w:b/>
        </w:rPr>
        <w:tab/>
      </w:r>
      <w:r w:rsidRPr="00507AB4">
        <w:rPr>
          <w:b/>
        </w:rPr>
        <w:tab/>
      </w:r>
      <w:r w:rsidR="005174FB" w:rsidRPr="00507AB4">
        <w:rPr>
          <w:b/>
        </w:rPr>
        <w:t>Commission parlementaire compétente</w:t>
      </w:r>
      <w:r w:rsidRPr="00507AB4">
        <w:rPr>
          <w:b/>
        </w:rPr>
        <w:t xml:space="preserve">: </w:t>
      </w:r>
      <w:r w:rsidRPr="00507AB4">
        <w:t>Emplo</w:t>
      </w:r>
      <w:r w:rsidR="00F65442" w:rsidRPr="00507AB4">
        <w:t>i et affaires sociales</w:t>
      </w:r>
      <w:r w:rsidRPr="00507AB4">
        <w:t xml:space="preserve"> (EMPL)</w:t>
      </w:r>
    </w:p>
    <w:p w:rsidR="00DA5007" w:rsidRPr="00507AB4" w:rsidRDefault="00DA5007" w:rsidP="00540962">
      <w:r w:rsidRPr="00507AB4">
        <w:rPr>
          <w:b/>
        </w:rPr>
        <w:t>8.</w:t>
      </w:r>
      <w:r w:rsidRPr="00507AB4">
        <w:rPr>
          <w:b/>
        </w:rPr>
        <w:tab/>
      </w:r>
      <w:r w:rsidR="005174FB" w:rsidRPr="00507AB4">
        <w:rPr>
          <w:b/>
        </w:rPr>
        <w:t>Position de la Commission</w:t>
      </w:r>
      <w:r w:rsidRPr="00507AB4">
        <w:rPr>
          <w:b/>
        </w:rPr>
        <w:t xml:space="preserve">: </w:t>
      </w:r>
      <w:r w:rsidR="00F65442" w:rsidRPr="00507AB4">
        <w:t>Le 23 février</w:t>
      </w:r>
      <w:r w:rsidRPr="00507AB4">
        <w:t xml:space="preserve"> 2005, </w:t>
      </w:r>
      <w:r w:rsidR="00F65442" w:rsidRPr="00507AB4">
        <w:t xml:space="preserve">le Parlement européen a adopté </w:t>
      </w:r>
      <w:r w:rsidR="001354D5">
        <w:t>16</w:t>
      </w:r>
      <w:r w:rsidR="00F65442" w:rsidRPr="00507AB4">
        <w:t xml:space="preserve"> amendements qui conduiront à l’adoption en première lecture et que </w:t>
      </w:r>
      <w:r w:rsidR="00F65442" w:rsidRPr="00507AB4">
        <w:rPr>
          <w:u w:val="single"/>
        </w:rPr>
        <w:t>la Commission peut soutenir</w:t>
      </w:r>
      <w:r w:rsidRPr="00507AB4">
        <w:t>.</w:t>
      </w:r>
    </w:p>
    <w:p w:rsidR="00DA5007" w:rsidRPr="00507AB4" w:rsidRDefault="00DA5007" w:rsidP="00540962">
      <w:r w:rsidRPr="00507AB4">
        <w:rPr>
          <w:b/>
        </w:rPr>
        <w:t>9.</w:t>
      </w:r>
      <w:r w:rsidRPr="00507AB4">
        <w:rPr>
          <w:b/>
        </w:rPr>
        <w:tab/>
      </w:r>
      <w:r w:rsidR="00F65442" w:rsidRPr="00507AB4">
        <w:rPr>
          <w:b/>
        </w:rPr>
        <w:t>Prévisions quant à la modification de la proposition</w:t>
      </w:r>
      <w:r w:rsidRPr="00507AB4">
        <w:rPr>
          <w:b/>
        </w:rPr>
        <w:t xml:space="preserve">: </w:t>
      </w:r>
      <w:r w:rsidR="00F65442" w:rsidRPr="00507AB4">
        <w:t>Les services de la</w:t>
      </w:r>
      <w:r w:rsidRPr="00507AB4">
        <w:t xml:space="preserve"> Commission </w:t>
      </w:r>
      <w:r w:rsidR="00F65442" w:rsidRPr="00507AB4">
        <w:t>informeront le Conseil oralement de l’acceptation des amendements du PE.</w:t>
      </w:r>
    </w:p>
    <w:p w:rsidR="00DA5007" w:rsidRPr="00507AB4" w:rsidRDefault="00DA5007" w:rsidP="00540962">
      <w:pPr>
        <w:rPr>
          <w:snapToGrid w:val="0"/>
          <w:lang w:eastAsia="en-US"/>
        </w:rPr>
      </w:pPr>
      <w:r w:rsidRPr="00507AB4">
        <w:rPr>
          <w:b/>
        </w:rPr>
        <w:t>10.</w:t>
      </w:r>
      <w:r w:rsidRPr="00507AB4">
        <w:rPr>
          <w:b/>
        </w:rPr>
        <w:tab/>
      </w:r>
      <w:r w:rsidR="00F65442" w:rsidRPr="00507AB4">
        <w:rPr>
          <w:b/>
        </w:rPr>
        <w:t xml:space="preserve">Prévisions quant à l’adoption du règlement : </w:t>
      </w:r>
      <w:r w:rsidR="00F65442" w:rsidRPr="00507AB4">
        <w:t>Le Conseil est sur le point d’adopter le règlement en première lecture</w:t>
      </w:r>
      <w:r w:rsidRPr="00507AB4">
        <w:rPr>
          <w:snapToGrid w:val="0"/>
          <w:lang w:eastAsia="en-US"/>
        </w:rPr>
        <w:t>.</w:t>
      </w:r>
    </w:p>
    <w:p w:rsidR="00F569D9" w:rsidRPr="00507AB4" w:rsidRDefault="00DA5007" w:rsidP="00BF340E">
      <w:pPr>
        <w:rPr>
          <w:rStyle w:val="DefaultMargins"/>
          <w:rFonts w:ascii="Times New Roman" w:hAnsi="Times New Roman"/>
          <w:spacing w:val="-2"/>
          <w:sz w:val="24"/>
          <w:szCs w:val="24"/>
          <w:lang w:val="fr-FR"/>
        </w:rPr>
      </w:pPr>
      <w:r w:rsidRPr="00507AB4">
        <w:rPr>
          <w:rStyle w:val="DefaultMargins"/>
          <w:rFonts w:ascii="Times New Roman" w:hAnsi="Times New Roman"/>
          <w:spacing w:val="-2"/>
          <w:sz w:val="24"/>
          <w:szCs w:val="24"/>
          <w:lang w:val="fr-FR"/>
        </w:rPr>
        <w:br w:type="page"/>
      </w:r>
    </w:p>
    <w:p w:rsidR="00BF340E" w:rsidRPr="00507AB4" w:rsidRDefault="005174FB" w:rsidP="00BF340E">
      <w:pPr>
        <w:jc w:val="center"/>
      </w:pPr>
      <w:r w:rsidRPr="00507AB4">
        <w:rPr>
          <w:b/>
          <w:bCs/>
        </w:rPr>
        <w:t>PROCÉDURE DE CODÉCISION</w:t>
      </w:r>
      <w:r w:rsidR="00BF340E" w:rsidRPr="00507AB4">
        <w:rPr>
          <w:b/>
          <w:bCs/>
        </w:rPr>
        <w:t xml:space="preserve"> </w:t>
      </w:r>
      <w:r w:rsidR="000F382A">
        <w:rPr>
          <w:b/>
          <w:bCs/>
        </w:rPr>
        <w:t>–</w:t>
      </w:r>
      <w:r w:rsidR="00BF340E" w:rsidRPr="00507AB4">
        <w:rPr>
          <w:b/>
          <w:bCs/>
        </w:rPr>
        <w:t xml:space="preserve"> </w:t>
      </w:r>
      <w:r w:rsidR="000F382A">
        <w:rPr>
          <w:b/>
          <w:bCs/>
        </w:rPr>
        <w:t>1ère</w:t>
      </w:r>
      <w:r w:rsidR="00C84DFD" w:rsidRPr="00507AB4">
        <w:rPr>
          <w:b/>
          <w:bCs/>
        </w:rPr>
        <w:t xml:space="preserve"> lecture</w:t>
      </w:r>
    </w:p>
    <w:p w:rsidR="00BF340E" w:rsidRPr="00507AB4" w:rsidRDefault="00C84DFD" w:rsidP="00BF340E">
      <w:pPr>
        <w:jc w:val="center"/>
        <w:rPr>
          <w:b/>
        </w:rPr>
      </w:pPr>
      <w:r w:rsidRPr="00507AB4">
        <w:rPr>
          <w:b/>
          <w:bCs/>
        </w:rPr>
        <w:t>Proposition</w:t>
      </w:r>
      <w:r w:rsidR="00BF340E" w:rsidRPr="00507AB4">
        <w:rPr>
          <w:b/>
        </w:rPr>
        <w:t xml:space="preserve"> </w:t>
      </w:r>
      <w:r w:rsidRPr="00507AB4">
        <w:rPr>
          <w:b/>
        </w:rPr>
        <w:t>de directive</w:t>
      </w:r>
      <w:r w:rsidR="00BF340E" w:rsidRPr="00507AB4">
        <w:rPr>
          <w:b/>
        </w:rPr>
        <w:t xml:space="preserve"> </w:t>
      </w:r>
      <w:r w:rsidRPr="00507AB4">
        <w:rPr>
          <w:b/>
        </w:rPr>
        <w:t xml:space="preserve">du Parlement européen et du </w:t>
      </w:r>
      <w:r w:rsidR="00507AB4">
        <w:rPr>
          <w:b/>
        </w:rPr>
        <w:t>Conseil</w:t>
      </w:r>
      <w:r w:rsidRPr="00507AB4">
        <w:rPr>
          <w:b/>
          <w:bCs/>
        </w:rPr>
        <w:t xml:space="preserve"> relative à des services d’information fluviale harmonisés sur les voies navigables communautaires</w:t>
      </w:r>
    </w:p>
    <w:p w:rsidR="00BF340E" w:rsidRPr="00507AB4" w:rsidRDefault="00BF340E" w:rsidP="00BF340E">
      <w:pPr>
        <w:rPr>
          <w:b/>
          <w:bCs/>
        </w:rPr>
      </w:pPr>
    </w:p>
    <w:p w:rsidR="00BF340E" w:rsidRPr="00507AB4" w:rsidRDefault="00BF340E" w:rsidP="00BF340E">
      <w:pPr>
        <w:rPr>
          <w:b/>
          <w:bCs/>
        </w:rPr>
      </w:pPr>
    </w:p>
    <w:p w:rsidR="00BF340E" w:rsidRPr="00507AB4" w:rsidRDefault="00BF340E" w:rsidP="00BF340E">
      <w:r w:rsidRPr="00507AB4">
        <w:rPr>
          <w:b/>
          <w:bCs/>
        </w:rPr>
        <w:t>1.</w:t>
      </w:r>
      <w:r w:rsidRPr="00507AB4">
        <w:rPr>
          <w:b/>
          <w:bCs/>
        </w:rPr>
        <w:tab/>
        <w:t xml:space="preserve">Rapporteur: </w:t>
      </w:r>
      <w:r w:rsidRPr="00507AB4">
        <w:rPr>
          <w:bCs/>
        </w:rPr>
        <w:t>Renate Sommer</w:t>
      </w:r>
    </w:p>
    <w:p w:rsidR="00BF340E" w:rsidRPr="00507AB4" w:rsidRDefault="00BF340E" w:rsidP="00BF340E">
      <w:pPr>
        <w:rPr>
          <w:bCs/>
        </w:rPr>
      </w:pPr>
      <w:r w:rsidRPr="00507AB4">
        <w:rPr>
          <w:b/>
          <w:bCs/>
        </w:rPr>
        <w:t>2.</w:t>
      </w:r>
      <w:r w:rsidRPr="00507AB4">
        <w:rPr>
          <w:b/>
          <w:bCs/>
        </w:rPr>
        <w:tab/>
      </w:r>
      <w:r w:rsidR="005174FB" w:rsidRPr="00507AB4">
        <w:rPr>
          <w:b/>
          <w:bCs/>
        </w:rPr>
        <w:t>N° du PE</w:t>
      </w:r>
      <w:r w:rsidRPr="00507AB4">
        <w:rPr>
          <w:b/>
          <w:bCs/>
        </w:rPr>
        <w:t xml:space="preserve">: </w:t>
      </w:r>
      <w:r w:rsidRPr="00507AB4">
        <w:rPr>
          <w:bCs/>
        </w:rPr>
        <w:t>A6-0055/2004</w:t>
      </w:r>
    </w:p>
    <w:p w:rsidR="00BF340E" w:rsidRPr="00507AB4" w:rsidRDefault="00BF340E" w:rsidP="00BF340E">
      <w:r w:rsidRPr="00507AB4">
        <w:rPr>
          <w:b/>
          <w:bCs/>
        </w:rPr>
        <w:t>3.</w:t>
      </w:r>
      <w:r w:rsidRPr="00507AB4">
        <w:rPr>
          <w:b/>
          <w:bCs/>
        </w:rPr>
        <w:tab/>
      </w:r>
      <w:r w:rsidR="005174FB" w:rsidRPr="00507AB4">
        <w:rPr>
          <w:b/>
          <w:bCs/>
        </w:rPr>
        <w:t>Date d’adoption du rapport</w:t>
      </w:r>
      <w:r w:rsidRPr="00507AB4">
        <w:rPr>
          <w:b/>
          <w:bCs/>
        </w:rPr>
        <w:t>:</w:t>
      </w:r>
      <w:r w:rsidRPr="00507AB4">
        <w:t xml:space="preserve"> 23 </w:t>
      </w:r>
      <w:r w:rsidR="00C84DFD" w:rsidRPr="00507AB4">
        <w:t>février</w:t>
      </w:r>
      <w:r w:rsidRPr="00507AB4">
        <w:t xml:space="preserve"> 2005</w:t>
      </w:r>
    </w:p>
    <w:p w:rsidR="00BF340E" w:rsidRPr="00507AB4" w:rsidRDefault="00BF340E" w:rsidP="00BF340E">
      <w:pPr>
        <w:rPr>
          <w:b/>
        </w:rPr>
      </w:pPr>
      <w:r w:rsidRPr="00507AB4">
        <w:rPr>
          <w:b/>
          <w:bCs/>
        </w:rPr>
        <w:t>4.</w:t>
      </w:r>
      <w:r w:rsidRPr="00507AB4">
        <w:rPr>
          <w:b/>
          <w:bCs/>
        </w:rPr>
        <w:tab/>
      </w:r>
      <w:r w:rsidR="005174FB" w:rsidRPr="00507AB4">
        <w:rPr>
          <w:b/>
          <w:bCs/>
        </w:rPr>
        <w:t>Objet:</w:t>
      </w:r>
      <w:r w:rsidRPr="00507AB4">
        <w:rPr>
          <w:b/>
          <w:bCs/>
        </w:rPr>
        <w:t xml:space="preserve"> </w:t>
      </w:r>
      <w:r w:rsidR="00C84DFD" w:rsidRPr="00507AB4">
        <w:rPr>
          <w:bCs/>
        </w:rPr>
        <w:t>Proposition</w:t>
      </w:r>
      <w:r w:rsidR="00C84DFD" w:rsidRPr="00507AB4">
        <w:t xml:space="preserve"> de directive du Parlement européen et du </w:t>
      </w:r>
      <w:r w:rsidR="001354D5">
        <w:t>Conseil</w:t>
      </w:r>
      <w:r w:rsidR="00C84DFD" w:rsidRPr="00507AB4">
        <w:rPr>
          <w:bCs/>
        </w:rPr>
        <w:t xml:space="preserve"> relative à des services d’information fluviale harmonisés sur les voies navigables communautaires</w:t>
      </w:r>
    </w:p>
    <w:p w:rsidR="00BF340E" w:rsidRPr="00507AB4" w:rsidRDefault="00BF340E" w:rsidP="00733657">
      <w:pPr>
        <w:pStyle w:val="titreobjet0"/>
        <w:spacing w:after="240"/>
        <w:ind w:left="709" w:hanging="709"/>
        <w:jc w:val="both"/>
        <w:rPr>
          <w:lang w:val="fr-FR"/>
        </w:rPr>
      </w:pPr>
      <w:r w:rsidRPr="00507AB4">
        <w:rPr>
          <w:b/>
          <w:bCs/>
          <w:lang w:val="fr-FR"/>
        </w:rPr>
        <w:t>5.</w:t>
      </w:r>
      <w:r w:rsidRPr="00507AB4">
        <w:rPr>
          <w:b/>
          <w:bCs/>
          <w:lang w:val="fr-FR"/>
        </w:rPr>
        <w:tab/>
      </w:r>
      <w:r w:rsidR="005174FB" w:rsidRPr="00507AB4">
        <w:rPr>
          <w:b/>
          <w:bCs/>
          <w:lang w:val="fr-FR"/>
        </w:rPr>
        <w:t xml:space="preserve">Référence </w:t>
      </w:r>
      <w:r w:rsidR="00507AB4" w:rsidRPr="00507AB4">
        <w:rPr>
          <w:b/>
          <w:bCs/>
          <w:lang w:val="fr-FR"/>
        </w:rPr>
        <w:t>interinstitutionnelle</w:t>
      </w:r>
      <w:r w:rsidRPr="00507AB4">
        <w:rPr>
          <w:b/>
          <w:bCs/>
          <w:lang w:val="fr-FR"/>
        </w:rPr>
        <w:t>:</w:t>
      </w:r>
      <w:r w:rsidRPr="00507AB4">
        <w:rPr>
          <w:lang w:val="fr-FR"/>
        </w:rPr>
        <w:t xml:space="preserve"> 2004/0123(COD)</w:t>
      </w:r>
    </w:p>
    <w:p w:rsidR="00BF340E" w:rsidRPr="00507AB4" w:rsidRDefault="00BF340E" w:rsidP="00BF340E">
      <w:r w:rsidRPr="00507AB4">
        <w:rPr>
          <w:b/>
          <w:bCs/>
        </w:rPr>
        <w:t>6.</w:t>
      </w:r>
      <w:r w:rsidRPr="00507AB4">
        <w:rPr>
          <w:b/>
          <w:bCs/>
        </w:rPr>
        <w:tab/>
      </w:r>
      <w:r w:rsidR="00C84DFD" w:rsidRPr="00507AB4">
        <w:rPr>
          <w:b/>
          <w:bCs/>
        </w:rPr>
        <w:t>Base juridique</w:t>
      </w:r>
      <w:r w:rsidRPr="00507AB4">
        <w:rPr>
          <w:b/>
          <w:bCs/>
        </w:rPr>
        <w:t>:</w:t>
      </w:r>
      <w:r w:rsidRPr="00507AB4">
        <w:t xml:space="preserve"> Article 71</w:t>
      </w:r>
      <w:r w:rsidR="00D53390" w:rsidRPr="00507AB4">
        <w:t xml:space="preserve">, paragraphe </w:t>
      </w:r>
      <w:r w:rsidRPr="00507AB4">
        <w:t xml:space="preserve">1; </w:t>
      </w:r>
      <w:r w:rsidR="00D53390" w:rsidRPr="00507AB4">
        <w:t>a</w:t>
      </w:r>
      <w:r w:rsidRPr="00507AB4">
        <w:t>rticle 251</w:t>
      </w:r>
      <w:r w:rsidR="00D53390" w:rsidRPr="00507AB4">
        <w:t xml:space="preserve">, paragraphe </w:t>
      </w:r>
      <w:r w:rsidRPr="00507AB4">
        <w:t>2</w:t>
      </w:r>
    </w:p>
    <w:p w:rsidR="00BF340E" w:rsidRPr="00507AB4" w:rsidRDefault="00BF340E" w:rsidP="00BF340E">
      <w:r w:rsidRPr="00507AB4">
        <w:rPr>
          <w:b/>
          <w:bCs/>
        </w:rPr>
        <w:t>7.</w:t>
      </w:r>
      <w:r w:rsidRPr="00507AB4">
        <w:rPr>
          <w:b/>
          <w:bCs/>
        </w:rPr>
        <w:tab/>
      </w:r>
      <w:r w:rsidR="005174FB" w:rsidRPr="00507AB4">
        <w:rPr>
          <w:b/>
          <w:bCs/>
        </w:rPr>
        <w:t>Commission parlementaire compétente</w:t>
      </w:r>
      <w:r w:rsidRPr="00507AB4">
        <w:rPr>
          <w:b/>
          <w:bCs/>
        </w:rPr>
        <w:t>:</w:t>
      </w:r>
      <w:r w:rsidR="00C84DFD" w:rsidRPr="00507AB4">
        <w:t xml:space="preserve"> Commission des transports et du tourisme</w:t>
      </w:r>
      <w:r w:rsidRPr="00507AB4">
        <w:t xml:space="preserve"> (TRAN)</w:t>
      </w:r>
    </w:p>
    <w:p w:rsidR="00BF340E" w:rsidRPr="00507AB4" w:rsidRDefault="00BF340E" w:rsidP="00BF340E">
      <w:r w:rsidRPr="00507AB4">
        <w:rPr>
          <w:b/>
          <w:bCs/>
        </w:rPr>
        <w:t>8.</w:t>
      </w:r>
      <w:r w:rsidRPr="00507AB4">
        <w:rPr>
          <w:b/>
          <w:bCs/>
        </w:rPr>
        <w:tab/>
      </w:r>
      <w:r w:rsidR="00477A51" w:rsidRPr="00507AB4">
        <w:rPr>
          <w:b/>
          <w:bCs/>
        </w:rPr>
        <w:t>Position de la Commission</w:t>
      </w:r>
      <w:r w:rsidRPr="00507AB4">
        <w:rPr>
          <w:b/>
          <w:bCs/>
        </w:rPr>
        <w:t xml:space="preserve">: </w:t>
      </w:r>
      <w:r w:rsidR="00D53390" w:rsidRPr="00507AB4">
        <w:rPr>
          <w:bCs/>
        </w:rPr>
        <w:t>La</w:t>
      </w:r>
      <w:r w:rsidRPr="00507AB4">
        <w:t xml:space="preserve"> Commission </w:t>
      </w:r>
      <w:r w:rsidR="00D53390" w:rsidRPr="00507AB4">
        <w:t xml:space="preserve">a </w:t>
      </w:r>
      <w:r w:rsidR="00D53390" w:rsidRPr="00507AB4">
        <w:rPr>
          <w:u w:val="single"/>
        </w:rPr>
        <w:t>accepté les</w:t>
      </w:r>
      <w:r w:rsidRPr="00507AB4">
        <w:t xml:space="preserve"> 47 amend</w:t>
      </w:r>
      <w:r w:rsidR="00D53390" w:rsidRPr="00507AB4">
        <w:t>e</w:t>
      </w:r>
      <w:r w:rsidRPr="00507AB4">
        <w:t>ments adopt</w:t>
      </w:r>
      <w:r w:rsidR="00D53390" w:rsidRPr="00507AB4">
        <w:t>és par le Parlement européen en</w:t>
      </w:r>
      <w:r w:rsidRPr="00507AB4">
        <w:t xml:space="preserve"> </w:t>
      </w:r>
      <w:r w:rsidR="00C84DFD" w:rsidRPr="00507AB4">
        <w:t>première lecture</w:t>
      </w:r>
      <w:r w:rsidRPr="00507AB4">
        <w:t>.</w:t>
      </w:r>
    </w:p>
    <w:p w:rsidR="00BF340E" w:rsidRPr="00507AB4" w:rsidRDefault="00BF340E" w:rsidP="00BF340E">
      <w:r w:rsidRPr="00507AB4">
        <w:rPr>
          <w:b/>
          <w:bCs/>
        </w:rPr>
        <w:t>9.</w:t>
      </w:r>
      <w:r w:rsidRPr="00507AB4">
        <w:rPr>
          <w:b/>
          <w:bCs/>
        </w:rPr>
        <w:tab/>
      </w:r>
      <w:r w:rsidR="00D53390" w:rsidRPr="00507AB4">
        <w:rPr>
          <w:b/>
          <w:bCs/>
        </w:rPr>
        <w:t xml:space="preserve">Prévisions quant à la modification de la </w:t>
      </w:r>
      <w:r w:rsidR="00C84DFD" w:rsidRPr="00507AB4">
        <w:rPr>
          <w:b/>
          <w:bCs/>
        </w:rPr>
        <w:t>proposition</w:t>
      </w:r>
      <w:r w:rsidRPr="00507AB4">
        <w:rPr>
          <w:b/>
          <w:bCs/>
        </w:rPr>
        <w:t xml:space="preserve">: </w:t>
      </w:r>
      <w:r w:rsidR="00D53390" w:rsidRPr="00507AB4">
        <w:rPr>
          <w:color w:val="000000"/>
        </w:rPr>
        <w:t>Il n’est pas nécessaire de modifier la proposition, puisqu’il existe déjà un accord entre les trois institutions.</w:t>
      </w:r>
    </w:p>
    <w:p w:rsidR="00BF340E" w:rsidRPr="00507AB4" w:rsidRDefault="00BF340E" w:rsidP="00BF340E">
      <w:r w:rsidRPr="00507AB4">
        <w:rPr>
          <w:b/>
          <w:bCs/>
        </w:rPr>
        <w:t>10.</w:t>
      </w:r>
      <w:r w:rsidRPr="00507AB4">
        <w:rPr>
          <w:b/>
          <w:bCs/>
        </w:rPr>
        <w:tab/>
      </w:r>
      <w:r w:rsidR="00477A51" w:rsidRPr="00507AB4">
        <w:rPr>
          <w:b/>
          <w:bCs/>
        </w:rPr>
        <w:t>Prévisions quant à l’adoption d’une position commune</w:t>
      </w:r>
      <w:r w:rsidRPr="00507AB4">
        <w:rPr>
          <w:b/>
          <w:bCs/>
        </w:rPr>
        <w:t xml:space="preserve">: </w:t>
      </w:r>
      <w:r w:rsidR="00D53390" w:rsidRPr="00507AB4">
        <w:rPr>
          <w:color w:val="000000"/>
        </w:rPr>
        <w:t>Cette proposition devrait pouvoir être adoptée rapidement, puisque l’avis du Parlement européen rejoint l</w:t>
      </w:r>
      <w:r w:rsidR="000F382A">
        <w:rPr>
          <w:color w:val="000000"/>
        </w:rPr>
        <w:t>’</w:t>
      </w:r>
      <w:r w:rsidR="003130B1">
        <w:rPr>
          <w:color w:val="000000"/>
        </w:rPr>
        <w:t>orientation générale</w:t>
      </w:r>
      <w:r w:rsidR="000F382A">
        <w:rPr>
          <w:color w:val="000000"/>
        </w:rPr>
        <w:t xml:space="preserve"> dégagée</w:t>
      </w:r>
      <w:r w:rsidR="00D53390" w:rsidRPr="00507AB4">
        <w:rPr>
          <w:color w:val="000000"/>
        </w:rPr>
        <w:t xml:space="preserve"> par le Conseil le </w:t>
      </w:r>
      <w:r w:rsidRPr="00507AB4">
        <w:t xml:space="preserve">7 </w:t>
      </w:r>
      <w:r w:rsidR="00D53390" w:rsidRPr="00507AB4">
        <w:t>octobre</w:t>
      </w:r>
      <w:r w:rsidRPr="00507AB4">
        <w:t xml:space="preserve"> 2004.  </w:t>
      </w:r>
      <w:r w:rsidR="00D53390" w:rsidRPr="00507AB4">
        <w:t>L’entérinement des amendements du PE par le Conseil devrait avoir lieu au cours de l’une des prochaines réunions du Conseil</w:t>
      </w:r>
      <w:r w:rsidR="0031297E" w:rsidRPr="00507AB4">
        <w:t xml:space="preserve"> en tant que point A, ce qui permettra l'adoption de cette proposition en première lecture</w:t>
      </w:r>
      <w:r w:rsidRPr="00507AB4">
        <w:t>.</w:t>
      </w:r>
    </w:p>
    <w:p w:rsidR="00F569D9" w:rsidRPr="00507AB4" w:rsidRDefault="00F569D9" w:rsidP="0085745F">
      <w:pPr>
        <w:rPr>
          <w:rStyle w:val="DefaultMargins"/>
          <w:rFonts w:ascii="Times New Roman" w:hAnsi="Times New Roman"/>
          <w:spacing w:val="-2"/>
          <w:sz w:val="24"/>
          <w:szCs w:val="24"/>
          <w:lang w:val="fr-FR"/>
        </w:rPr>
      </w:pPr>
      <w:r w:rsidRPr="00507AB4">
        <w:rPr>
          <w:rStyle w:val="DefaultMargins"/>
          <w:rFonts w:ascii="Times New Roman" w:hAnsi="Times New Roman"/>
          <w:spacing w:val="-2"/>
          <w:sz w:val="24"/>
          <w:szCs w:val="24"/>
          <w:lang w:val="fr-FR"/>
        </w:rPr>
        <w:br w:type="page"/>
      </w:r>
    </w:p>
    <w:p w:rsidR="00BF340E" w:rsidRPr="00507AB4" w:rsidRDefault="005174FB" w:rsidP="0085745F">
      <w:pPr>
        <w:jc w:val="center"/>
        <w:rPr>
          <w:b/>
          <w:bCs/>
        </w:rPr>
      </w:pPr>
      <w:r w:rsidRPr="00507AB4">
        <w:rPr>
          <w:b/>
          <w:bCs/>
        </w:rPr>
        <w:t>PROCÉDURE DE CODÉCISION</w:t>
      </w:r>
      <w:r w:rsidR="00BF340E" w:rsidRPr="00507AB4">
        <w:rPr>
          <w:b/>
          <w:bCs/>
        </w:rPr>
        <w:t xml:space="preserve"> – </w:t>
      </w:r>
      <w:r w:rsidR="000F382A">
        <w:rPr>
          <w:b/>
          <w:bCs/>
        </w:rPr>
        <w:t>1ère</w:t>
      </w:r>
      <w:r w:rsidR="00C84DFD" w:rsidRPr="00507AB4">
        <w:rPr>
          <w:b/>
          <w:bCs/>
        </w:rPr>
        <w:t xml:space="preserve"> lecture</w:t>
      </w:r>
    </w:p>
    <w:p w:rsidR="00BF340E" w:rsidRPr="00507AB4" w:rsidRDefault="00C84DFD" w:rsidP="0085745F">
      <w:pPr>
        <w:jc w:val="center"/>
      </w:pPr>
      <w:r w:rsidRPr="00507AB4">
        <w:rPr>
          <w:b/>
          <w:bCs/>
        </w:rPr>
        <w:t>Proposition</w:t>
      </w:r>
      <w:r w:rsidR="00BF340E" w:rsidRPr="00507AB4">
        <w:rPr>
          <w:b/>
        </w:rPr>
        <w:t xml:space="preserve"> </w:t>
      </w:r>
      <w:r w:rsidRPr="00507AB4">
        <w:rPr>
          <w:b/>
        </w:rPr>
        <w:t xml:space="preserve">de </w:t>
      </w:r>
      <w:r w:rsidRPr="00CD1013">
        <w:rPr>
          <w:b/>
          <w:color w:val="000000"/>
          <w:szCs w:val="24"/>
        </w:rPr>
        <w:t>directive</w:t>
      </w:r>
      <w:r w:rsidR="00BF340E" w:rsidRPr="00CD1013">
        <w:rPr>
          <w:b/>
          <w:color w:val="000000"/>
          <w:szCs w:val="24"/>
        </w:rPr>
        <w:t xml:space="preserve"> </w:t>
      </w:r>
      <w:r w:rsidR="0031297E" w:rsidRPr="00CD1013">
        <w:rPr>
          <w:b/>
          <w:bCs/>
          <w:color w:val="000000"/>
          <w:szCs w:val="24"/>
        </w:rPr>
        <w:t>du Parlement européen et du Conseil concernant la reconnaissance des brevets des gens de mer délivrés par les Etats membres et modifiant la directive 2001/25/CE</w:t>
      </w:r>
    </w:p>
    <w:p w:rsidR="00BF340E" w:rsidRPr="00507AB4" w:rsidRDefault="00BF340E" w:rsidP="0085745F"/>
    <w:p w:rsidR="00BF340E" w:rsidRPr="00507AB4" w:rsidRDefault="00BF340E" w:rsidP="0085745F">
      <w:pPr>
        <w:rPr>
          <w:b/>
          <w:bCs/>
        </w:rPr>
      </w:pPr>
    </w:p>
    <w:p w:rsidR="00BF340E" w:rsidRPr="00507AB4" w:rsidRDefault="00BF340E" w:rsidP="0085745F">
      <w:r w:rsidRPr="00507AB4">
        <w:rPr>
          <w:b/>
          <w:bCs/>
        </w:rPr>
        <w:t>1.</w:t>
      </w:r>
      <w:r w:rsidRPr="00507AB4">
        <w:rPr>
          <w:b/>
          <w:bCs/>
        </w:rPr>
        <w:tab/>
        <w:t xml:space="preserve">Rapporteur: </w:t>
      </w:r>
      <w:r w:rsidRPr="00507AB4">
        <w:rPr>
          <w:bCs/>
        </w:rPr>
        <w:t xml:space="preserve">Robert </w:t>
      </w:r>
      <w:r w:rsidR="00733657" w:rsidRPr="00507AB4">
        <w:rPr>
          <w:bCs/>
        </w:rPr>
        <w:t xml:space="preserve">J.E. </w:t>
      </w:r>
      <w:r w:rsidRPr="00507AB4">
        <w:rPr>
          <w:bCs/>
        </w:rPr>
        <w:t>Evans</w:t>
      </w:r>
    </w:p>
    <w:p w:rsidR="00BF340E" w:rsidRPr="00507AB4" w:rsidRDefault="00BF340E" w:rsidP="0085745F">
      <w:r w:rsidRPr="00507AB4">
        <w:rPr>
          <w:b/>
          <w:bCs/>
        </w:rPr>
        <w:t>2.</w:t>
      </w:r>
      <w:r w:rsidRPr="00507AB4">
        <w:rPr>
          <w:b/>
          <w:bCs/>
        </w:rPr>
        <w:tab/>
      </w:r>
      <w:r w:rsidR="005174FB" w:rsidRPr="00507AB4">
        <w:rPr>
          <w:b/>
          <w:bCs/>
        </w:rPr>
        <w:t>N° du PE</w:t>
      </w:r>
      <w:r w:rsidRPr="00507AB4">
        <w:rPr>
          <w:b/>
          <w:bCs/>
        </w:rPr>
        <w:t xml:space="preserve">: </w:t>
      </w:r>
      <w:r w:rsidRPr="00507AB4">
        <w:t>A6-0057/2004</w:t>
      </w:r>
    </w:p>
    <w:p w:rsidR="00BF340E" w:rsidRPr="00507AB4" w:rsidRDefault="00BF340E" w:rsidP="0085745F">
      <w:r w:rsidRPr="00507AB4">
        <w:rPr>
          <w:b/>
          <w:bCs/>
        </w:rPr>
        <w:t>3.</w:t>
      </w:r>
      <w:r w:rsidRPr="00507AB4">
        <w:rPr>
          <w:b/>
          <w:bCs/>
        </w:rPr>
        <w:tab/>
      </w:r>
      <w:r w:rsidR="005174FB" w:rsidRPr="00507AB4">
        <w:rPr>
          <w:b/>
          <w:bCs/>
        </w:rPr>
        <w:t>Date d’adoption du rapport</w:t>
      </w:r>
      <w:r w:rsidRPr="00507AB4">
        <w:rPr>
          <w:b/>
          <w:bCs/>
        </w:rPr>
        <w:t>:</w:t>
      </w:r>
      <w:r w:rsidRPr="00507AB4">
        <w:t xml:space="preserve"> 23 </w:t>
      </w:r>
      <w:r w:rsidR="0031297E" w:rsidRPr="00507AB4">
        <w:t>f</w:t>
      </w:r>
      <w:r w:rsidR="00C84DFD" w:rsidRPr="00507AB4">
        <w:t>évrier</w:t>
      </w:r>
      <w:r w:rsidRPr="00507AB4">
        <w:t xml:space="preserve"> 2005</w:t>
      </w:r>
    </w:p>
    <w:p w:rsidR="00BF340E" w:rsidRPr="00507AB4" w:rsidRDefault="00BF340E" w:rsidP="0085745F">
      <w:pPr>
        <w:rPr>
          <w:b/>
        </w:rPr>
      </w:pPr>
      <w:r w:rsidRPr="00507AB4">
        <w:rPr>
          <w:b/>
          <w:bCs/>
        </w:rPr>
        <w:t>4.</w:t>
      </w:r>
      <w:r w:rsidRPr="00507AB4">
        <w:rPr>
          <w:b/>
          <w:bCs/>
        </w:rPr>
        <w:tab/>
      </w:r>
      <w:r w:rsidR="005174FB" w:rsidRPr="00507AB4">
        <w:rPr>
          <w:b/>
          <w:bCs/>
        </w:rPr>
        <w:t>Objet:</w:t>
      </w:r>
      <w:r w:rsidR="0085745F" w:rsidRPr="00507AB4">
        <w:rPr>
          <w:b/>
          <w:bCs/>
        </w:rPr>
        <w:t xml:space="preserve"> </w:t>
      </w:r>
      <w:r w:rsidR="00C84DFD" w:rsidRPr="00507AB4">
        <w:rPr>
          <w:bCs/>
        </w:rPr>
        <w:t>Proposition</w:t>
      </w:r>
      <w:r w:rsidRPr="00507AB4">
        <w:t xml:space="preserve"> </w:t>
      </w:r>
      <w:r w:rsidR="00C84DFD" w:rsidRPr="00507AB4">
        <w:t>de directive</w:t>
      </w:r>
      <w:r w:rsidRPr="00507AB4">
        <w:t xml:space="preserve"> </w:t>
      </w:r>
      <w:r w:rsidR="0031297E" w:rsidRPr="003130B1">
        <w:rPr>
          <w:bCs/>
          <w:color w:val="000000"/>
          <w:szCs w:val="24"/>
        </w:rPr>
        <w:t>du Parlement européen et du Conseil concernant la reconnaissance des brevets des gens de mer délivrés par les Etats membres et modifiant la directive 2001/25/CE</w:t>
      </w:r>
      <w:r w:rsidRPr="003130B1">
        <w:rPr>
          <w:color w:val="000000"/>
          <w:szCs w:val="24"/>
        </w:rPr>
        <w:t>.</w:t>
      </w:r>
    </w:p>
    <w:p w:rsidR="00BF340E" w:rsidRPr="00507AB4" w:rsidRDefault="00BF340E" w:rsidP="0085745F">
      <w:r w:rsidRPr="00507AB4">
        <w:rPr>
          <w:b/>
        </w:rPr>
        <w:t>5.</w:t>
      </w:r>
      <w:r w:rsidRPr="00507AB4">
        <w:tab/>
      </w:r>
      <w:r w:rsidR="005174FB" w:rsidRPr="00507AB4">
        <w:rPr>
          <w:b/>
          <w:bCs/>
        </w:rPr>
        <w:t xml:space="preserve">Référence </w:t>
      </w:r>
      <w:r w:rsidR="00507AB4" w:rsidRPr="00507AB4">
        <w:rPr>
          <w:b/>
          <w:bCs/>
        </w:rPr>
        <w:t>interinstitutionnelle</w:t>
      </w:r>
      <w:r w:rsidRPr="00507AB4">
        <w:rPr>
          <w:b/>
          <w:bCs/>
        </w:rPr>
        <w:t>:</w:t>
      </w:r>
      <w:r w:rsidRPr="00507AB4">
        <w:rPr>
          <w:b/>
        </w:rPr>
        <w:t xml:space="preserve"> </w:t>
      </w:r>
      <w:r w:rsidRPr="00507AB4">
        <w:t>2004/0098(COD)</w:t>
      </w:r>
    </w:p>
    <w:p w:rsidR="00BF340E" w:rsidRPr="00507AB4" w:rsidRDefault="00BF340E" w:rsidP="0085745F">
      <w:r w:rsidRPr="00507AB4">
        <w:rPr>
          <w:b/>
          <w:bCs/>
        </w:rPr>
        <w:t>6.</w:t>
      </w:r>
      <w:r w:rsidRPr="00507AB4">
        <w:rPr>
          <w:b/>
          <w:bCs/>
        </w:rPr>
        <w:tab/>
      </w:r>
      <w:r w:rsidR="00C84DFD" w:rsidRPr="00507AB4">
        <w:rPr>
          <w:b/>
          <w:bCs/>
        </w:rPr>
        <w:t>Base juridique</w:t>
      </w:r>
      <w:r w:rsidRPr="00507AB4">
        <w:rPr>
          <w:b/>
          <w:bCs/>
        </w:rPr>
        <w:t>:</w:t>
      </w:r>
      <w:r w:rsidRPr="00507AB4">
        <w:t xml:space="preserve"> Article 80</w:t>
      </w:r>
      <w:r w:rsidR="00BA2F91" w:rsidRPr="00507AB4">
        <w:t xml:space="preserve">, paragraphe </w:t>
      </w:r>
      <w:r w:rsidRPr="00507AB4">
        <w:t>2</w:t>
      </w:r>
      <w:r w:rsidR="00C61330">
        <w:t> ;</w:t>
      </w:r>
      <w:r w:rsidRPr="00507AB4">
        <w:t xml:space="preserve"> </w:t>
      </w:r>
      <w:r w:rsidR="00BA2F91" w:rsidRPr="00507AB4">
        <w:t>article</w:t>
      </w:r>
      <w:r w:rsidRPr="00507AB4">
        <w:t xml:space="preserve"> 251</w:t>
      </w:r>
      <w:r w:rsidR="00BA2F91" w:rsidRPr="00507AB4">
        <w:t xml:space="preserve">, paragraphe </w:t>
      </w:r>
      <w:r w:rsidRPr="00507AB4">
        <w:t>2</w:t>
      </w:r>
    </w:p>
    <w:p w:rsidR="00BF340E" w:rsidRPr="00507AB4" w:rsidRDefault="00BF340E" w:rsidP="0085745F">
      <w:r w:rsidRPr="00507AB4">
        <w:rPr>
          <w:b/>
          <w:bCs/>
        </w:rPr>
        <w:t xml:space="preserve">7. </w:t>
      </w:r>
      <w:r w:rsidRPr="00507AB4">
        <w:rPr>
          <w:b/>
          <w:bCs/>
        </w:rPr>
        <w:tab/>
      </w:r>
      <w:r w:rsidR="005174FB" w:rsidRPr="00507AB4">
        <w:rPr>
          <w:b/>
          <w:bCs/>
        </w:rPr>
        <w:t>Commission parlementaire compétente</w:t>
      </w:r>
      <w:r w:rsidRPr="00507AB4">
        <w:rPr>
          <w:b/>
          <w:bCs/>
        </w:rPr>
        <w:t>:</w:t>
      </w:r>
      <w:r w:rsidRPr="00507AB4">
        <w:t xml:space="preserve"> Commi</w:t>
      </w:r>
      <w:r w:rsidR="0031297E" w:rsidRPr="00507AB4">
        <w:t xml:space="preserve">ssion des transports et du tourisme </w:t>
      </w:r>
      <w:r w:rsidRPr="00507AB4">
        <w:t>(TRAN)</w:t>
      </w:r>
    </w:p>
    <w:p w:rsidR="00BF340E" w:rsidRPr="00507AB4" w:rsidRDefault="00BF340E" w:rsidP="0085745F">
      <w:r w:rsidRPr="00507AB4">
        <w:rPr>
          <w:b/>
          <w:bCs/>
        </w:rPr>
        <w:t>8.</w:t>
      </w:r>
      <w:r w:rsidRPr="00507AB4">
        <w:rPr>
          <w:b/>
          <w:bCs/>
        </w:rPr>
        <w:tab/>
      </w:r>
      <w:r w:rsidR="00477A51" w:rsidRPr="00507AB4">
        <w:rPr>
          <w:b/>
          <w:bCs/>
        </w:rPr>
        <w:t>Position de la Commission</w:t>
      </w:r>
      <w:r w:rsidRPr="00507AB4">
        <w:rPr>
          <w:b/>
          <w:bCs/>
        </w:rPr>
        <w:t>:</w:t>
      </w:r>
      <w:r w:rsidR="0085745F" w:rsidRPr="00507AB4">
        <w:rPr>
          <w:b/>
          <w:bCs/>
        </w:rPr>
        <w:t xml:space="preserve"> </w:t>
      </w:r>
      <w:r w:rsidR="0031297E" w:rsidRPr="00507AB4">
        <w:rPr>
          <w:bCs/>
        </w:rPr>
        <w:t>La</w:t>
      </w:r>
      <w:r w:rsidR="0031297E" w:rsidRPr="00507AB4">
        <w:rPr>
          <w:b/>
          <w:bCs/>
        </w:rPr>
        <w:t xml:space="preserve"> </w:t>
      </w:r>
      <w:r w:rsidRPr="00507AB4">
        <w:t xml:space="preserve">Commission </w:t>
      </w:r>
      <w:r w:rsidR="0031297E" w:rsidRPr="00507AB4">
        <w:t xml:space="preserve">a </w:t>
      </w:r>
      <w:r w:rsidR="0031297E" w:rsidRPr="00C61330">
        <w:rPr>
          <w:u w:val="single"/>
        </w:rPr>
        <w:t>accepté les</w:t>
      </w:r>
      <w:r w:rsidRPr="00507AB4">
        <w:t xml:space="preserve"> 23 </w:t>
      </w:r>
      <w:r w:rsidR="0031297E" w:rsidRPr="00507AB4">
        <w:t>amendements de compromis adoptés par le Parlement européen en p</w:t>
      </w:r>
      <w:r w:rsidR="00C84DFD" w:rsidRPr="00507AB4">
        <w:t>remière lecture</w:t>
      </w:r>
      <w:r w:rsidRPr="00507AB4">
        <w:t>.</w:t>
      </w:r>
    </w:p>
    <w:p w:rsidR="00BF340E" w:rsidRPr="00507AB4" w:rsidRDefault="00BF340E" w:rsidP="0085745F">
      <w:r w:rsidRPr="00507AB4">
        <w:rPr>
          <w:b/>
          <w:bCs/>
        </w:rPr>
        <w:t>9.</w:t>
      </w:r>
      <w:r w:rsidRPr="00507AB4">
        <w:rPr>
          <w:b/>
          <w:bCs/>
        </w:rPr>
        <w:tab/>
      </w:r>
      <w:r w:rsidR="00477A51" w:rsidRPr="00507AB4">
        <w:rPr>
          <w:b/>
          <w:bCs/>
        </w:rPr>
        <w:t>Prévisions quant à la modification de la</w:t>
      </w:r>
      <w:r w:rsidRPr="00507AB4">
        <w:rPr>
          <w:b/>
          <w:bCs/>
        </w:rPr>
        <w:t xml:space="preserve"> </w:t>
      </w:r>
      <w:r w:rsidR="00C84DFD" w:rsidRPr="00507AB4">
        <w:rPr>
          <w:b/>
          <w:bCs/>
        </w:rPr>
        <w:t>proposition</w:t>
      </w:r>
      <w:r w:rsidRPr="00507AB4">
        <w:rPr>
          <w:b/>
          <w:bCs/>
        </w:rPr>
        <w:t xml:space="preserve">: </w:t>
      </w:r>
      <w:r w:rsidR="00C810A0" w:rsidRPr="00507AB4">
        <w:rPr>
          <w:color w:val="000000"/>
        </w:rPr>
        <w:t>Il n’est pas nécessaire de modifier la proposition, puisqu’il existe déjà un accord entre les trois institutions</w:t>
      </w:r>
      <w:r w:rsidRPr="00507AB4">
        <w:t>.</w:t>
      </w:r>
    </w:p>
    <w:p w:rsidR="00BF340E" w:rsidRPr="00507AB4" w:rsidRDefault="00BF340E" w:rsidP="00C85204">
      <w:r w:rsidRPr="00507AB4">
        <w:rPr>
          <w:b/>
          <w:bCs/>
        </w:rPr>
        <w:t>10.</w:t>
      </w:r>
      <w:r w:rsidRPr="00507AB4">
        <w:rPr>
          <w:b/>
          <w:bCs/>
        </w:rPr>
        <w:tab/>
      </w:r>
      <w:r w:rsidR="00477A51" w:rsidRPr="00507AB4">
        <w:rPr>
          <w:b/>
          <w:bCs/>
        </w:rPr>
        <w:t>Prévisions quant à l’adoption d’une position commune</w:t>
      </w:r>
      <w:r w:rsidRPr="00507AB4">
        <w:rPr>
          <w:b/>
          <w:bCs/>
        </w:rPr>
        <w:t xml:space="preserve">: </w:t>
      </w:r>
      <w:r w:rsidR="00C810A0" w:rsidRPr="00507AB4">
        <w:rPr>
          <w:color w:val="000000"/>
        </w:rPr>
        <w:t xml:space="preserve">Cette proposition devrait pouvoir être adoptée rapidement, puisque l’avis du Parlement européen </w:t>
      </w:r>
      <w:r w:rsidR="00C61330">
        <w:rPr>
          <w:color w:val="000000"/>
        </w:rPr>
        <w:t>rejoint</w:t>
      </w:r>
      <w:r w:rsidR="00C810A0" w:rsidRPr="00507AB4">
        <w:rPr>
          <w:color w:val="000000"/>
        </w:rPr>
        <w:t xml:space="preserve"> l</w:t>
      </w:r>
      <w:r w:rsidR="000F382A">
        <w:rPr>
          <w:color w:val="000000"/>
        </w:rPr>
        <w:t>’orientation générale dégagée</w:t>
      </w:r>
      <w:r w:rsidR="00C810A0" w:rsidRPr="00507AB4">
        <w:rPr>
          <w:color w:val="000000"/>
        </w:rPr>
        <w:t xml:space="preserve"> par le Conseil le 9 décembre</w:t>
      </w:r>
      <w:r w:rsidR="00C810A0" w:rsidRPr="00507AB4">
        <w:t xml:space="preserve"> 2004.  L’entérinement des amendements du Parlement européen par le Conseil devrait avoir lieu au cours de l’une des prochaines réunions du Conseil en tant que point A, ce qui permettra l'adoption de cette proposition en première lecture</w:t>
      </w:r>
      <w:r w:rsidRPr="00507AB4">
        <w:t>.</w:t>
      </w:r>
    </w:p>
    <w:p w:rsidR="00B75012" w:rsidRPr="00507AB4" w:rsidRDefault="00F569D9" w:rsidP="00B75012">
      <w:pPr>
        <w:jc w:val="left"/>
        <w:outlineLvl w:val="0"/>
        <w:rPr>
          <w:rStyle w:val="DefaultMargins"/>
          <w:rFonts w:ascii="Times New Roman" w:hAnsi="Times New Roman"/>
          <w:spacing w:val="-2"/>
          <w:sz w:val="24"/>
          <w:szCs w:val="24"/>
          <w:lang w:val="fr-FR"/>
        </w:rPr>
      </w:pPr>
      <w:r w:rsidRPr="00507AB4">
        <w:rPr>
          <w:rStyle w:val="DefaultMargins"/>
          <w:rFonts w:ascii="Times New Roman" w:hAnsi="Times New Roman"/>
          <w:spacing w:val="-2"/>
          <w:sz w:val="24"/>
          <w:szCs w:val="24"/>
          <w:lang w:val="fr-FR"/>
        </w:rPr>
        <w:br w:type="page"/>
      </w:r>
    </w:p>
    <w:p w:rsidR="00BF340E" w:rsidRPr="00507AB4" w:rsidRDefault="00BF340E" w:rsidP="00B75012">
      <w:pPr>
        <w:jc w:val="center"/>
        <w:outlineLvl w:val="0"/>
        <w:rPr>
          <w:b/>
          <w:snapToGrid w:val="0"/>
          <w:szCs w:val="24"/>
          <w:lang w:eastAsia="en-US"/>
        </w:rPr>
      </w:pPr>
      <w:r w:rsidRPr="00507AB4">
        <w:rPr>
          <w:b/>
          <w:snapToGrid w:val="0"/>
          <w:szCs w:val="24"/>
          <w:lang w:eastAsia="en-US"/>
        </w:rPr>
        <w:t>PROCEDURE DE CODECISION – 1ère lecture</w:t>
      </w:r>
    </w:p>
    <w:p w:rsidR="00BF340E" w:rsidRPr="00507AB4" w:rsidRDefault="00BF340E" w:rsidP="00B75012">
      <w:pPr>
        <w:jc w:val="center"/>
        <w:rPr>
          <w:b/>
          <w:smallCaps/>
          <w:szCs w:val="24"/>
        </w:rPr>
      </w:pPr>
      <w:r w:rsidRPr="00507AB4">
        <w:rPr>
          <w:b/>
        </w:rPr>
        <w:t>P</w:t>
      </w:r>
      <w:r w:rsidRPr="00507AB4">
        <w:rPr>
          <w:b/>
          <w:szCs w:val="24"/>
        </w:rPr>
        <w:t xml:space="preserve">roposition de </w:t>
      </w:r>
      <w:r w:rsidR="00BC170D" w:rsidRPr="00507AB4">
        <w:rPr>
          <w:b/>
          <w:szCs w:val="24"/>
        </w:rPr>
        <w:t>directive</w:t>
      </w:r>
      <w:r w:rsidRPr="00507AB4">
        <w:rPr>
          <w:b/>
        </w:rPr>
        <w:t xml:space="preserve"> du Parlement européen et du Conseil relative au permis de conduire (refonte)</w:t>
      </w:r>
    </w:p>
    <w:p w:rsidR="00BF340E" w:rsidRPr="00507AB4" w:rsidRDefault="00BF340E" w:rsidP="00B75012">
      <w:pPr>
        <w:rPr>
          <w:snapToGrid w:val="0"/>
          <w:lang w:eastAsia="en-US"/>
        </w:rPr>
      </w:pPr>
    </w:p>
    <w:p w:rsidR="00BF340E" w:rsidRPr="00507AB4" w:rsidRDefault="00BF340E" w:rsidP="00B75012">
      <w:pPr>
        <w:rPr>
          <w:b/>
          <w:snapToGrid w:val="0"/>
          <w:lang w:eastAsia="en-US"/>
        </w:rPr>
      </w:pPr>
    </w:p>
    <w:p w:rsidR="00BF340E" w:rsidRPr="00507AB4" w:rsidRDefault="00BF340E" w:rsidP="00B75012">
      <w:pPr>
        <w:rPr>
          <w:snapToGrid w:val="0"/>
          <w:lang w:eastAsia="en-US"/>
        </w:rPr>
      </w:pPr>
      <w:r w:rsidRPr="00507AB4">
        <w:rPr>
          <w:b/>
          <w:snapToGrid w:val="0"/>
          <w:lang w:eastAsia="en-US"/>
        </w:rPr>
        <w:t>1.</w:t>
      </w:r>
      <w:r w:rsidRPr="00507AB4">
        <w:rPr>
          <w:b/>
          <w:snapToGrid w:val="0"/>
          <w:lang w:eastAsia="en-US"/>
        </w:rPr>
        <w:tab/>
        <w:t>Rapporteur:</w:t>
      </w:r>
      <w:r w:rsidRPr="00507AB4">
        <w:rPr>
          <w:snapToGrid w:val="0"/>
          <w:lang w:eastAsia="en-US"/>
        </w:rPr>
        <w:t xml:space="preserve"> Mathieu Grosch</w:t>
      </w:r>
    </w:p>
    <w:p w:rsidR="00BF340E" w:rsidRPr="00507AB4" w:rsidRDefault="00BF340E" w:rsidP="00B75012">
      <w:r w:rsidRPr="00507AB4">
        <w:rPr>
          <w:b/>
          <w:snapToGrid w:val="0"/>
          <w:lang w:eastAsia="en-US"/>
        </w:rPr>
        <w:t>2.</w:t>
      </w:r>
      <w:r w:rsidRPr="00507AB4">
        <w:rPr>
          <w:b/>
          <w:snapToGrid w:val="0"/>
          <w:lang w:eastAsia="en-US"/>
        </w:rPr>
        <w:tab/>
        <w:t xml:space="preserve">N° </w:t>
      </w:r>
      <w:r w:rsidR="00B75012" w:rsidRPr="00507AB4">
        <w:rPr>
          <w:b/>
          <w:snapToGrid w:val="0"/>
          <w:lang w:eastAsia="en-US"/>
        </w:rPr>
        <w:t xml:space="preserve">du </w:t>
      </w:r>
      <w:r w:rsidRPr="00507AB4">
        <w:rPr>
          <w:b/>
          <w:snapToGrid w:val="0"/>
          <w:lang w:eastAsia="en-US"/>
        </w:rPr>
        <w:t>PE</w:t>
      </w:r>
      <w:r w:rsidRPr="00507AB4">
        <w:rPr>
          <w:snapToGrid w:val="0"/>
          <w:lang w:eastAsia="en-US"/>
        </w:rPr>
        <w:t xml:space="preserve"> : </w:t>
      </w:r>
      <w:r w:rsidRPr="00507AB4">
        <w:t>A6-0016/2005</w:t>
      </w:r>
    </w:p>
    <w:p w:rsidR="00BF340E" w:rsidRPr="00507AB4" w:rsidRDefault="00BF340E" w:rsidP="00B75012">
      <w:pPr>
        <w:rPr>
          <w:snapToGrid w:val="0"/>
          <w:lang w:eastAsia="en-US"/>
        </w:rPr>
      </w:pPr>
      <w:r w:rsidRPr="00507AB4">
        <w:rPr>
          <w:b/>
          <w:snapToGrid w:val="0"/>
          <w:lang w:eastAsia="en-US"/>
        </w:rPr>
        <w:t>3.</w:t>
      </w:r>
      <w:r w:rsidRPr="00507AB4">
        <w:rPr>
          <w:b/>
          <w:snapToGrid w:val="0"/>
          <w:lang w:eastAsia="en-US"/>
        </w:rPr>
        <w:tab/>
        <w:t>Date d’adoption du rapport</w:t>
      </w:r>
      <w:r w:rsidRPr="00507AB4">
        <w:rPr>
          <w:snapToGrid w:val="0"/>
          <w:lang w:eastAsia="en-US"/>
        </w:rPr>
        <w:t> : 23 février 2005</w:t>
      </w:r>
    </w:p>
    <w:p w:rsidR="00BF340E" w:rsidRPr="00507AB4" w:rsidRDefault="00BF340E" w:rsidP="00B75012">
      <w:r w:rsidRPr="00507AB4">
        <w:rPr>
          <w:b/>
          <w:snapToGrid w:val="0"/>
          <w:lang w:eastAsia="en-US"/>
        </w:rPr>
        <w:t>4.</w:t>
      </w:r>
      <w:r w:rsidRPr="00507AB4">
        <w:rPr>
          <w:b/>
          <w:snapToGrid w:val="0"/>
          <w:lang w:eastAsia="en-US"/>
        </w:rPr>
        <w:tab/>
        <w:t xml:space="preserve">Objet : </w:t>
      </w:r>
      <w:r w:rsidRPr="00507AB4">
        <w:t>P</w:t>
      </w:r>
      <w:r w:rsidRPr="00507AB4">
        <w:rPr>
          <w:szCs w:val="24"/>
        </w:rPr>
        <w:t xml:space="preserve">roposition de </w:t>
      </w:r>
      <w:r w:rsidR="00BC170D" w:rsidRPr="00507AB4">
        <w:rPr>
          <w:szCs w:val="24"/>
        </w:rPr>
        <w:t xml:space="preserve">directive </w:t>
      </w:r>
      <w:r w:rsidRPr="00507AB4">
        <w:t>du Parlement européen et du Conseil relative au permis de conduire (refonte) (COM(2003) 621 final)</w:t>
      </w:r>
    </w:p>
    <w:p w:rsidR="00BF340E" w:rsidRPr="00507AB4" w:rsidRDefault="00BF340E" w:rsidP="00B75012">
      <w:r w:rsidRPr="00507AB4">
        <w:rPr>
          <w:b/>
          <w:snapToGrid w:val="0"/>
          <w:lang w:eastAsia="en-US"/>
        </w:rPr>
        <w:t>5.</w:t>
      </w:r>
      <w:r w:rsidRPr="00507AB4">
        <w:rPr>
          <w:b/>
          <w:snapToGrid w:val="0"/>
          <w:lang w:eastAsia="en-US"/>
        </w:rPr>
        <w:tab/>
        <w:t>Référence interinstitutionnelle</w:t>
      </w:r>
      <w:r w:rsidRPr="00507AB4">
        <w:rPr>
          <w:snapToGrid w:val="0"/>
          <w:lang w:eastAsia="en-US"/>
        </w:rPr>
        <w:t xml:space="preserve"> : </w:t>
      </w:r>
      <w:r w:rsidRPr="00507AB4">
        <w:t>2003/0252(COD)</w:t>
      </w:r>
    </w:p>
    <w:p w:rsidR="00BF340E" w:rsidRPr="00507AB4" w:rsidRDefault="00BF340E" w:rsidP="00B75012">
      <w:pPr>
        <w:rPr>
          <w:snapToGrid w:val="0"/>
          <w:lang w:eastAsia="en-US"/>
        </w:rPr>
      </w:pPr>
      <w:r w:rsidRPr="00507AB4">
        <w:rPr>
          <w:b/>
          <w:snapToGrid w:val="0"/>
          <w:lang w:eastAsia="en-US"/>
        </w:rPr>
        <w:t>6.</w:t>
      </w:r>
      <w:r w:rsidRPr="00507AB4">
        <w:rPr>
          <w:b/>
          <w:snapToGrid w:val="0"/>
          <w:lang w:eastAsia="en-US"/>
        </w:rPr>
        <w:tab/>
        <w:t>Base juridique</w:t>
      </w:r>
      <w:r w:rsidRPr="00507AB4">
        <w:rPr>
          <w:snapToGrid w:val="0"/>
          <w:lang w:eastAsia="en-US"/>
        </w:rPr>
        <w:t> : Article 80(2)</w:t>
      </w:r>
    </w:p>
    <w:p w:rsidR="00BF340E" w:rsidRPr="00507AB4" w:rsidRDefault="00BF340E" w:rsidP="00B75012">
      <w:pPr>
        <w:rPr>
          <w:snapToGrid w:val="0"/>
          <w:lang w:eastAsia="en-US"/>
        </w:rPr>
      </w:pPr>
      <w:r w:rsidRPr="00507AB4">
        <w:rPr>
          <w:b/>
          <w:snapToGrid w:val="0"/>
          <w:lang w:eastAsia="en-US"/>
        </w:rPr>
        <w:t>7.</w:t>
      </w:r>
      <w:r w:rsidRPr="00507AB4">
        <w:rPr>
          <w:b/>
          <w:snapToGrid w:val="0"/>
          <w:lang w:eastAsia="en-US"/>
        </w:rPr>
        <w:tab/>
        <w:t xml:space="preserve">Commission parlementaire </w:t>
      </w:r>
      <w:r w:rsidR="00BC170D" w:rsidRPr="00507AB4">
        <w:rPr>
          <w:b/>
          <w:snapToGrid w:val="0"/>
          <w:lang w:eastAsia="en-US"/>
        </w:rPr>
        <w:t>compétente</w:t>
      </w:r>
      <w:r w:rsidRPr="00507AB4">
        <w:rPr>
          <w:b/>
          <w:snapToGrid w:val="0"/>
          <w:lang w:eastAsia="en-US"/>
        </w:rPr>
        <w:t xml:space="preserve"> :</w:t>
      </w:r>
      <w:r w:rsidRPr="00507AB4">
        <w:rPr>
          <w:snapToGrid w:val="0"/>
          <w:lang w:eastAsia="en-US"/>
        </w:rPr>
        <w:t xml:space="preserve"> Commission des transports et du tourisme (TRAN)</w:t>
      </w:r>
    </w:p>
    <w:p w:rsidR="00BF340E" w:rsidRPr="00507AB4" w:rsidRDefault="00BF340E" w:rsidP="00B75012">
      <w:pPr>
        <w:rPr>
          <w:snapToGrid w:val="0"/>
          <w:lang w:eastAsia="en-US"/>
        </w:rPr>
      </w:pPr>
      <w:r w:rsidRPr="00507AB4">
        <w:rPr>
          <w:b/>
          <w:snapToGrid w:val="0"/>
          <w:lang w:eastAsia="en-US"/>
        </w:rPr>
        <w:t>8.</w:t>
      </w:r>
      <w:r w:rsidRPr="00507AB4">
        <w:rPr>
          <w:b/>
          <w:snapToGrid w:val="0"/>
          <w:lang w:eastAsia="en-US"/>
        </w:rPr>
        <w:tab/>
        <w:t>Position de la Commission</w:t>
      </w:r>
      <w:r w:rsidRPr="00507AB4">
        <w:rPr>
          <w:snapToGrid w:val="0"/>
          <w:lang w:eastAsia="en-US"/>
        </w:rPr>
        <w:t xml:space="preserve"> : Sur les 94 amendements adoptés, la Commission </w:t>
      </w:r>
      <w:r w:rsidRPr="00507AB4">
        <w:rPr>
          <w:snapToGrid w:val="0"/>
          <w:u w:val="single"/>
          <w:lang w:eastAsia="en-US"/>
        </w:rPr>
        <w:t>peut accepter</w:t>
      </w:r>
      <w:r w:rsidRPr="00507AB4">
        <w:rPr>
          <w:snapToGrid w:val="0"/>
          <w:lang w:eastAsia="en-US"/>
        </w:rPr>
        <w:t xml:space="preserve"> tels quels 59 amendements (1 à 18, 20 à 27, 29 à 38, 41, 44, 46, 47, 49 à 51, 53, 56, 58, 59, 61 à 65, 68, 72, 75, 77 à 79 et 83) ; elle peut en accepter 5 en principe (48, 52, 55, 60 et 86) et 6 en partie (19, 28, 42, 54, 57 et 84). Par contre, la Commission ne peut soutenir 24 amendements (39, 40, 43, 66, 67, 70, 71, 73, 74, 80 à 82, 85, 101, 103, 106, 108, 111, 114, 117, 120, 123, 124 et 127).</w:t>
      </w:r>
    </w:p>
    <w:p w:rsidR="00BF340E" w:rsidRPr="00507AB4" w:rsidRDefault="00BF340E" w:rsidP="00B75012">
      <w:pPr>
        <w:autoSpaceDE w:val="0"/>
        <w:autoSpaceDN w:val="0"/>
        <w:adjustRightInd w:val="0"/>
        <w:rPr>
          <w:b/>
          <w:u w:val="single"/>
        </w:rPr>
      </w:pPr>
      <w:r w:rsidRPr="00507AB4">
        <w:rPr>
          <w:b/>
          <w:u w:val="single"/>
        </w:rPr>
        <w:t>Amendements acceptés en partie</w:t>
      </w:r>
    </w:p>
    <w:p w:rsidR="00B75012" w:rsidRPr="00507AB4" w:rsidRDefault="00BF340E" w:rsidP="0031656D">
      <w:pPr>
        <w:pStyle w:val="Text3"/>
        <w:numPr>
          <w:ilvl w:val="0"/>
          <w:numId w:val="20"/>
        </w:numPr>
        <w:tabs>
          <w:tab w:val="clear" w:pos="2302"/>
        </w:tabs>
      </w:pPr>
      <w:r w:rsidRPr="00507AB4">
        <w:t>Une partie de l’amendement 19 ne peut être acceptée car elle établit une limite supérieure de 4250 kg pour les motor-homes. Non seulement, cette limite met en cause la limite de poids pour le permis de la catégorie B, qui est de 3 500 kg mais elle est aussi en conflit avec la définition des catégories de poids lourds et de bus et avec d’autres obligations communautaires telles que les limiteurs de vitesse.</w:t>
      </w:r>
    </w:p>
    <w:p w:rsidR="00BF340E" w:rsidRPr="00507AB4" w:rsidRDefault="00BF340E" w:rsidP="00B75012">
      <w:pPr>
        <w:pStyle w:val="Text3"/>
        <w:tabs>
          <w:tab w:val="clear" w:pos="2302"/>
        </w:tabs>
        <w:ind w:left="709"/>
      </w:pPr>
      <w:r w:rsidRPr="00507AB4">
        <w:t xml:space="preserve">Une autre partie de cet amendement, concernant les ensembles de véhicules couplés, peut être accepté par la Commission à la condition que la formation proposée dans l’amendement uniquement pour les combinaisons entre 3500 et 4250 kilos soit étendue à toutes les combinaisons dont la remorque excède 750 kg. Comme pour l’amendement 19, l’amendement 84 est </w:t>
      </w:r>
      <w:r w:rsidR="00733E39" w:rsidRPr="00507AB4">
        <w:t>acceptable</w:t>
      </w:r>
      <w:r w:rsidRPr="00507AB4">
        <w:t xml:space="preserve"> à la condition d’étendre la formation à toutes les combinaisons dont la remorque excède 750 kg.</w:t>
      </w:r>
    </w:p>
    <w:p w:rsidR="00BF340E" w:rsidRPr="00507AB4" w:rsidRDefault="00BF340E" w:rsidP="0031656D">
      <w:pPr>
        <w:pStyle w:val="Text3"/>
        <w:numPr>
          <w:ilvl w:val="0"/>
          <w:numId w:val="20"/>
        </w:numPr>
        <w:tabs>
          <w:tab w:val="clear" w:pos="2302"/>
        </w:tabs>
      </w:pPr>
      <w:r w:rsidRPr="00507AB4">
        <w:t xml:space="preserve">L’amendement 28 interdit l’utilisation des remorques attachées aux véhicules de la catégorie D (bus) pour le transport de personnes, sauf dans les transports de ligne </w:t>
      </w:r>
      <w:r w:rsidRPr="00507AB4">
        <w:lastRenderedPageBreak/>
        <w:t>urbaine. Cette partie de l’amendement 28 pourrait bloquer le développement d’autres transports de ce type, par exemple dans les aéroports.</w:t>
      </w:r>
    </w:p>
    <w:p w:rsidR="00BF340E" w:rsidRPr="00507AB4" w:rsidRDefault="00BF340E" w:rsidP="0031656D">
      <w:pPr>
        <w:pStyle w:val="Text3"/>
        <w:numPr>
          <w:ilvl w:val="0"/>
          <w:numId w:val="20"/>
        </w:numPr>
        <w:tabs>
          <w:tab w:val="clear" w:pos="2302"/>
        </w:tabs>
      </w:pPr>
      <w:r w:rsidRPr="00507AB4">
        <w:t>L’amendement 42 suit la proposition de la Commission concernant l’accès progressif aux motocycles, tout en proposant une flexibilité vers le haut de deux ans. La Commission considère le mécanisme proposé utile afin de préserver un accès progressif, mais souhaite limiter la flexibilité à une seule année.</w:t>
      </w:r>
    </w:p>
    <w:p w:rsidR="00BF340E" w:rsidRPr="00507AB4" w:rsidRDefault="00BF340E" w:rsidP="0031656D">
      <w:pPr>
        <w:pStyle w:val="Text3"/>
        <w:numPr>
          <w:ilvl w:val="0"/>
          <w:numId w:val="20"/>
        </w:numPr>
        <w:tabs>
          <w:tab w:val="clear" w:pos="2302"/>
        </w:tabs>
      </w:pPr>
      <w:r w:rsidRPr="00507AB4">
        <w:t>L’amendement 54, notamment la deuxième phrase du paragraphe b, est partiellement en contradiction avec l’amendement 57 que la Commission a soutenu en principe. Par ailleurs, on y fait référence au terme « internationales » qui est ici inappr</w:t>
      </w:r>
      <w:r w:rsidR="005B6CCC">
        <w:t>opr</w:t>
      </w:r>
      <w:r w:rsidRPr="00507AB4">
        <w:t>ié car les vérifications de la bonne application de la directive ont lieu au niveau national et au niveau communautaire.</w:t>
      </w:r>
    </w:p>
    <w:p w:rsidR="00BF340E" w:rsidRPr="00507AB4" w:rsidRDefault="00BF340E" w:rsidP="0031656D">
      <w:pPr>
        <w:pStyle w:val="Text3"/>
        <w:numPr>
          <w:ilvl w:val="0"/>
          <w:numId w:val="20"/>
        </w:numPr>
        <w:tabs>
          <w:tab w:val="clear" w:pos="2302"/>
        </w:tabs>
        <w:rPr>
          <w:b/>
          <w:sz w:val="20"/>
        </w:rPr>
      </w:pPr>
      <w:r w:rsidRPr="00507AB4">
        <w:t>Le dernier paragraphe de l’amendement 57 ne peut être accepté car il va à l’encontre de la jurisprudence de la Cour de Justice sur base de laquelle un refus définitif fondé sur le non respect de la condition de résidence ne serait pas admissible.</w:t>
      </w:r>
    </w:p>
    <w:p w:rsidR="00BF340E" w:rsidRPr="00507AB4" w:rsidRDefault="00BF340E" w:rsidP="00B75012">
      <w:pPr>
        <w:pStyle w:val="Text3"/>
        <w:ind w:left="0"/>
        <w:rPr>
          <w:b/>
          <w:u w:val="single"/>
        </w:rPr>
      </w:pPr>
      <w:r w:rsidRPr="00507AB4">
        <w:rPr>
          <w:b/>
          <w:u w:val="single"/>
        </w:rPr>
        <w:t>Amendements rejetés</w:t>
      </w:r>
    </w:p>
    <w:p w:rsidR="00BF340E" w:rsidRPr="00507AB4" w:rsidRDefault="00BF340E" w:rsidP="0031656D">
      <w:pPr>
        <w:pStyle w:val="Text3"/>
        <w:numPr>
          <w:ilvl w:val="0"/>
          <w:numId w:val="20"/>
        </w:numPr>
        <w:tabs>
          <w:tab w:val="clear" w:pos="2302"/>
        </w:tabs>
      </w:pPr>
      <w:r w:rsidRPr="00507AB4">
        <w:t xml:space="preserve">L’accord interinstitutionnel sur la refonte prévoit que seules les parties modifiées dans la proposition de la Commission pourront être amendées dans le cadre de la codécision. Les amendements </w:t>
      </w:r>
      <w:r w:rsidRPr="00507AB4">
        <w:rPr>
          <w:b/>
        </w:rPr>
        <w:t>70, 71, 73, 74, 80, 81, 82 et 120</w:t>
      </w:r>
      <w:r w:rsidRPr="00507AB4">
        <w:t xml:space="preserve"> qui ne visent pas ces parties doivent par conséquent être rejetés.</w:t>
      </w:r>
    </w:p>
    <w:p w:rsidR="00BF340E" w:rsidRPr="00507AB4" w:rsidRDefault="00BF340E" w:rsidP="0031656D">
      <w:pPr>
        <w:pStyle w:val="Text3"/>
        <w:numPr>
          <w:ilvl w:val="0"/>
          <w:numId w:val="20"/>
        </w:numPr>
        <w:tabs>
          <w:tab w:val="clear" w:pos="2302"/>
        </w:tabs>
      </w:pPr>
      <w:r w:rsidRPr="00507AB4">
        <w:t xml:space="preserve">L’amendement </w:t>
      </w:r>
      <w:r w:rsidRPr="00507AB4">
        <w:rPr>
          <w:b/>
        </w:rPr>
        <w:t>85</w:t>
      </w:r>
      <w:r w:rsidRPr="00507AB4">
        <w:t xml:space="preserve"> ne peut être accepté car il établit une limite supérieure de 4250 kg pour les motor-homes. Non seulement, cette limite met en cause la limite de poids pour le permis de la catégorie B, qui est de 3 500 kg mais elle est aussi en conflit avec la définition des catégories de poids lourds et de bus et avec d’autres obligations communautaires telles que les limiteurs de vitesse.</w:t>
      </w:r>
    </w:p>
    <w:p w:rsidR="00BF340E" w:rsidRPr="00507AB4" w:rsidRDefault="00BF340E" w:rsidP="0031656D">
      <w:pPr>
        <w:pStyle w:val="Text3"/>
        <w:numPr>
          <w:ilvl w:val="0"/>
          <w:numId w:val="20"/>
        </w:numPr>
        <w:tabs>
          <w:tab w:val="clear" w:pos="2302"/>
        </w:tabs>
      </w:pPr>
      <w:r w:rsidRPr="00507AB4">
        <w:t>La rédaction des amendements 101 et 114 est moins précise que celle de l’amendement 36 auquel la Commission a donné son soutien.</w:t>
      </w:r>
    </w:p>
    <w:p w:rsidR="00BF340E" w:rsidRPr="00507AB4" w:rsidRDefault="00BF340E" w:rsidP="0031656D">
      <w:pPr>
        <w:pStyle w:val="Text3"/>
        <w:numPr>
          <w:ilvl w:val="0"/>
          <w:numId w:val="20"/>
        </w:numPr>
        <w:tabs>
          <w:tab w:val="clear" w:pos="2302"/>
        </w:tabs>
      </w:pPr>
      <w:r w:rsidRPr="00507AB4">
        <w:t>L’amendement 103 doit être rejeté parce qu’il est en conflit avec la directive relative au permis de conduire déjà en vigueur (91/439/CEE). Cet amendement serait un retour en arrière par rapport à la situation d’aujourd’hui. Il permettrait à un conducteur d’un poids lourd de conduire un bus, alors que les caractéristiques de ces deux véhicules sont tout à fait différent</w:t>
      </w:r>
      <w:r w:rsidR="00710083" w:rsidRPr="00507AB4">
        <w:t>e</w:t>
      </w:r>
      <w:r w:rsidRPr="00507AB4">
        <w:t>s (notamment les porte-à-faux) et requièrent donc depuis la date d’application de la directive susmentionnée (01.07.1996) la détention de catégories de permis spécifiques.</w:t>
      </w:r>
    </w:p>
    <w:p w:rsidR="00BF340E" w:rsidRPr="00507AB4" w:rsidRDefault="00BF340E" w:rsidP="0031656D">
      <w:pPr>
        <w:pStyle w:val="Text3"/>
        <w:numPr>
          <w:ilvl w:val="0"/>
          <w:numId w:val="20"/>
        </w:numPr>
        <w:tabs>
          <w:tab w:val="clear" w:pos="2302"/>
        </w:tabs>
      </w:pPr>
      <w:r w:rsidRPr="00507AB4">
        <w:t>L’amendement 106 doit être rejeté car il réduit le champ d’application de la directive proposé par la Commission. La coïncidence des examens médicaux avec le renouvellement des permis de conduire que les États membres choisissent d’introduire pour les conducteurs de voitures ou de motocycles ou qu’ils imposent régulièrement aux conducteurs de poids lourds ou de bus est la seule façon dont ils disposent pour garantir la bonne application du droit communautaire.</w:t>
      </w:r>
    </w:p>
    <w:p w:rsidR="00BF340E" w:rsidRPr="00507AB4" w:rsidRDefault="00BF340E" w:rsidP="0031656D">
      <w:pPr>
        <w:pStyle w:val="Text3"/>
        <w:numPr>
          <w:ilvl w:val="0"/>
          <w:numId w:val="20"/>
        </w:numPr>
        <w:tabs>
          <w:tab w:val="clear" w:pos="2302"/>
        </w:tabs>
      </w:pPr>
      <w:r w:rsidRPr="00507AB4">
        <w:lastRenderedPageBreak/>
        <w:t xml:space="preserve">La Commission ne peut soutenir les amendements </w:t>
      </w:r>
      <w:r w:rsidRPr="00507AB4">
        <w:rPr>
          <w:b/>
        </w:rPr>
        <w:t>108, 117, 123, 124 et 127</w:t>
      </w:r>
      <w:r w:rsidRPr="00507AB4">
        <w:t xml:space="preserve"> car ils portent atteinte au principe de l’accès progressif et à une véritable harmonisation des âges minimaux. Ces amendements sont par ailleurs en conflit avec l’amendement 42 que la Commission peut accepter en partie.</w:t>
      </w:r>
    </w:p>
    <w:p w:rsidR="00BF340E" w:rsidRPr="00507AB4" w:rsidRDefault="00BF340E" w:rsidP="0031656D">
      <w:pPr>
        <w:pStyle w:val="Text3"/>
        <w:numPr>
          <w:ilvl w:val="0"/>
          <w:numId w:val="20"/>
        </w:numPr>
        <w:tabs>
          <w:tab w:val="clear" w:pos="2302"/>
        </w:tabs>
      </w:pPr>
      <w:r w:rsidRPr="00507AB4">
        <w:t>L’amendement 111 supprime le critère de la capacité cylindrique des motocycles. Or, c’est une garantie que l’épreuve pratique est menée sur un motocycle dont les performances sont en relation avec les droits conférés par la catégorie de permis de conduire obtenue après réussite de l’épreuve.</w:t>
      </w:r>
    </w:p>
    <w:p w:rsidR="00BF340E" w:rsidRPr="00507AB4" w:rsidRDefault="00BF340E" w:rsidP="00B75012">
      <w:r w:rsidRPr="00507AB4">
        <w:rPr>
          <w:b/>
        </w:rPr>
        <w:t>9.</w:t>
      </w:r>
      <w:r w:rsidRPr="00507AB4">
        <w:rPr>
          <w:b/>
        </w:rPr>
        <w:tab/>
        <w:t xml:space="preserve">Prévision quant à la modification de la proposition: </w:t>
      </w:r>
      <w:r w:rsidRPr="00507AB4">
        <w:t>La Commission modifiera oralement sa proposition dans les instances appr</w:t>
      </w:r>
      <w:r w:rsidR="00DF014A">
        <w:t>oprié</w:t>
      </w:r>
      <w:r w:rsidRPr="00507AB4">
        <w:t>es du Conseil en indiquant les amendements du Parlement européen qu’elle a accepté</w:t>
      </w:r>
      <w:r w:rsidR="000F382A">
        <w:t>s</w:t>
      </w:r>
      <w:r w:rsidRPr="00507AB4">
        <w:t xml:space="preserve"> en session plénière.</w:t>
      </w:r>
    </w:p>
    <w:p w:rsidR="00BF340E" w:rsidRPr="00507AB4" w:rsidRDefault="00BF340E" w:rsidP="00B75012">
      <w:r w:rsidRPr="00507AB4">
        <w:rPr>
          <w:b/>
        </w:rPr>
        <w:t>10.</w:t>
      </w:r>
      <w:r w:rsidRPr="00507AB4">
        <w:rPr>
          <w:b/>
        </w:rPr>
        <w:tab/>
        <w:t xml:space="preserve">Prévision sur l’adoption de la position commune : </w:t>
      </w:r>
      <w:r w:rsidR="00E33508" w:rsidRPr="00E33508">
        <w:t>Dans</w:t>
      </w:r>
      <w:r w:rsidRPr="00507AB4">
        <w:t xml:space="preserve"> l’attente de l’avis du Parlement européen en 1</w:t>
      </w:r>
      <w:r w:rsidRPr="00507AB4">
        <w:rPr>
          <w:vertAlign w:val="superscript"/>
        </w:rPr>
        <w:t>ère</w:t>
      </w:r>
      <w:r w:rsidRPr="00507AB4">
        <w:t xml:space="preserve"> lecture, le Conseil a dégagé une orientation générale le 7 octobre 2004. Un accord politique du Conseil devrait intervenir avant la fin du premier semestre 2005, sous Présidence luxembourgeoise. L’adoption de l’acte législatif pourrait intervenir en </w:t>
      </w:r>
      <w:r w:rsidR="00E33508">
        <w:t>2ème</w:t>
      </w:r>
      <w:r w:rsidRPr="00507AB4">
        <w:t xml:space="preserve"> lecture.</w:t>
      </w:r>
    </w:p>
    <w:p w:rsidR="00540962" w:rsidRPr="00507AB4" w:rsidRDefault="00F569D9" w:rsidP="00540962">
      <w:pPr>
        <w:pStyle w:val="Subject"/>
        <w:spacing w:after="240"/>
        <w:rPr>
          <w:rStyle w:val="DefaultMargins"/>
          <w:rFonts w:ascii="Times New Roman" w:hAnsi="Times New Roman"/>
          <w:spacing w:val="-2"/>
          <w:sz w:val="24"/>
          <w:szCs w:val="24"/>
          <w:lang w:val="fr-FR"/>
        </w:rPr>
      </w:pPr>
      <w:r w:rsidRPr="00507AB4">
        <w:rPr>
          <w:rStyle w:val="DefaultMargins"/>
          <w:rFonts w:ascii="Times New Roman" w:hAnsi="Times New Roman"/>
          <w:spacing w:val="-2"/>
          <w:sz w:val="24"/>
          <w:szCs w:val="24"/>
          <w:lang w:val="fr-FR"/>
        </w:rPr>
        <w:br w:type="page"/>
      </w:r>
    </w:p>
    <w:p w:rsidR="00540962" w:rsidRPr="00507AB4" w:rsidRDefault="005174FB" w:rsidP="00540962">
      <w:pPr>
        <w:pStyle w:val="Subject"/>
        <w:spacing w:after="240"/>
        <w:jc w:val="center"/>
      </w:pPr>
      <w:r w:rsidRPr="00507AB4">
        <w:t>PROCÉDURE DE CODÉCISION</w:t>
      </w:r>
      <w:r w:rsidR="00540962" w:rsidRPr="00507AB4">
        <w:t xml:space="preserve"> – </w:t>
      </w:r>
      <w:r w:rsidR="00C84DFD" w:rsidRPr="00507AB4">
        <w:t>Première lecture</w:t>
      </w:r>
    </w:p>
    <w:p w:rsidR="00540962" w:rsidRPr="00CD1013" w:rsidRDefault="00BE5602" w:rsidP="00540962">
      <w:pPr>
        <w:pStyle w:val="Titreobjet"/>
        <w:spacing w:before="0" w:after="240"/>
        <w:rPr>
          <w:color w:val="000000"/>
          <w:szCs w:val="24"/>
          <w:lang w:val="fr-FR"/>
        </w:rPr>
      </w:pPr>
      <w:r w:rsidRPr="00CD1013">
        <w:rPr>
          <w:color w:val="000000"/>
          <w:szCs w:val="24"/>
          <w:lang w:val="fr-FR"/>
        </w:rPr>
        <w:t>Proposition de règlement du Parlement européen et du Conseil modifiant le règlement (CE) n° 1165/98 concernant les statistiques conjoncturelles</w:t>
      </w:r>
    </w:p>
    <w:p w:rsidR="00540962" w:rsidRPr="00CD1013" w:rsidRDefault="00540962" w:rsidP="00540962">
      <w:pPr>
        <w:rPr>
          <w:color w:val="000000"/>
          <w:szCs w:val="24"/>
          <w:lang w:eastAsia="zh-CN"/>
        </w:rPr>
      </w:pPr>
    </w:p>
    <w:p w:rsidR="00540962" w:rsidRPr="00CD1013" w:rsidRDefault="00540962" w:rsidP="00540962">
      <w:pPr>
        <w:rPr>
          <w:color w:val="000000"/>
          <w:szCs w:val="24"/>
          <w:lang w:eastAsia="zh-CN"/>
        </w:rPr>
      </w:pPr>
    </w:p>
    <w:p w:rsidR="00540962" w:rsidRPr="00CD1013" w:rsidRDefault="00540962" w:rsidP="00540962">
      <w:pPr>
        <w:rPr>
          <w:color w:val="000000"/>
          <w:szCs w:val="24"/>
        </w:rPr>
      </w:pPr>
      <w:r w:rsidRPr="00CD1013">
        <w:rPr>
          <w:b/>
          <w:color w:val="000000"/>
          <w:szCs w:val="24"/>
        </w:rPr>
        <w:t>1.</w:t>
      </w:r>
      <w:r w:rsidRPr="00CD1013">
        <w:rPr>
          <w:b/>
          <w:color w:val="000000"/>
          <w:szCs w:val="24"/>
        </w:rPr>
        <w:tab/>
        <w:t xml:space="preserve">Rapporteur: </w:t>
      </w:r>
      <w:r w:rsidRPr="00CD1013">
        <w:rPr>
          <w:color w:val="000000"/>
          <w:szCs w:val="24"/>
        </w:rPr>
        <w:t>Margarita Starkevičiūtė</w:t>
      </w:r>
    </w:p>
    <w:p w:rsidR="00540962" w:rsidRPr="00CD1013" w:rsidRDefault="00540962" w:rsidP="00540962">
      <w:pPr>
        <w:rPr>
          <w:color w:val="000000"/>
          <w:szCs w:val="24"/>
        </w:rPr>
      </w:pPr>
      <w:r w:rsidRPr="00CD1013">
        <w:rPr>
          <w:b/>
          <w:color w:val="000000"/>
          <w:szCs w:val="24"/>
        </w:rPr>
        <w:t>2.</w:t>
      </w:r>
      <w:r w:rsidRPr="00CD1013">
        <w:rPr>
          <w:b/>
          <w:color w:val="000000"/>
          <w:szCs w:val="24"/>
        </w:rPr>
        <w:tab/>
      </w:r>
      <w:r w:rsidR="005174FB" w:rsidRPr="00CD1013">
        <w:rPr>
          <w:b/>
          <w:color w:val="000000"/>
          <w:szCs w:val="24"/>
        </w:rPr>
        <w:t>N° du PE</w:t>
      </w:r>
      <w:r w:rsidRPr="00CD1013">
        <w:rPr>
          <w:b/>
          <w:color w:val="000000"/>
          <w:szCs w:val="24"/>
        </w:rPr>
        <w:t xml:space="preserve">: </w:t>
      </w:r>
      <w:r w:rsidRPr="00CD1013">
        <w:rPr>
          <w:color w:val="000000"/>
          <w:szCs w:val="24"/>
        </w:rPr>
        <w:t>A6-0023/2005</w:t>
      </w:r>
    </w:p>
    <w:p w:rsidR="00540962" w:rsidRPr="00CD1013" w:rsidRDefault="00540962" w:rsidP="00540962">
      <w:pPr>
        <w:rPr>
          <w:color w:val="000000"/>
          <w:szCs w:val="24"/>
        </w:rPr>
      </w:pPr>
      <w:r w:rsidRPr="00CD1013">
        <w:rPr>
          <w:b/>
          <w:color w:val="000000"/>
          <w:szCs w:val="24"/>
        </w:rPr>
        <w:t>3.</w:t>
      </w:r>
      <w:r w:rsidRPr="00CD1013">
        <w:rPr>
          <w:b/>
          <w:color w:val="000000"/>
          <w:szCs w:val="24"/>
        </w:rPr>
        <w:tab/>
      </w:r>
      <w:r w:rsidR="005174FB" w:rsidRPr="00CD1013">
        <w:rPr>
          <w:b/>
          <w:color w:val="000000"/>
          <w:szCs w:val="24"/>
        </w:rPr>
        <w:t>Date d’adoption du rapport</w:t>
      </w:r>
      <w:r w:rsidRPr="00CD1013">
        <w:rPr>
          <w:b/>
          <w:color w:val="000000"/>
          <w:szCs w:val="24"/>
        </w:rPr>
        <w:t xml:space="preserve">: </w:t>
      </w:r>
      <w:r w:rsidRPr="00CD1013">
        <w:rPr>
          <w:color w:val="000000"/>
          <w:szCs w:val="24"/>
        </w:rPr>
        <w:t xml:space="preserve">22 </w:t>
      </w:r>
      <w:r w:rsidR="00C84DFD" w:rsidRPr="00CD1013">
        <w:rPr>
          <w:color w:val="000000"/>
          <w:szCs w:val="24"/>
        </w:rPr>
        <w:t>Février</w:t>
      </w:r>
      <w:r w:rsidRPr="00CD1013">
        <w:rPr>
          <w:color w:val="000000"/>
          <w:szCs w:val="24"/>
        </w:rPr>
        <w:t xml:space="preserve"> 2005</w:t>
      </w:r>
    </w:p>
    <w:p w:rsidR="00540962" w:rsidRPr="00CD1013" w:rsidRDefault="00540962" w:rsidP="00540962">
      <w:pPr>
        <w:pStyle w:val="Titreobjet"/>
        <w:spacing w:before="0" w:after="240"/>
        <w:jc w:val="both"/>
        <w:rPr>
          <w:color w:val="000000"/>
          <w:szCs w:val="24"/>
          <w:lang w:val="fr-FR"/>
        </w:rPr>
      </w:pPr>
      <w:r w:rsidRPr="00CD1013">
        <w:rPr>
          <w:color w:val="000000"/>
          <w:szCs w:val="24"/>
          <w:lang w:val="fr-FR"/>
        </w:rPr>
        <w:t>4.</w:t>
      </w:r>
      <w:r w:rsidRPr="00CD1013">
        <w:rPr>
          <w:color w:val="000000"/>
          <w:szCs w:val="24"/>
          <w:lang w:val="fr-FR"/>
        </w:rPr>
        <w:tab/>
      </w:r>
      <w:r w:rsidR="005174FB" w:rsidRPr="00CD1013">
        <w:rPr>
          <w:color w:val="000000"/>
          <w:szCs w:val="24"/>
          <w:lang w:val="fr-FR"/>
        </w:rPr>
        <w:t>Objet:</w:t>
      </w:r>
      <w:r w:rsidRPr="00CD1013">
        <w:rPr>
          <w:color w:val="000000"/>
          <w:szCs w:val="24"/>
          <w:lang w:val="fr-FR"/>
        </w:rPr>
        <w:t xml:space="preserve"> </w:t>
      </w:r>
      <w:r w:rsidR="00630E25" w:rsidRPr="00003CC7">
        <w:rPr>
          <w:b w:val="0"/>
          <w:color w:val="000000"/>
          <w:szCs w:val="24"/>
          <w:lang w:val="fr-FR"/>
        </w:rPr>
        <w:t>Proposition de règlement du Parlement européen et du Conseil modifiant le règlement (CE) n° 1165/98 concernant les statistiques conjoncturelles</w:t>
      </w:r>
    </w:p>
    <w:p w:rsidR="00540962" w:rsidRPr="00507AB4" w:rsidRDefault="00540962" w:rsidP="00540962">
      <w:r w:rsidRPr="00507AB4">
        <w:rPr>
          <w:b/>
        </w:rPr>
        <w:t>5.</w:t>
      </w:r>
      <w:r w:rsidRPr="00507AB4">
        <w:rPr>
          <w:b/>
        </w:rPr>
        <w:tab/>
      </w:r>
      <w:r w:rsidR="005174FB" w:rsidRPr="00507AB4">
        <w:rPr>
          <w:b/>
        </w:rPr>
        <w:t xml:space="preserve">Référence </w:t>
      </w:r>
      <w:r w:rsidR="00507AB4" w:rsidRPr="00507AB4">
        <w:rPr>
          <w:b/>
        </w:rPr>
        <w:t>interinstitutionnelle</w:t>
      </w:r>
      <w:r w:rsidRPr="00507AB4">
        <w:rPr>
          <w:b/>
        </w:rPr>
        <w:t xml:space="preserve">: </w:t>
      </w:r>
      <w:r w:rsidRPr="00507AB4">
        <w:t>2003/325(COD)</w:t>
      </w:r>
    </w:p>
    <w:p w:rsidR="00540962" w:rsidRPr="00507AB4" w:rsidRDefault="00540962" w:rsidP="00540962">
      <w:r w:rsidRPr="00507AB4">
        <w:rPr>
          <w:b/>
        </w:rPr>
        <w:t>6.</w:t>
      </w:r>
      <w:r w:rsidRPr="00507AB4">
        <w:rPr>
          <w:b/>
        </w:rPr>
        <w:tab/>
      </w:r>
      <w:r w:rsidR="005174FB" w:rsidRPr="00507AB4">
        <w:rPr>
          <w:b/>
        </w:rPr>
        <w:t>Base juridique:</w:t>
      </w:r>
      <w:r w:rsidRPr="00507AB4">
        <w:rPr>
          <w:b/>
        </w:rPr>
        <w:t xml:space="preserve"> </w:t>
      </w:r>
      <w:r w:rsidRPr="00507AB4">
        <w:t>Article 285</w:t>
      </w:r>
      <w:r w:rsidR="00BE5602" w:rsidRPr="00507AB4">
        <w:t>, paragraphe 1</w:t>
      </w:r>
      <w:r w:rsidR="00630E25" w:rsidRPr="00507AB4">
        <w:t>,</w:t>
      </w:r>
      <w:r w:rsidR="00BE5602" w:rsidRPr="00507AB4">
        <w:t xml:space="preserve"> du traité CE</w:t>
      </w:r>
    </w:p>
    <w:p w:rsidR="00540962" w:rsidRPr="00507AB4" w:rsidRDefault="00540962" w:rsidP="005E7E32">
      <w:pPr>
        <w:rPr>
          <w:b/>
        </w:rPr>
      </w:pPr>
      <w:r w:rsidRPr="00507AB4">
        <w:rPr>
          <w:b/>
        </w:rPr>
        <w:t>7.</w:t>
      </w:r>
      <w:r w:rsidRPr="00507AB4">
        <w:rPr>
          <w:b/>
        </w:rPr>
        <w:tab/>
      </w:r>
      <w:r w:rsidR="005174FB" w:rsidRPr="00507AB4">
        <w:rPr>
          <w:b/>
        </w:rPr>
        <w:t>Commission parlementaire compétente</w:t>
      </w:r>
      <w:r w:rsidRPr="00507AB4">
        <w:rPr>
          <w:b/>
        </w:rPr>
        <w:t xml:space="preserve">: </w:t>
      </w:r>
      <w:r w:rsidR="00B424A2" w:rsidRPr="00507AB4">
        <w:t>Commission économique et monétaire</w:t>
      </w:r>
      <w:r w:rsidRPr="00507AB4">
        <w:t xml:space="preserve"> (ECON)</w:t>
      </w:r>
    </w:p>
    <w:p w:rsidR="00540962" w:rsidRPr="00507AB4" w:rsidRDefault="00540962" w:rsidP="00540962">
      <w:pPr>
        <w:rPr>
          <w:b/>
        </w:rPr>
      </w:pPr>
      <w:r w:rsidRPr="00507AB4">
        <w:rPr>
          <w:b/>
        </w:rPr>
        <w:t>8.</w:t>
      </w:r>
      <w:r w:rsidRPr="00507AB4">
        <w:rPr>
          <w:b/>
        </w:rPr>
        <w:tab/>
      </w:r>
      <w:r w:rsidR="005174FB" w:rsidRPr="00507AB4">
        <w:rPr>
          <w:b/>
        </w:rPr>
        <w:t>Position de la Commission</w:t>
      </w:r>
      <w:r w:rsidRPr="00507AB4">
        <w:rPr>
          <w:b/>
        </w:rPr>
        <w:t xml:space="preserve">: </w:t>
      </w:r>
      <w:r w:rsidR="00B424A2" w:rsidRPr="00507AB4">
        <w:t>Le 22</w:t>
      </w:r>
      <w:r w:rsidR="00B424A2" w:rsidRPr="00507AB4">
        <w:rPr>
          <w:b/>
        </w:rPr>
        <w:t xml:space="preserve"> </w:t>
      </w:r>
      <w:r w:rsidR="00B424A2" w:rsidRPr="00507AB4">
        <w:t>février</w:t>
      </w:r>
      <w:r w:rsidRPr="00507AB4">
        <w:t xml:space="preserve"> 2005, </w:t>
      </w:r>
      <w:r w:rsidR="00B424A2" w:rsidRPr="00507AB4">
        <w:t xml:space="preserve">le Parlement européen a adopté 26 amendements qui permettront l’adoption en première lecture et que la Commission </w:t>
      </w:r>
      <w:r w:rsidR="00B424A2" w:rsidRPr="00507AB4">
        <w:rPr>
          <w:u w:val="single"/>
        </w:rPr>
        <w:t>peut soutenir</w:t>
      </w:r>
      <w:r w:rsidRPr="00507AB4">
        <w:t>.</w:t>
      </w:r>
    </w:p>
    <w:p w:rsidR="00540962" w:rsidRPr="00507AB4" w:rsidRDefault="00540962" w:rsidP="00540962">
      <w:pPr>
        <w:rPr>
          <w:b/>
        </w:rPr>
      </w:pPr>
      <w:r w:rsidRPr="00507AB4">
        <w:rPr>
          <w:b/>
        </w:rPr>
        <w:t>9.</w:t>
      </w:r>
      <w:r w:rsidRPr="00507AB4">
        <w:rPr>
          <w:b/>
        </w:rPr>
        <w:tab/>
      </w:r>
      <w:r w:rsidR="003325F5" w:rsidRPr="00507AB4">
        <w:rPr>
          <w:b/>
        </w:rPr>
        <w:t>Prévisions quant à la modification de la proposition</w:t>
      </w:r>
      <w:r w:rsidRPr="00507AB4">
        <w:rPr>
          <w:b/>
        </w:rPr>
        <w:t xml:space="preserve">: </w:t>
      </w:r>
      <w:r w:rsidR="00B424A2" w:rsidRPr="00507AB4">
        <w:t>Les services de la</w:t>
      </w:r>
      <w:r w:rsidRPr="00507AB4">
        <w:t xml:space="preserve"> Commission </w:t>
      </w:r>
      <w:r w:rsidR="00B424A2" w:rsidRPr="00507AB4">
        <w:t>informeront le Conseil oralement de l’acceptation des amendements du Parlement européen.</w:t>
      </w:r>
    </w:p>
    <w:p w:rsidR="00540962" w:rsidRPr="00507AB4" w:rsidRDefault="00540962" w:rsidP="00540962">
      <w:pPr>
        <w:rPr>
          <w:snapToGrid w:val="0"/>
          <w:lang w:eastAsia="en-US"/>
        </w:rPr>
      </w:pPr>
      <w:r w:rsidRPr="00507AB4">
        <w:rPr>
          <w:b/>
        </w:rPr>
        <w:t>10.</w:t>
      </w:r>
      <w:r w:rsidRPr="00507AB4">
        <w:rPr>
          <w:b/>
        </w:rPr>
        <w:tab/>
      </w:r>
      <w:r w:rsidR="00630E25" w:rsidRPr="00507AB4">
        <w:rPr>
          <w:b/>
          <w:snapToGrid w:val="0"/>
          <w:lang w:eastAsia="en-US"/>
        </w:rPr>
        <w:t>Prévisions quant à l’adoption du règlement</w:t>
      </w:r>
      <w:r w:rsidRPr="00507AB4">
        <w:rPr>
          <w:b/>
          <w:snapToGrid w:val="0"/>
          <w:lang w:eastAsia="en-US"/>
        </w:rPr>
        <w:t xml:space="preserve">: </w:t>
      </w:r>
      <w:r w:rsidR="00630E25" w:rsidRPr="00507AB4">
        <w:rPr>
          <w:snapToGrid w:val="0"/>
          <w:lang w:eastAsia="en-US"/>
        </w:rPr>
        <w:t>Le</w:t>
      </w:r>
      <w:r w:rsidR="00630E25" w:rsidRPr="00507AB4">
        <w:rPr>
          <w:b/>
          <w:snapToGrid w:val="0"/>
          <w:lang w:eastAsia="en-US"/>
        </w:rPr>
        <w:t xml:space="preserve"> </w:t>
      </w:r>
      <w:r w:rsidR="00630E25" w:rsidRPr="00507AB4">
        <w:rPr>
          <w:snapToGrid w:val="0"/>
          <w:lang w:eastAsia="en-US"/>
        </w:rPr>
        <w:t xml:space="preserve">Conseil est sur le point d’adopter la proposition en </w:t>
      </w:r>
      <w:r w:rsidR="00C84DFD" w:rsidRPr="00507AB4">
        <w:rPr>
          <w:snapToGrid w:val="0"/>
          <w:lang w:eastAsia="en-US"/>
        </w:rPr>
        <w:t>première lecture</w:t>
      </w:r>
      <w:r w:rsidRPr="00507AB4">
        <w:rPr>
          <w:snapToGrid w:val="0"/>
          <w:lang w:eastAsia="en-US"/>
        </w:rPr>
        <w:t>.</w:t>
      </w:r>
    </w:p>
    <w:p w:rsidR="002863DC" w:rsidRPr="00507AB4" w:rsidRDefault="002863DC" w:rsidP="00460AFD">
      <w:pPr>
        <w:rPr>
          <w:snapToGrid w:val="0"/>
          <w:lang w:eastAsia="en-US"/>
        </w:rPr>
      </w:pPr>
      <w:r w:rsidRPr="00507AB4">
        <w:rPr>
          <w:snapToGrid w:val="0"/>
          <w:lang w:eastAsia="en-US"/>
        </w:rPr>
        <w:br w:type="page"/>
      </w:r>
    </w:p>
    <w:p w:rsidR="00E07860" w:rsidRPr="00003CC7" w:rsidRDefault="00003CC7" w:rsidP="00E07860">
      <w:pPr>
        <w:jc w:val="center"/>
        <w:rPr>
          <w:color w:val="000000"/>
          <w:szCs w:val="24"/>
        </w:rPr>
      </w:pPr>
      <w:r w:rsidRPr="00003CC7">
        <w:rPr>
          <w:b/>
          <w:bCs/>
          <w:color w:val="000000"/>
          <w:szCs w:val="24"/>
        </w:rPr>
        <w:t>P</w:t>
      </w:r>
      <w:r w:rsidR="00E07860" w:rsidRPr="00003CC7">
        <w:rPr>
          <w:b/>
          <w:bCs/>
          <w:color w:val="000000"/>
          <w:szCs w:val="24"/>
        </w:rPr>
        <w:t>ROCÉDURE DE CONSULTATION NÉCESSITANT UNE SEULE LECTURE</w:t>
      </w:r>
    </w:p>
    <w:p w:rsidR="00460AFD" w:rsidRPr="00003CC7" w:rsidRDefault="00E07860" w:rsidP="00E07860">
      <w:pPr>
        <w:jc w:val="center"/>
        <w:rPr>
          <w:b/>
          <w:color w:val="000000"/>
          <w:szCs w:val="24"/>
        </w:rPr>
      </w:pPr>
      <w:r w:rsidRPr="00003CC7">
        <w:rPr>
          <w:b/>
          <w:bCs/>
          <w:color w:val="000000"/>
          <w:szCs w:val="24"/>
        </w:rPr>
        <w:t>Proposition de règlement du Conseil instituant une agence communautaire de contrôle des pêches et modifiant le règlement (CEE) n°2847/93 instituant un régime de contrôle applicable à la politique commune de la pêche</w:t>
      </w:r>
    </w:p>
    <w:p w:rsidR="00460AFD" w:rsidRPr="00507AB4" w:rsidRDefault="00460AFD" w:rsidP="008B7330">
      <w:pPr>
        <w:rPr>
          <w:b/>
        </w:rPr>
      </w:pPr>
    </w:p>
    <w:p w:rsidR="00460AFD" w:rsidRPr="00507AB4" w:rsidRDefault="00460AFD" w:rsidP="008B7330">
      <w:pPr>
        <w:rPr>
          <w:b/>
        </w:rPr>
      </w:pPr>
    </w:p>
    <w:p w:rsidR="00460AFD" w:rsidRPr="00507AB4" w:rsidRDefault="00460AFD" w:rsidP="008B7330">
      <w:r w:rsidRPr="00507AB4">
        <w:rPr>
          <w:b/>
        </w:rPr>
        <w:t>1.</w:t>
      </w:r>
      <w:r w:rsidRPr="00507AB4">
        <w:rPr>
          <w:b/>
        </w:rPr>
        <w:tab/>
        <w:t xml:space="preserve">Rapporteur: </w:t>
      </w:r>
      <w:r w:rsidRPr="00507AB4">
        <w:t>Elspeth Attwooll</w:t>
      </w:r>
    </w:p>
    <w:p w:rsidR="00460AFD" w:rsidRPr="00507AB4" w:rsidRDefault="00460AFD" w:rsidP="008B7330">
      <w:r w:rsidRPr="00507AB4">
        <w:rPr>
          <w:b/>
        </w:rPr>
        <w:t>2.</w:t>
      </w:r>
      <w:r w:rsidRPr="00507AB4">
        <w:rPr>
          <w:b/>
        </w:rPr>
        <w:tab/>
      </w:r>
      <w:r w:rsidR="005174FB" w:rsidRPr="00507AB4">
        <w:rPr>
          <w:b/>
        </w:rPr>
        <w:t>N° du PE</w:t>
      </w:r>
      <w:r w:rsidRPr="00507AB4">
        <w:rPr>
          <w:b/>
        </w:rPr>
        <w:t xml:space="preserve">: </w:t>
      </w:r>
      <w:r w:rsidRPr="00507AB4">
        <w:t>A6</w:t>
      </w:r>
      <w:r w:rsidRPr="00507AB4">
        <w:noBreakHyphen/>
        <w:t>0022/2005</w:t>
      </w:r>
    </w:p>
    <w:p w:rsidR="00460AFD" w:rsidRPr="00507AB4" w:rsidRDefault="00460AFD" w:rsidP="008B7330">
      <w:r w:rsidRPr="00507AB4">
        <w:rPr>
          <w:b/>
        </w:rPr>
        <w:t>3.</w:t>
      </w:r>
      <w:r w:rsidRPr="00507AB4">
        <w:rPr>
          <w:b/>
        </w:rPr>
        <w:tab/>
        <w:t xml:space="preserve">Date </w:t>
      </w:r>
      <w:r w:rsidR="00E07860" w:rsidRPr="00507AB4">
        <w:rPr>
          <w:b/>
        </w:rPr>
        <w:t>d’</w:t>
      </w:r>
      <w:r w:rsidRPr="00507AB4">
        <w:rPr>
          <w:b/>
        </w:rPr>
        <w:t xml:space="preserve">adoption: </w:t>
      </w:r>
      <w:r w:rsidRPr="00507AB4">
        <w:t xml:space="preserve">23 </w:t>
      </w:r>
      <w:r w:rsidR="00E07860" w:rsidRPr="00507AB4">
        <w:t>f</w:t>
      </w:r>
      <w:r w:rsidR="00C84DFD" w:rsidRPr="00507AB4">
        <w:t>évrier</w:t>
      </w:r>
      <w:r w:rsidRPr="00507AB4">
        <w:t xml:space="preserve"> 2005</w:t>
      </w:r>
    </w:p>
    <w:p w:rsidR="00460AFD" w:rsidRPr="00507AB4" w:rsidRDefault="00460AFD" w:rsidP="008B7330">
      <w:r w:rsidRPr="00507AB4">
        <w:rPr>
          <w:b/>
        </w:rPr>
        <w:t>4.</w:t>
      </w:r>
      <w:r w:rsidRPr="00507AB4">
        <w:rPr>
          <w:b/>
        </w:rPr>
        <w:tab/>
      </w:r>
      <w:r w:rsidR="005174FB" w:rsidRPr="00507AB4">
        <w:rPr>
          <w:b/>
        </w:rPr>
        <w:t>Objet:</w:t>
      </w:r>
      <w:r w:rsidRPr="00507AB4">
        <w:rPr>
          <w:b/>
        </w:rPr>
        <w:t xml:space="preserve"> </w:t>
      </w:r>
      <w:r w:rsidR="00003CC7">
        <w:t>Institution</w:t>
      </w:r>
      <w:r w:rsidR="00A661B9" w:rsidRPr="00507AB4">
        <w:t xml:space="preserve"> d'une agence communautaire de contrôle des pêches (</w:t>
      </w:r>
      <w:r w:rsidR="00CD1013" w:rsidRPr="00507AB4">
        <w:t>ACCP</w:t>
      </w:r>
      <w:r w:rsidR="00A661B9" w:rsidRPr="00507AB4">
        <w:t>)</w:t>
      </w:r>
    </w:p>
    <w:p w:rsidR="00460AFD" w:rsidRPr="00507AB4" w:rsidRDefault="00460AFD" w:rsidP="008B7330">
      <w:r w:rsidRPr="00507AB4">
        <w:rPr>
          <w:b/>
        </w:rPr>
        <w:t>5.</w:t>
      </w:r>
      <w:r w:rsidRPr="00507AB4">
        <w:rPr>
          <w:b/>
        </w:rPr>
        <w:tab/>
      </w:r>
      <w:r w:rsidR="005174FB" w:rsidRPr="00507AB4">
        <w:rPr>
          <w:b/>
        </w:rPr>
        <w:t xml:space="preserve">Référence </w:t>
      </w:r>
      <w:r w:rsidR="00507AB4" w:rsidRPr="00507AB4">
        <w:rPr>
          <w:b/>
        </w:rPr>
        <w:t>interinstitutionnelle</w:t>
      </w:r>
      <w:r w:rsidRPr="00507AB4">
        <w:rPr>
          <w:b/>
        </w:rPr>
        <w:t xml:space="preserve">: </w:t>
      </w:r>
      <w:r w:rsidRPr="00507AB4">
        <w:t>2004/0108(CNS)</w:t>
      </w:r>
    </w:p>
    <w:p w:rsidR="00460AFD" w:rsidRPr="00507AB4" w:rsidRDefault="00460AFD" w:rsidP="008B7330">
      <w:r w:rsidRPr="00507AB4">
        <w:rPr>
          <w:b/>
        </w:rPr>
        <w:t>6.</w:t>
      </w:r>
      <w:r w:rsidRPr="00507AB4">
        <w:rPr>
          <w:b/>
        </w:rPr>
        <w:tab/>
      </w:r>
      <w:r w:rsidR="005174FB" w:rsidRPr="00507AB4">
        <w:rPr>
          <w:b/>
        </w:rPr>
        <w:t>Base juridique:</w:t>
      </w:r>
      <w:r w:rsidRPr="00507AB4">
        <w:rPr>
          <w:b/>
        </w:rPr>
        <w:t xml:space="preserve"> </w:t>
      </w:r>
      <w:r w:rsidRPr="00507AB4">
        <w:t xml:space="preserve">Article 37 </w:t>
      </w:r>
      <w:r w:rsidR="00A661B9" w:rsidRPr="00507AB4">
        <w:t>du traité CE</w:t>
      </w:r>
    </w:p>
    <w:p w:rsidR="00460AFD" w:rsidRPr="00507AB4" w:rsidRDefault="00460AFD" w:rsidP="008B7330">
      <w:r w:rsidRPr="00507AB4">
        <w:rPr>
          <w:b/>
        </w:rPr>
        <w:t>7.</w:t>
      </w:r>
      <w:r w:rsidRPr="00507AB4">
        <w:rPr>
          <w:b/>
        </w:rPr>
        <w:tab/>
      </w:r>
      <w:r w:rsidR="005174FB" w:rsidRPr="00507AB4">
        <w:rPr>
          <w:b/>
        </w:rPr>
        <w:t>Commission parlementaire compétente</w:t>
      </w:r>
      <w:r w:rsidRPr="00507AB4">
        <w:rPr>
          <w:b/>
        </w:rPr>
        <w:t xml:space="preserve">: </w:t>
      </w:r>
      <w:r w:rsidR="00003CC7" w:rsidRPr="00003CC7">
        <w:t>C</w:t>
      </w:r>
      <w:r w:rsidR="00A661B9" w:rsidRPr="00003CC7">
        <w:t>ommission</w:t>
      </w:r>
      <w:r w:rsidR="00A661B9" w:rsidRPr="00507AB4">
        <w:t xml:space="preserve"> de la pêche</w:t>
      </w:r>
      <w:r w:rsidRPr="00507AB4">
        <w:t>(PECH)</w:t>
      </w:r>
    </w:p>
    <w:p w:rsidR="00460AFD" w:rsidRPr="00507AB4" w:rsidRDefault="00460AFD" w:rsidP="008B7330">
      <w:r w:rsidRPr="00507AB4">
        <w:rPr>
          <w:b/>
        </w:rPr>
        <w:t>8.</w:t>
      </w:r>
      <w:r w:rsidRPr="00507AB4">
        <w:rPr>
          <w:b/>
        </w:rPr>
        <w:tab/>
        <w:t xml:space="preserve">Commission's position: </w:t>
      </w:r>
      <w:r w:rsidR="00A661B9" w:rsidRPr="00507AB4">
        <w:t>La</w:t>
      </w:r>
      <w:r w:rsidRPr="00507AB4">
        <w:t xml:space="preserve"> Commission </w:t>
      </w:r>
      <w:r w:rsidR="00A661B9" w:rsidRPr="00507AB4">
        <w:rPr>
          <w:u w:val="single"/>
        </w:rPr>
        <w:t xml:space="preserve">peut accepter certains </w:t>
      </w:r>
      <w:r w:rsidRPr="00507AB4">
        <w:t>amend</w:t>
      </w:r>
      <w:r w:rsidR="00A661B9" w:rsidRPr="00507AB4">
        <w:t>e</w:t>
      </w:r>
      <w:r w:rsidRPr="00507AB4">
        <w:t>ments.</w:t>
      </w:r>
    </w:p>
    <w:p w:rsidR="00460AFD" w:rsidRPr="00507AB4" w:rsidRDefault="00A661B9" w:rsidP="008B7330">
      <w:pPr>
        <w:rPr>
          <w:b/>
        </w:rPr>
      </w:pPr>
      <w:r w:rsidRPr="00507AB4">
        <w:rPr>
          <w:u w:val="single"/>
        </w:rPr>
        <w:t>Amendement</w:t>
      </w:r>
      <w:r w:rsidR="00460AFD" w:rsidRPr="00507AB4">
        <w:rPr>
          <w:u w:val="single"/>
        </w:rPr>
        <w:t xml:space="preserve"> 1</w:t>
      </w:r>
      <w:r w:rsidR="00460AFD" w:rsidRPr="00507AB4">
        <w:rPr>
          <w:b/>
        </w:rPr>
        <w:t xml:space="preserve"> – </w:t>
      </w:r>
      <w:r w:rsidR="00460AFD" w:rsidRPr="00507AB4">
        <w:rPr>
          <w:bCs/>
        </w:rPr>
        <w:t>Accept</w:t>
      </w:r>
      <w:r w:rsidRPr="00507AB4">
        <w:rPr>
          <w:bCs/>
        </w:rPr>
        <w:t>é</w:t>
      </w:r>
      <w:r w:rsidR="00460AFD" w:rsidRPr="00507AB4">
        <w:rPr>
          <w:bCs/>
        </w:rPr>
        <w:t xml:space="preserve">. </w:t>
      </w:r>
      <w:r w:rsidRPr="00507AB4">
        <w:rPr>
          <w:bCs/>
        </w:rPr>
        <w:t xml:space="preserve">Il est </w:t>
      </w:r>
      <w:r w:rsidR="00CE19AD">
        <w:rPr>
          <w:bCs/>
        </w:rPr>
        <w:t>indiqué</w:t>
      </w:r>
      <w:r w:rsidRPr="00507AB4">
        <w:rPr>
          <w:bCs/>
        </w:rPr>
        <w:t xml:space="preserve"> d’inclure </w:t>
      </w:r>
      <w:r w:rsidR="00CE19AD">
        <w:rPr>
          <w:bCs/>
        </w:rPr>
        <w:t>la</w:t>
      </w:r>
      <w:r w:rsidRPr="00507AB4">
        <w:rPr>
          <w:bCs/>
        </w:rPr>
        <w:t xml:space="preserve"> référence aux accords </w:t>
      </w:r>
      <w:r w:rsidR="00CE19AD">
        <w:rPr>
          <w:bCs/>
        </w:rPr>
        <w:t>de</w:t>
      </w:r>
      <w:r w:rsidRPr="00507AB4">
        <w:rPr>
          <w:bCs/>
        </w:rPr>
        <w:t xml:space="preserve"> pêche</w:t>
      </w:r>
      <w:r w:rsidR="00460AFD" w:rsidRPr="00507AB4">
        <w:rPr>
          <w:bCs/>
        </w:rPr>
        <w:t xml:space="preserve"> </w:t>
      </w:r>
      <w:r w:rsidR="00676B65" w:rsidRPr="00507AB4">
        <w:rPr>
          <w:bCs/>
        </w:rPr>
        <w:t>comprenant un accord d’exécution</w:t>
      </w:r>
      <w:r w:rsidR="00460AFD" w:rsidRPr="00507AB4">
        <w:rPr>
          <w:bCs/>
        </w:rPr>
        <w:t>.</w:t>
      </w:r>
    </w:p>
    <w:p w:rsidR="00460AFD" w:rsidRPr="00507AB4" w:rsidRDefault="00A661B9" w:rsidP="008B7330">
      <w:pPr>
        <w:rPr>
          <w:b/>
        </w:rPr>
      </w:pPr>
      <w:r w:rsidRPr="00507AB4">
        <w:rPr>
          <w:u w:val="single"/>
        </w:rPr>
        <w:t>Amendement</w:t>
      </w:r>
      <w:r w:rsidR="00460AFD" w:rsidRPr="00507AB4">
        <w:rPr>
          <w:u w:val="single"/>
        </w:rPr>
        <w:t xml:space="preserve"> 2</w:t>
      </w:r>
      <w:r w:rsidR="00460AFD" w:rsidRPr="00507AB4">
        <w:rPr>
          <w:b/>
        </w:rPr>
        <w:t xml:space="preserve"> </w:t>
      </w:r>
      <w:r w:rsidR="00676B65" w:rsidRPr="00507AB4">
        <w:rPr>
          <w:b/>
        </w:rPr>
        <w:t>–</w:t>
      </w:r>
      <w:r w:rsidR="00460AFD" w:rsidRPr="00507AB4">
        <w:rPr>
          <w:b/>
        </w:rPr>
        <w:t xml:space="preserve"> </w:t>
      </w:r>
      <w:r w:rsidR="00460AFD" w:rsidRPr="00507AB4">
        <w:rPr>
          <w:bCs/>
        </w:rPr>
        <w:t>Reje</w:t>
      </w:r>
      <w:r w:rsidR="00676B65" w:rsidRPr="00507AB4">
        <w:rPr>
          <w:bCs/>
        </w:rPr>
        <w:t xml:space="preserve">té. Il n’est pas </w:t>
      </w:r>
      <w:r w:rsidR="00B806AB">
        <w:rPr>
          <w:bCs/>
        </w:rPr>
        <w:t>indiqué</w:t>
      </w:r>
      <w:r w:rsidR="00676B65" w:rsidRPr="00507AB4">
        <w:rPr>
          <w:bCs/>
        </w:rPr>
        <w:t xml:space="preserve"> de définir des tâches prioritaires dans le</w:t>
      </w:r>
      <w:r w:rsidR="00EB1E0E">
        <w:rPr>
          <w:bCs/>
        </w:rPr>
        <w:t xml:space="preserve"> r</w:t>
      </w:r>
      <w:r w:rsidR="009B6889">
        <w:rPr>
          <w:bCs/>
        </w:rPr>
        <w:t>è</w:t>
      </w:r>
      <w:r w:rsidR="00EB1E0E">
        <w:rPr>
          <w:bCs/>
        </w:rPr>
        <w:t>glement</w:t>
      </w:r>
      <w:r w:rsidR="00676B65" w:rsidRPr="00507AB4">
        <w:rPr>
          <w:bCs/>
        </w:rPr>
        <w:t xml:space="preserve"> étant donné que les priorités évolueront au cours de</w:t>
      </w:r>
      <w:r w:rsidR="00EB1E0E">
        <w:rPr>
          <w:bCs/>
        </w:rPr>
        <w:t>s</w:t>
      </w:r>
      <w:r w:rsidR="00676B65" w:rsidRPr="00507AB4">
        <w:rPr>
          <w:bCs/>
        </w:rPr>
        <w:t xml:space="preserve"> années</w:t>
      </w:r>
      <w:r w:rsidR="00753CA4">
        <w:rPr>
          <w:bCs/>
        </w:rPr>
        <w:t xml:space="preserve"> à venir</w:t>
      </w:r>
      <w:r w:rsidR="00676B65" w:rsidRPr="00507AB4">
        <w:rPr>
          <w:bCs/>
        </w:rPr>
        <w:t>.</w:t>
      </w:r>
    </w:p>
    <w:p w:rsidR="00460AFD" w:rsidRPr="00507AB4" w:rsidRDefault="00A661B9" w:rsidP="008B7330">
      <w:pPr>
        <w:rPr>
          <w:b/>
        </w:rPr>
      </w:pPr>
      <w:r w:rsidRPr="00507AB4">
        <w:rPr>
          <w:u w:val="single"/>
        </w:rPr>
        <w:t>Amendement</w:t>
      </w:r>
      <w:r w:rsidR="00460AFD" w:rsidRPr="00507AB4">
        <w:rPr>
          <w:u w:val="single"/>
        </w:rPr>
        <w:t xml:space="preserve"> 3</w:t>
      </w:r>
      <w:r w:rsidR="00460AFD" w:rsidRPr="00507AB4">
        <w:rPr>
          <w:b/>
        </w:rPr>
        <w:t xml:space="preserve"> – </w:t>
      </w:r>
      <w:r w:rsidR="00460AFD" w:rsidRPr="00507AB4">
        <w:rPr>
          <w:bCs/>
        </w:rPr>
        <w:t>Accep</w:t>
      </w:r>
      <w:r w:rsidR="00676B65" w:rsidRPr="00507AB4">
        <w:rPr>
          <w:bCs/>
        </w:rPr>
        <w:t xml:space="preserve">té. </w:t>
      </w:r>
      <w:r w:rsidR="00753CA4">
        <w:rPr>
          <w:bCs/>
        </w:rPr>
        <w:t>Reflète correctement l</w:t>
      </w:r>
      <w:r w:rsidR="00676B65" w:rsidRPr="00507AB4">
        <w:rPr>
          <w:bCs/>
        </w:rPr>
        <w:t xml:space="preserve">a composition proposée du conseil </w:t>
      </w:r>
      <w:r w:rsidR="00566E47">
        <w:rPr>
          <w:bCs/>
        </w:rPr>
        <w:t>d’administration</w:t>
      </w:r>
      <w:r w:rsidR="00460AFD" w:rsidRPr="00507AB4">
        <w:rPr>
          <w:bCs/>
        </w:rPr>
        <w:t>.</w:t>
      </w:r>
    </w:p>
    <w:p w:rsidR="00460AFD" w:rsidRPr="00507AB4" w:rsidRDefault="00A661B9" w:rsidP="008B7330">
      <w:pPr>
        <w:rPr>
          <w:b/>
        </w:rPr>
      </w:pPr>
      <w:r w:rsidRPr="00507AB4">
        <w:rPr>
          <w:u w:val="single"/>
        </w:rPr>
        <w:t>Amendement</w:t>
      </w:r>
      <w:r w:rsidR="00460AFD" w:rsidRPr="00507AB4">
        <w:rPr>
          <w:u w:val="single"/>
        </w:rPr>
        <w:t xml:space="preserve"> 4</w:t>
      </w:r>
      <w:r w:rsidR="00460AFD" w:rsidRPr="00507AB4">
        <w:rPr>
          <w:b/>
        </w:rPr>
        <w:t xml:space="preserve"> - </w:t>
      </w:r>
      <w:r w:rsidR="00460AFD" w:rsidRPr="00507AB4">
        <w:rPr>
          <w:bCs/>
        </w:rPr>
        <w:t>Reje</w:t>
      </w:r>
      <w:r w:rsidR="00676B65" w:rsidRPr="00507AB4">
        <w:rPr>
          <w:bCs/>
        </w:rPr>
        <w:t>té</w:t>
      </w:r>
      <w:r w:rsidR="00460AFD" w:rsidRPr="00507AB4">
        <w:rPr>
          <w:b/>
        </w:rPr>
        <w:t xml:space="preserve">. </w:t>
      </w:r>
      <w:r w:rsidR="00811567" w:rsidRPr="00507AB4">
        <w:t xml:space="preserve">Les </w:t>
      </w:r>
      <w:r w:rsidR="00CE19AD">
        <w:t>modalités</w:t>
      </w:r>
      <w:r w:rsidR="00811567" w:rsidRPr="00507AB4">
        <w:t xml:space="preserve"> de vote doivent tenir compte des caractéristiques particulières de l’organisme </w:t>
      </w:r>
      <w:r w:rsidR="00566E47">
        <w:t xml:space="preserve">qui est </w:t>
      </w:r>
      <w:r w:rsidR="00811567" w:rsidRPr="00507AB4">
        <w:t xml:space="preserve">chargé des tâches de contrôle et </w:t>
      </w:r>
      <w:r w:rsidR="00566E47">
        <w:t xml:space="preserve">doit </w:t>
      </w:r>
      <w:r w:rsidR="00FB689E" w:rsidRPr="00507AB4">
        <w:t>agir</w:t>
      </w:r>
      <w:r w:rsidR="00811567" w:rsidRPr="00507AB4">
        <w:t xml:space="preserve"> conformément aux intérêts de la Communauté</w:t>
      </w:r>
      <w:r w:rsidR="00460AFD" w:rsidRPr="00507AB4">
        <w:t>.</w:t>
      </w:r>
    </w:p>
    <w:p w:rsidR="00460AFD" w:rsidRPr="00507AB4" w:rsidRDefault="00A661B9" w:rsidP="008B7330">
      <w:pPr>
        <w:rPr>
          <w:b/>
        </w:rPr>
      </w:pPr>
      <w:r w:rsidRPr="00507AB4">
        <w:rPr>
          <w:u w:val="single"/>
        </w:rPr>
        <w:t>Amendement</w:t>
      </w:r>
      <w:r w:rsidR="00460AFD" w:rsidRPr="00507AB4">
        <w:rPr>
          <w:u w:val="single"/>
        </w:rPr>
        <w:t xml:space="preserve"> 5</w:t>
      </w:r>
      <w:r w:rsidR="00460AFD" w:rsidRPr="00507AB4">
        <w:rPr>
          <w:b/>
        </w:rPr>
        <w:t xml:space="preserve"> </w:t>
      </w:r>
      <w:r w:rsidR="00460AFD" w:rsidRPr="00507AB4">
        <w:rPr>
          <w:bCs/>
        </w:rPr>
        <w:t>- Reje</w:t>
      </w:r>
      <w:r w:rsidR="00811567" w:rsidRPr="00507AB4">
        <w:rPr>
          <w:bCs/>
        </w:rPr>
        <w:t>té</w:t>
      </w:r>
      <w:r w:rsidR="00460AFD" w:rsidRPr="00507AB4">
        <w:rPr>
          <w:bCs/>
        </w:rPr>
        <w:t xml:space="preserve">. </w:t>
      </w:r>
      <w:r w:rsidR="00460AFD" w:rsidRPr="00507AB4">
        <w:t>I</w:t>
      </w:r>
      <w:r w:rsidR="00811567" w:rsidRPr="00507AB4">
        <w:t xml:space="preserve">l implique une augmentation des compétences de l’agence dans les domaines de la santé </w:t>
      </w:r>
      <w:r w:rsidR="000D1F2C" w:rsidRPr="00507AB4">
        <w:t>et de la sécurité au travail et de l’assistance technique, qui v</w:t>
      </w:r>
      <w:r w:rsidR="00CE19AD">
        <w:t>a</w:t>
      </w:r>
      <w:r w:rsidR="000D1F2C" w:rsidRPr="00507AB4">
        <w:t xml:space="preserve"> au-delà du mandat d’inspection et de contrôle</w:t>
      </w:r>
      <w:r w:rsidR="00460AFD" w:rsidRPr="00507AB4">
        <w:t>.</w:t>
      </w:r>
    </w:p>
    <w:p w:rsidR="00460AFD" w:rsidRPr="00507AB4" w:rsidRDefault="00A661B9" w:rsidP="008B7330">
      <w:pPr>
        <w:rPr>
          <w:b/>
        </w:rPr>
      </w:pPr>
      <w:r w:rsidRPr="00507AB4">
        <w:rPr>
          <w:u w:val="single"/>
        </w:rPr>
        <w:t>Amendement</w:t>
      </w:r>
      <w:r w:rsidR="00460AFD" w:rsidRPr="00507AB4">
        <w:rPr>
          <w:u w:val="single"/>
        </w:rPr>
        <w:t xml:space="preserve"> 6</w:t>
      </w:r>
      <w:r w:rsidR="00460AFD" w:rsidRPr="00507AB4">
        <w:rPr>
          <w:b/>
        </w:rPr>
        <w:t xml:space="preserve"> </w:t>
      </w:r>
      <w:r w:rsidR="000D1F2C" w:rsidRPr="00507AB4">
        <w:rPr>
          <w:b/>
        </w:rPr>
        <w:t>–</w:t>
      </w:r>
      <w:r w:rsidR="00460AFD" w:rsidRPr="00507AB4">
        <w:rPr>
          <w:b/>
        </w:rPr>
        <w:t xml:space="preserve"> </w:t>
      </w:r>
      <w:r w:rsidR="00460AFD" w:rsidRPr="00507AB4">
        <w:rPr>
          <w:bCs/>
        </w:rPr>
        <w:t>Accept</w:t>
      </w:r>
      <w:r w:rsidR="000D1F2C" w:rsidRPr="00507AB4">
        <w:rPr>
          <w:bCs/>
        </w:rPr>
        <w:t>é. Il est indiqué d’inclure la référence aux accords de pêche comprenant un accord d’exécution</w:t>
      </w:r>
      <w:r w:rsidR="00460AFD" w:rsidRPr="00507AB4">
        <w:rPr>
          <w:bCs/>
        </w:rPr>
        <w:t>.</w:t>
      </w:r>
    </w:p>
    <w:p w:rsidR="00460AFD" w:rsidRPr="00507AB4" w:rsidRDefault="00A661B9" w:rsidP="008B7330">
      <w:pPr>
        <w:rPr>
          <w:bCs/>
        </w:rPr>
      </w:pPr>
      <w:r w:rsidRPr="00507AB4">
        <w:rPr>
          <w:u w:val="single"/>
        </w:rPr>
        <w:t>Amendement</w:t>
      </w:r>
      <w:r w:rsidR="00460AFD" w:rsidRPr="00507AB4">
        <w:rPr>
          <w:u w:val="single"/>
        </w:rPr>
        <w:t xml:space="preserve"> 7</w:t>
      </w:r>
      <w:r w:rsidR="00460AFD" w:rsidRPr="00507AB4">
        <w:rPr>
          <w:b/>
        </w:rPr>
        <w:t xml:space="preserve"> – </w:t>
      </w:r>
      <w:r w:rsidR="00460AFD" w:rsidRPr="00507AB4">
        <w:rPr>
          <w:bCs/>
        </w:rPr>
        <w:t>Reje</w:t>
      </w:r>
      <w:r w:rsidR="000D1F2C" w:rsidRPr="00507AB4">
        <w:rPr>
          <w:bCs/>
        </w:rPr>
        <w:t xml:space="preserve">té. Ne peut fonctionner que dans le cadre des </w:t>
      </w:r>
      <w:r w:rsidR="00CE19AD">
        <w:rPr>
          <w:bCs/>
        </w:rPr>
        <w:t>organisations régionales de pêche</w:t>
      </w:r>
      <w:r w:rsidR="000D1F2C" w:rsidRPr="00507AB4">
        <w:rPr>
          <w:bCs/>
        </w:rPr>
        <w:t>.</w:t>
      </w:r>
    </w:p>
    <w:p w:rsidR="00460AFD" w:rsidRPr="00507AB4" w:rsidRDefault="00A661B9" w:rsidP="008B7330">
      <w:pPr>
        <w:rPr>
          <w:b/>
        </w:rPr>
      </w:pPr>
      <w:r w:rsidRPr="00507AB4">
        <w:rPr>
          <w:u w:val="single"/>
        </w:rPr>
        <w:lastRenderedPageBreak/>
        <w:t>Amendement</w:t>
      </w:r>
      <w:r w:rsidR="00460AFD" w:rsidRPr="00507AB4">
        <w:rPr>
          <w:u w:val="single"/>
        </w:rPr>
        <w:t xml:space="preserve"> 8</w:t>
      </w:r>
      <w:r w:rsidR="00460AFD" w:rsidRPr="00507AB4">
        <w:rPr>
          <w:b/>
        </w:rPr>
        <w:t xml:space="preserve"> – </w:t>
      </w:r>
      <w:r w:rsidR="000D1F2C" w:rsidRPr="00507AB4">
        <w:rPr>
          <w:bCs/>
        </w:rPr>
        <w:t xml:space="preserve">Rejeté. La pêche INN peut relever de son champ d’application dans la mesure où elle reste dans le cadre des </w:t>
      </w:r>
      <w:r w:rsidR="003A4340">
        <w:rPr>
          <w:bCs/>
        </w:rPr>
        <w:t>ORP</w:t>
      </w:r>
      <w:r w:rsidR="00460AFD" w:rsidRPr="00507AB4">
        <w:rPr>
          <w:bCs/>
        </w:rPr>
        <w:t>.</w:t>
      </w:r>
    </w:p>
    <w:p w:rsidR="00460AFD" w:rsidRPr="00507AB4" w:rsidRDefault="00A661B9" w:rsidP="008B7330">
      <w:pPr>
        <w:rPr>
          <w:b/>
        </w:rPr>
      </w:pPr>
      <w:r w:rsidRPr="00507AB4">
        <w:rPr>
          <w:u w:val="single"/>
        </w:rPr>
        <w:t>Amendement</w:t>
      </w:r>
      <w:r w:rsidR="00460AFD" w:rsidRPr="00507AB4">
        <w:rPr>
          <w:u w:val="single"/>
        </w:rPr>
        <w:t xml:space="preserve"> 9</w:t>
      </w:r>
      <w:r w:rsidR="00460AFD" w:rsidRPr="00507AB4">
        <w:rPr>
          <w:b/>
        </w:rPr>
        <w:t xml:space="preserve"> – </w:t>
      </w:r>
      <w:r w:rsidR="00460AFD" w:rsidRPr="00507AB4">
        <w:rPr>
          <w:bCs/>
        </w:rPr>
        <w:t>Accept</w:t>
      </w:r>
      <w:r w:rsidR="000D1F2C" w:rsidRPr="00507AB4">
        <w:rPr>
          <w:bCs/>
        </w:rPr>
        <w:t>é. L’agence pourrait devoir intervenir sur le territoire de pays tiers dans le cadre des protocoles de coopération bilatéraux ou d</w:t>
      </w:r>
      <w:r w:rsidR="00845406" w:rsidRPr="00507AB4">
        <w:rPr>
          <w:bCs/>
        </w:rPr>
        <w:t>es ORP.</w:t>
      </w:r>
    </w:p>
    <w:p w:rsidR="00460AFD" w:rsidRPr="00507AB4" w:rsidRDefault="00A661B9" w:rsidP="008B7330">
      <w:pPr>
        <w:rPr>
          <w:b/>
        </w:rPr>
      </w:pPr>
      <w:r w:rsidRPr="00507AB4">
        <w:rPr>
          <w:u w:val="single"/>
        </w:rPr>
        <w:t>Amendement</w:t>
      </w:r>
      <w:r w:rsidR="00460AFD" w:rsidRPr="00507AB4">
        <w:rPr>
          <w:u w:val="single"/>
        </w:rPr>
        <w:t xml:space="preserve"> 10</w:t>
      </w:r>
      <w:r w:rsidR="00460AFD" w:rsidRPr="00507AB4">
        <w:rPr>
          <w:b/>
        </w:rPr>
        <w:t xml:space="preserve"> – </w:t>
      </w:r>
      <w:r w:rsidR="00460AFD" w:rsidRPr="00507AB4">
        <w:rPr>
          <w:bCs/>
        </w:rPr>
        <w:t>Accept</w:t>
      </w:r>
      <w:r w:rsidR="00845406" w:rsidRPr="00507AB4">
        <w:rPr>
          <w:bCs/>
        </w:rPr>
        <w:t>é</w:t>
      </w:r>
      <w:r w:rsidR="00460AFD" w:rsidRPr="00507AB4">
        <w:rPr>
          <w:bCs/>
        </w:rPr>
        <w:t xml:space="preserve">. </w:t>
      </w:r>
      <w:r w:rsidR="00845406" w:rsidRPr="00507AB4">
        <w:rPr>
          <w:bCs/>
        </w:rPr>
        <w:t>L’élément clé de cet amendement est la référence aux règles communautaires. Sans cette référence, cet amendement n’aurait pas pu être accepté.</w:t>
      </w:r>
    </w:p>
    <w:p w:rsidR="00460AFD" w:rsidRPr="00507AB4" w:rsidRDefault="00A661B9" w:rsidP="008B7330">
      <w:pPr>
        <w:rPr>
          <w:bCs/>
        </w:rPr>
      </w:pPr>
      <w:r w:rsidRPr="00507AB4">
        <w:rPr>
          <w:u w:val="single"/>
        </w:rPr>
        <w:t>Amendement</w:t>
      </w:r>
      <w:r w:rsidR="00460AFD" w:rsidRPr="00507AB4">
        <w:rPr>
          <w:u w:val="single"/>
        </w:rPr>
        <w:t xml:space="preserve"> 11</w:t>
      </w:r>
      <w:r w:rsidR="00460AFD" w:rsidRPr="00507AB4">
        <w:rPr>
          <w:b/>
        </w:rPr>
        <w:t xml:space="preserve"> – </w:t>
      </w:r>
      <w:r w:rsidR="00460AFD" w:rsidRPr="00507AB4">
        <w:rPr>
          <w:bCs/>
        </w:rPr>
        <w:t>Accept</w:t>
      </w:r>
      <w:r w:rsidR="00845406" w:rsidRPr="00507AB4">
        <w:rPr>
          <w:bCs/>
        </w:rPr>
        <w:t>é</w:t>
      </w:r>
      <w:r w:rsidR="00460AFD" w:rsidRPr="00507AB4">
        <w:rPr>
          <w:b/>
        </w:rPr>
        <w:t xml:space="preserve">. </w:t>
      </w:r>
      <w:r w:rsidR="00845406" w:rsidRPr="00507AB4">
        <w:t>L’application harmonisée des règles d</w:t>
      </w:r>
      <w:r w:rsidR="00DF78D3" w:rsidRPr="00507AB4">
        <w:t>e la PCP est conforme aux objectifs de la réforme</w:t>
      </w:r>
      <w:r w:rsidR="00460AFD" w:rsidRPr="00507AB4">
        <w:rPr>
          <w:bCs/>
        </w:rPr>
        <w:t>.</w:t>
      </w:r>
    </w:p>
    <w:p w:rsidR="00460AFD" w:rsidRPr="00507AB4" w:rsidRDefault="00A661B9" w:rsidP="008B7330">
      <w:pPr>
        <w:rPr>
          <w:b/>
        </w:rPr>
      </w:pPr>
      <w:r w:rsidRPr="00507AB4">
        <w:rPr>
          <w:u w:val="single"/>
        </w:rPr>
        <w:t>Amendement</w:t>
      </w:r>
      <w:r w:rsidR="00460AFD" w:rsidRPr="00507AB4">
        <w:rPr>
          <w:u w:val="single"/>
        </w:rPr>
        <w:t xml:space="preserve"> 12</w:t>
      </w:r>
      <w:r w:rsidR="00460AFD" w:rsidRPr="00507AB4">
        <w:rPr>
          <w:b/>
        </w:rPr>
        <w:t xml:space="preserve"> – </w:t>
      </w:r>
      <w:r w:rsidR="00460AFD" w:rsidRPr="00507AB4">
        <w:rPr>
          <w:bCs/>
        </w:rPr>
        <w:t>Accept</w:t>
      </w:r>
      <w:r w:rsidR="00462124" w:rsidRPr="00507AB4">
        <w:rPr>
          <w:bCs/>
        </w:rPr>
        <w:t>é</w:t>
      </w:r>
      <w:r w:rsidR="00460AFD" w:rsidRPr="00507AB4">
        <w:rPr>
          <w:bCs/>
        </w:rPr>
        <w:t xml:space="preserve">. </w:t>
      </w:r>
      <w:r w:rsidR="00462124" w:rsidRPr="00507AB4">
        <w:rPr>
          <w:bCs/>
        </w:rPr>
        <w:t>Cette coordination bénéficiera aux autorités nationales et devrait améliorer la qualité des données de base.</w:t>
      </w:r>
    </w:p>
    <w:p w:rsidR="00460AFD" w:rsidRPr="00507AB4" w:rsidRDefault="00A661B9" w:rsidP="008B7330">
      <w:pPr>
        <w:rPr>
          <w:b/>
        </w:rPr>
      </w:pPr>
      <w:r w:rsidRPr="00507AB4">
        <w:rPr>
          <w:u w:val="single"/>
        </w:rPr>
        <w:t>Amendement</w:t>
      </w:r>
      <w:r w:rsidR="00460AFD" w:rsidRPr="00507AB4">
        <w:rPr>
          <w:u w:val="single"/>
        </w:rPr>
        <w:t xml:space="preserve"> 13</w:t>
      </w:r>
      <w:r w:rsidR="00460AFD" w:rsidRPr="00507AB4">
        <w:rPr>
          <w:b/>
        </w:rPr>
        <w:t xml:space="preserve"> – </w:t>
      </w:r>
      <w:r w:rsidR="00460AFD" w:rsidRPr="00507AB4">
        <w:rPr>
          <w:bCs/>
        </w:rPr>
        <w:t>Accept</w:t>
      </w:r>
      <w:r w:rsidR="00462124" w:rsidRPr="00507AB4">
        <w:rPr>
          <w:bCs/>
        </w:rPr>
        <w:t>é</w:t>
      </w:r>
      <w:r w:rsidR="00460AFD" w:rsidRPr="00507AB4">
        <w:rPr>
          <w:bCs/>
        </w:rPr>
        <w:t xml:space="preserve">. </w:t>
      </w:r>
      <w:r w:rsidR="00462124" w:rsidRPr="00507AB4">
        <w:rPr>
          <w:bCs/>
        </w:rPr>
        <w:t xml:space="preserve">L’agence pourrait contribuer </w:t>
      </w:r>
      <w:r w:rsidR="00994C3F">
        <w:rPr>
          <w:bCs/>
        </w:rPr>
        <w:t>à l’élaboration</w:t>
      </w:r>
      <w:r w:rsidR="00462124" w:rsidRPr="00507AB4">
        <w:rPr>
          <w:bCs/>
        </w:rPr>
        <w:t xml:space="preserve"> de nouvelles techniques de contrôle telles que </w:t>
      </w:r>
      <w:r w:rsidR="001F279C" w:rsidRPr="00507AB4">
        <w:rPr>
          <w:bCs/>
        </w:rPr>
        <w:t>les journaux de bord électroniques</w:t>
      </w:r>
      <w:r w:rsidR="00460AFD" w:rsidRPr="00507AB4">
        <w:rPr>
          <w:bCs/>
        </w:rPr>
        <w:t>.</w:t>
      </w:r>
    </w:p>
    <w:p w:rsidR="00460AFD" w:rsidRPr="00507AB4" w:rsidRDefault="00A661B9" w:rsidP="008B7330">
      <w:pPr>
        <w:rPr>
          <w:b/>
        </w:rPr>
      </w:pPr>
      <w:r w:rsidRPr="00507AB4">
        <w:rPr>
          <w:u w:val="single"/>
        </w:rPr>
        <w:t>Amendement</w:t>
      </w:r>
      <w:r w:rsidR="00460AFD" w:rsidRPr="00507AB4">
        <w:rPr>
          <w:u w:val="single"/>
        </w:rPr>
        <w:t xml:space="preserve"> 14</w:t>
      </w:r>
      <w:r w:rsidR="00460AFD" w:rsidRPr="00507AB4">
        <w:rPr>
          <w:b/>
        </w:rPr>
        <w:t xml:space="preserve"> – </w:t>
      </w:r>
      <w:r w:rsidR="00460AFD" w:rsidRPr="00507AB4">
        <w:rPr>
          <w:bCs/>
        </w:rPr>
        <w:t>Reje</w:t>
      </w:r>
      <w:r w:rsidR="001F279C" w:rsidRPr="00507AB4">
        <w:rPr>
          <w:bCs/>
        </w:rPr>
        <w:t>té. Il modifierait substantiellement la mission et les tâches de l’agence</w:t>
      </w:r>
      <w:r w:rsidR="00460AFD" w:rsidRPr="00507AB4">
        <w:t>.</w:t>
      </w:r>
    </w:p>
    <w:p w:rsidR="00460AFD" w:rsidRPr="00507AB4" w:rsidRDefault="00A661B9" w:rsidP="008B7330">
      <w:pPr>
        <w:rPr>
          <w:b/>
        </w:rPr>
      </w:pPr>
      <w:r w:rsidRPr="00507AB4">
        <w:rPr>
          <w:u w:val="single"/>
        </w:rPr>
        <w:t>Amendement</w:t>
      </w:r>
      <w:r w:rsidR="00460AFD" w:rsidRPr="00507AB4">
        <w:rPr>
          <w:u w:val="single"/>
        </w:rPr>
        <w:t xml:space="preserve"> 15</w:t>
      </w:r>
      <w:r w:rsidR="00460AFD" w:rsidRPr="00507AB4">
        <w:rPr>
          <w:b/>
        </w:rPr>
        <w:t xml:space="preserve"> – </w:t>
      </w:r>
      <w:r w:rsidR="00460AFD" w:rsidRPr="00507AB4">
        <w:rPr>
          <w:bCs/>
        </w:rPr>
        <w:t>Reje</w:t>
      </w:r>
      <w:r w:rsidR="001F279C" w:rsidRPr="00507AB4">
        <w:rPr>
          <w:bCs/>
        </w:rPr>
        <w:t xml:space="preserve">té. Cet amendement est vide de sens </w:t>
      </w:r>
      <w:r w:rsidR="00994C3F">
        <w:rPr>
          <w:bCs/>
        </w:rPr>
        <w:t>puisque</w:t>
      </w:r>
      <w:r w:rsidR="001F279C" w:rsidRPr="00507AB4">
        <w:rPr>
          <w:bCs/>
        </w:rPr>
        <w:t xml:space="preserve"> l’article 7 ne fait référence qu’aux obligations des États membres. À noter que la Commission a le droit de demander à l’agence des services en relation avec les obligations de la Communauté au titre de l’article 5 de la proposition</w:t>
      </w:r>
      <w:r w:rsidR="00460AFD" w:rsidRPr="00507AB4">
        <w:t>.</w:t>
      </w:r>
    </w:p>
    <w:p w:rsidR="00460AFD" w:rsidRPr="00507AB4" w:rsidRDefault="00A661B9" w:rsidP="008B7330">
      <w:r w:rsidRPr="00507AB4">
        <w:rPr>
          <w:u w:val="single"/>
        </w:rPr>
        <w:t>Amendement</w:t>
      </w:r>
      <w:r w:rsidR="00460AFD" w:rsidRPr="00507AB4">
        <w:rPr>
          <w:u w:val="single"/>
        </w:rPr>
        <w:t xml:space="preserve"> 16</w:t>
      </w:r>
      <w:r w:rsidR="00460AFD" w:rsidRPr="00507AB4">
        <w:t xml:space="preserve"> – </w:t>
      </w:r>
      <w:r w:rsidR="00460AFD" w:rsidRPr="00507AB4">
        <w:rPr>
          <w:bCs/>
        </w:rPr>
        <w:t>Reje</w:t>
      </w:r>
      <w:r w:rsidR="001F279C" w:rsidRPr="00507AB4">
        <w:rPr>
          <w:bCs/>
        </w:rPr>
        <w:t xml:space="preserve">té. L’agence ne devrait pas être </w:t>
      </w:r>
      <w:r w:rsidR="00994C3F">
        <w:rPr>
          <w:bCs/>
        </w:rPr>
        <w:t>tenue</w:t>
      </w:r>
      <w:r w:rsidR="001F279C" w:rsidRPr="00507AB4">
        <w:rPr>
          <w:bCs/>
        </w:rPr>
        <w:t xml:space="preserve"> de créer un centre de formation.</w:t>
      </w:r>
    </w:p>
    <w:p w:rsidR="00460AFD" w:rsidRPr="00507AB4" w:rsidRDefault="00A661B9" w:rsidP="008B7330">
      <w:r w:rsidRPr="00507AB4">
        <w:rPr>
          <w:u w:val="single"/>
        </w:rPr>
        <w:t>Amendement</w:t>
      </w:r>
      <w:r w:rsidR="00BC170D" w:rsidRPr="00507AB4">
        <w:rPr>
          <w:u w:val="single"/>
        </w:rPr>
        <w:t xml:space="preserve"> </w:t>
      </w:r>
      <w:r w:rsidR="00460AFD" w:rsidRPr="00507AB4">
        <w:rPr>
          <w:u w:val="single"/>
        </w:rPr>
        <w:t>18</w:t>
      </w:r>
      <w:r w:rsidR="00460AFD" w:rsidRPr="00507AB4">
        <w:t xml:space="preserve"> – </w:t>
      </w:r>
      <w:r w:rsidR="00733E39" w:rsidRPr="00507AB4">
        <w:t>En partie. La communication des évaluations au Parlement européen est acceptable. Leur communication au CCPA n’est pas acceptable car il n’est pas une institution communautaire</w:t>
      </w:r>
      <w:r w:rsidR="00460AFD" w:rsidRPr="00507AB4">
        <w:t>.</w:t>
      </w:r>
    </w:p>
    <w:p w:rsidR="00460AFD" w:rsidRPr="00507AB4" w:rsidRDefault="00A661B9" w:rsidP="008B7330">
      <w:pPr>
        <w:rPr>
          <w:b/>
        </w:rPr>
      </w:pPr>
      <w:r w:rsidRPr="00507AB4">
        <w:rPr>
          <w:u w:val="single"/>
        </w:rPr>
        <w:t>Amendement</w:t>
      </w:r>
      <w:r w:rsidR="00460AFD" w:rsidRPr="00507AB4">
        <w:rPr>
          <w:u w:val="single"/>
        </w:rPr>
        <w:t xml:space="preserve"> 19</w:t>
      </w:r>
      <w:r w:rsidR="00460AFD" w:rsidRPr="00507AB4">
        <w:rPr>
          <w:b/>
        </w:rPr>
        <w:t xml:space="preserve"> – </w:t>
      </w:r>
      <w:r w:rsidR="001F279C" w:rsidRPr="00507AB4">
        <w:rPr>
          <w:bCs/>
        </w:rPr>
        <w:t>Rejeté</w:t>
      </w:r>
      <w:r w:rsidR="00460AFD" w:rsidRPr="00507AB4">
        <w:rPr>
          <w:b/>
        </w:rPr>
        <w:t xml:space="preserve">. </w:t>
      </w:r>
      <w:r w:rsidR="00733E39" w:rsidRPr="00507AB4">
        <w:t xml:space="preserve">Il sera toutefois nécessaire de modifier le texte du considérant 2 qui devrait faire référence aux </w:t>
      </w:r>
      <w:r w:rsidR="00460AFD" w:rsidRPr="00507AB4">
        <w:rPr>
          <w:i/>
        </w:rPr>
        <w:t>“</w:t>
      </w:r>
      <w:r w:rsidR="00460AFD" w:rsidRPr="00507AB4">
        <w:rPr>
          <w:b/>
          <w:i/>
        </w:rPr>
        <w:t>activit</w:t>
      </w:r>
      <w:r w:rsidR="00733E39" w:rsidRPr="00507AB4">
        <w:rPr>
          <w:b/>
          <w:i/>
        </w:rPr>
        <w:t>és dans les eaux</w:t>
      </w:r>
      <w:r w:rsidR="000750A7" w:rsidRPr="00507AB4">
        <w:rPr>
          <w:b/>
          <w:i/>
        </w:rPr>
        <w:t xml:space="preserve"> communautaires et hors des eaux communautaires</w:t>
      </w:r>
      <w:r w:rsidR="00460AFD" w:rsidRPr="00507AB4">
        <w:rPr>
          <w:b/>
          <w:i/>
        </w:rPr>
        <w:t>”</w:t>
      </w:r>
      <w:r w:rsidR="00040645">
        <w:rPr>
          <w:b/>
          <w:i/>
        </w:rPr>
        <w:t>.</w:t>
      </w:r>
      <w:r w:rsidR="00460AFD" w:rsidRPr="00507AB4">
        <w:rPr>
          <w:b/>
          <w:i/>
        </w:rPr>
        <w:t xml:space="preserve"> </w:t>
      </w:r>
      <w:r w:rsidR="00733E39" w:rsidRPr="00507AB4">
        <w:t>D’autres éléments sont superflus</w:t>
      </w:r>
      <w:r w:rsidR="00460AFD" w:rsidRPr="00507AB4">
        <w:t>.</w:t>
      </w:r>
    </w:p>
    <w:p w:rsidR="00460AFD" w:rsidRPr="00507AB4" w:rsidRDefault="00A661B9" w:rsidP="008B7330">
      <w:r w:rsidRPr="00507AB4">
        <w:rPr>
          <w:u w:val="single"/>
        </w:rPr>
        <w:t>Amendement</w:t>
      </w:r>
      <w:r w:rsidR="00460AFD" w:rsidRPr="00507AB4">
        <w:rPr>
          <w:u w:val="single"/>
        </w:rPr>
        <w:t xml:space="preserve"> 20</w:t>
      </w:r>
      <w:r w:rsidR="00460AFD" w:rsidRPr="00507AB4">
        <w:t xml:space="preserve"> – </w:t>
      </w:r>
      <w:r w:rsidR="00733E39" w:rsidRPr="00507AB4">
        <w:t>Pas de position de</w:t>
      </w:r>
      <w:r w:rsidR="005174FB" w:rsidRPr="00507AB4">
        <w:rPr>
          <w:bCs/>
        </w:rPr>
        <w:t xml:space="preserve"> la Commission</w:t>
      </w:r>
      <w:r w:rsidR="00460AFD" w:rsidRPr="00507AB4">
        <w:t xml:space="preserve">. </w:t>
      </w:r>
      <w:r w:rsidR="00733E39" w:rsidRPr="00507AB4">
        <w:t>La décision incombe aux autorités espagnoles</w:t>
      </w:r>
      <w:r w:rsidR="00460AFD" w:rsidRPr="00507AB4">
        <w:t>.</w:t>
      </w:r>
    </w:p>
    <w:p w:rsidR="00460AFD" w:rsidRPr="00507AB4" w:rsidRDefault="00A661B9" w:rsidP="008B7330">
      <w:r w:rsidRPr="00507AB4">
        <w:rPr>
          <w:u w:val="single"/>
        </w:rPr>
        <w:t>Amendement</w:t>
      </w:r>
      <w:r w:rsidR="00460AFD" w:rsidRPr="00507AB4">
        <w:rPr>
          <w:u w:val="single"/>
        </w:rPr>
        <w:t xml:space="preserve"> 21</w:t>
      </w:r>
      <w:r w:rsidR="00460AFD" w:rsidRPr="00507AB4">
        <w:t xml:space="preserve"> – </w:t>
      </w:r>
      <w:r w:rsidR="00733E39" w:rsidRPr="00507AB4">
        <w:rPr>
          <w:bCs/>
        </w:rPr>
        <w:t>Accepté</w:t>
      </w:r>
      <w:r w:rsidR="00460AFD" w:rsidRPr="00507AB4">
        <w:rPr>
          <w:bCs/>
        </w:rPr>
        <w:t xml:space="preserve">. </w:t>
      </w:r>
      <w:r w:rsidR="00040645">
        <w:rPr>
          <w:bCs/>
        </w:rPr>
        <w:t>Il y a lieu de se féliciter de c</w:t>
      </w:r>
      <w:r w:rsidR="00733E39" w:rsidRPr="00507AB4">
        <w:rPr>
          <w:bCs/>
        </w:rPr>
        <w:t xml:space="preserve">ette contribution. Cependant, il n’existe pas d’exemples similaires de contributions </w:t>
      </w:r>
      <w:r w:rsidR="00A12696" w:rsidRPr="00507AB4">
        <w:rPr>
          <w:bCs/>
        </w:rPr>
        <w:t>analogues</w:t>
      </w:r>
      <w:r w:rsidR="00733E39" w:rsidRPr="00507AB4">
        <w:rPr>
          <w:bCs/>
        </w:rPr>
        <w:t xml:space="preserve"> dans </w:t>
      </w:r>
      <w:r w:rsidR="00A12696" w:rsidRPr="00507AB4">
        <w:rPr>
          <w:bCs/>
        </w:rPr>
        <w:t>les autres agences communautaires et l’État membre d’accueil dans ce cas (Espagne)</w:t>
      </w:r>
      <w:r w:rsidR="00460AFD" w:rsidRPr="00507AB4">
        <w:rPr>
          <w:bCs/>
        </w:rPr>
        <w:t xml:space="preserve"> </w:t>
      </w:r>
      <w:r w:rsidR="00A12696" w:rsidRPr="00507AB4">
        <w:rPr>
          <w:bCs/>
        </w:rPr>
        <w:t>a déjà indiqué qu’il ne soutient pas cet amendement</w:t>
      </w:r>
      <w:r w:rsidR="00460AFD" w:rsidRPr="00507AB4">
        <w:rPr>
          <w:bCs/>
        </w:rPr>
        <w:t xml:space="preserve">. </w:t>
      </w:r>
    </w:p>
    <w:p w:rsidR="00460AFD" w:rsidRPr="00507AB4" w:rsidRDefault="00A661B9" w:rsidP="008B7330">
      <w:r w:rsidRPr="00507AB4">
        <w:rPr>
          <w:u w:val="single"/>
        </w:rPr>
        <w:t>Amendement</w:t>
      </w:r>
      <w:r w:rsidR="00460AFD" w:rsidRPr="00507AB4">
        <w:rPr>
          <w:u w:val="single"/>
        </w:rPr>
        <w:t xml:space="preserve"> 22</w:t>
      </w:r>
      <w:r w:rsidR="00460AFD" w:rsidRPr="00507AB4">
        <w:t xml:space="preserve"> – </w:t>
      </w:r>
      <w:r w:rsidR="001F279C" w:rsidRPr="00507AB4">
        <w:rPr>
          <w:bCs/>
        </w:rPr>
        <w:t>Rejeté</w:t>
      </w:r>
      <w:r w:rsidR="00460AFD" w:rsidRPr="00507AB4">
        <w:t xml:space="preserve">. </w:t>
      </w:r>
      <w:r w:rsidR="00A12696" w:rsidRPr="00507AB4">
        <w:t>Le CCPA n’est pas une institution communautaire</w:t>
      </w:r>
      <w:r w:rsidR="00460AFD" w:rsidRPr="00507AB4">
        <w:t>.</w:t>
      </w:r>
    </w:p>
    <w:p w:rsidR="00460AFD" w:rsidRPr="00507AB4" w:rsidRDefault="00A661B9" w:rsidP="008B7330">
      <w:r w:rsidRPr="00507AB4">
        <w:rPr>
          <w:u w:val="single"/>
        </w:rPr>
        <w:t>Amendement</w:t>
      </w:r>
      <w:r w:rsidR="00460AFD" w:rsidRPr="00507AB4">
        <w:rPr>
          <w:u w:val="single"/>
        </w:rPr>
        <w:t xml:space="preserve"> 23</w:t>
      </w:r>
      <w:r w:rsidR="00460AFD" w:rsidRPr="00507AB4">
        <w:t xml:space="preserve"> – </w:t>
      </w:r>
      <w:r w:rsidR="001F279C" w:rsidRPr="00507AB4">
        <w:rPr>
          <w:bCs/>
        </w:rPr>
        <w:t>Rejeté</w:t>
      </w:r>
      <w:r w:rsidR="00460AFD" w:rsidRPr="00507AB4">
        <w:rPr>
          <w:bCs/>
        </w:rPr>
        <w:t xml:space="preserve">. </w:t>
      </w:r>
      <w:r w:rsidR="00FB689E" w:rsidRPr="00507AB4">
        <w:t xml:space="preserve">Les </w:t>
      </w:r>
      <w:r w:rsidR="00CE19AD">
        <w:t>modalités de vote</w:t>
      </w:r>
      <w:r w:rsidR="00FB689E" w:rsidRPr="00507AB4">
        <w:t xml:space="preserve"> doivent tenir compte des caractéristiques particulières de l’organisme </w:t>
      </w:r>
      <w:r w:rsidR="004B342C">
        <w:t xml:space="preserve">qui est </w:t>
      </w:r>
      <w:r w:rsidR="00FB689E" w:rsidRPr="00507AB4">
        <w:t xml:space="preserve">chargé des tâches de contrôle et </w:t>
      </w:r>
      <w:r w:rsidR="004B342C">
        <w:t xml:space="preserve">doit </w:t>
      </w:r>
      <w:r w:rsidR="00FB689E" w:rsidRPr="00507AB4">
        <w:t>agir conformément aux intérêts de la Communauté</w:t>
      </w:r>
      <w:r w:rsidR="00460AFD" w:rsidRPr="00507AB4">
        <w:t xml:space="preserve">. </w:t>
      </w:r>
      <w:r w:rsidR="00FB689E" w:rsidRPr="00507AB4">
        <w:t>Le CCPA n’est pas une institution communautaire</w:t>
      </w:r>
      <w:r w:rsidR="00460AFD" w:rsidRPr="00507AB4">
        <w:t>.</w:t>
      </w:r>
    </w:p>
    <w:p w:rsidR="00460AFD" w:rsidRPr="00507AB4" w:rsidRDefault="00A661B9" w:rsidP="008B7330">
      <w:r w:rsidRPr="00507AB4">
        <w:rPr>
          <w:u w:val="single"/>
        </w:rPr>
        <w:t>Amendement</w:t>
      </w:r>
      <w:r w:rsidR="00460AFD" w:rsidRPr="00507AB4">
        <w:rPr>
          <w:u w:val="single"/>
        </w:rPr>
        <w:t xml:space="preserve"> 24</w:t>
      </w:r>
      <w:r w:rsidR="00460AFD" w:rsidRPr="00507AB4">
        <w:t xml:space="preserve"> – </w:t>
      </w:r>
      <w:r w:rsidR="001F279C" w:rsidRPr="00507AB4">
        <w:rPr>
          <w:bCs/>
        </w:rPr>
        <w:t>Rejeté</w:t>
      </w:r>
      <w:r w:rsidR="00460AFD" w:rsidRPr="00507AB4">
        <w:t xml:space="preserve">. </w:t>
      </w:r>
      <w:r w:rsidR="00FB689E" w:rsidRPr="00507AB4">
        <w:t>Le CCPA n’est pas une institution communautaire</w:t>
      </w:r>
      <w:r w:rsidR="00460AFD" w:rsidRPr="00507AB4">
        <w:t>.</w:t>
      </w:r>
    </w:p>
    <w:p w:rsidR="00460AFD" w:rsidRPr="00507AB4" w:rsidRDefault="00A661B9" w:rsidP="008B7330">
      <w:r w:rsidRPr="00507AB4">
        <w:rPr>
          <w:u w:val="single"/>
        </w:rPr>
        <w:lastRenderedPageBreak/>
        <w:t>Amendement</w:t>
      </w:r>
      <w:r w:rsidR="00460AFD" w:rsidRPr="00507AB4">
        <w:rPr>
          <w:u w:val="single"/>
        </w:rPr>
        <w:t xml:space="preserve"> 25</w:t>
      </w:r>
      <w:r w:rsidR="00460AFD" w:rsidRPr="00507AB4">
        <w:t xml:space="preserve"> – </w:t>
      </w:r>
      <w:r w:rsidR="001F279C" w:rsidRPr="00507AB4">
        <w:rPr>
          <w:bCs/>
        </w:rPr>
        <w:t>Rejeté</w:t>
      </w:r>
      <w:r w:rsidR="00460AFD" w:rsidRPr="00507AB4">
        <w:rPr>
          <w:bCs/>
        </w:rPr>
        <w:t>.</w:t>
      </w:r>
      <w:r w:rsidR="00460AFD" w:rsidRPr="00507AB4">
        <w:t xml:space="preserve"> </w:t>
      </w:r>
      <w:r w:rsidR="00FB689E" w:rsidRPr="00507AB4">
        <w:t xml:space="preserve">Les </w:t>
      </w:r>
      <w:r w:rsidR="00CE19AD">
        <w:t>modalités de vote</w:t>
      </w:r>
      <w:r w:rsidR="00FB689E" w:rsidRPr="00507AB4">
        <w:t xml:space="preserve"> doivent tenir compte des caractéristiques particulières de l’organisme </w:t>
      </w:r>
      <w:r w:rsidR="00971860">
        <w:t xml:space="preserve">qui est </w:t>
      </w:r>
      <w:r w:rsidR="00FB689E" w:rsidRPr="00507AB4">
        <w:t xml:space="preserve">chargé des tâches de contrôle et </w:t>
      </w:r>
      <w:r w:rsidR="00971860">
        <w:t xml:space="preserve">doit </w:t>
      </w:r>
      <w:r w:rsidR="00FB689E" w:rsidRPr="00507AB4">
        <w:t>agir conformément aux intérêts de la Communauté</w:t>
      </w:r>
      <w:r w:rsidR="00460AFD" w:rsidRPr="00507AB4">
        <w:t>.</w:t>
      </w:r>
    </w:p>
    <w:p w:rsidR="00460AFD" w:rsidRPr="00507AB4" w:rsidRDefault="00A661B9" w:rsidP="008B7330">
      <w:r w:rsidRPr="00507AB4">
        <w:rPr>
          <w:u w:val="single"/>
        </w:rPr>
        <w:t>Amendement</w:t>
      </w:r>
      <w:r w:rsidR="00460AFD" w:rsidRPr="00507AB4">
        <w:rPr>
          <w:u w:val="single"/>
        </w:rPr>
        <w:t xml:space="preserve"> 26</w:t>
      </w:r>
      <w:r w:rsidR="00460AFD" w:rsidRPr="00507AB4">
        <w:t xml:space="preserve"> – </w:t>
      </w:r>
      <w:r w:rsidR="001F279C" w:rsidRPr="00507AB4">
        <w:rPr>
          <w:bCs/>
        </w:rPr>
        <w:t>Rejeté</w:t>
      </w:r>
      <w:r w:rsidR="00460AFD" w:rsidRPr="00507AB4">
        <w:rPr>
          <w:bCs/>
        </w:rPr>
        <w:t>.</w:t>
      </w:r>
      <w:r w:rsidR="00460AFD" w:rsidRPr="00507AB4">
        <w:t xml:space="preserve"> </w:t>
      </w:r>
      <w:r w:rsidR="002176A6" w:rsidRPr="00507AB4">
        <w:t xml:space="preserve">Le </w:t>
      </w:r>
      <w:r w:rsidR="00566E47">
        <w:t>conseil d’administration</w:t>
      </w:r>
      <w:r w:rsidR="002176A6" w:rsidRPr="00507AB4">
        <w:t xml:space="preserve"> doit pouvoir examiner </w:t>
      </w:r>
      <w:r w:rsidR="00946DFF">
        <w:t>d</w:t>
      </w:r>
      <w:r w:rsidR="002176A6" w:rsidRPr="00507AB4">
        <w:t xml:space="preserve">es points spécifiques à l’ordre du jour </w:t>
      </w:r>
      <w:r w:rsidR="00946DFF">
        <w:t>sans la</w:t>
      </w:r>
      <w:r w:rsidR="002176A6" w:rsidRPr="00507AB4">
        <w:t xml:space="preserve"> présence des représentants d</w:t>
      </w:r>
      <w:r w:rsidR="00971860">
        <w:t>u secteur</w:t>
      </w:r>
      <w:r w:rsidR="002176A6" w:rsidRPr="00507AB4">
        <w:t xml:space="preserve"> lorsque le sujet est confidentiel ou </w:t>
      </w:r>
      <w:r w:rsidR="00946DFF">
        <w:t>lors</w:t>
      </w:r>
      <w:r w:rsidR="002176A6" w:rsidRPr="00507AB4">
        <w:t>qu’il y a conflit d’intérêts</w:t>
      </w:r>
      <w:r w:rsidR="00460AFD" w:rsidRPr="00507AB4">
        <w:t>.</w:t>
      </w:r>
    </w:p>
    <w:p w:rsidR="00460AFD" w:rsidRPr="00507AB4" w:rsidRDefault="00A661B9" w:rsidP="008B7330">
      <w:r w:rsidRPr="00507AB4">
        <w:rPr>
          <w:u w:val="single"/>
        </w:rPr>
        <w:t>Amendement</w:t>
      </w:r>
      <w:r w:rsidR="00460AFD" w:rsidRPr="00507AB4">
        <w:rPr>
          <w:u w:val="single"/>
        </w:rPr>
        <w:t xml:space="preserve"> 27</w:t>
      </w:r>
      <w:r w:rsidR="00460AFD" w:rsidRPr="00507AB4">
        <w:t xml:space="preserve"> – </w:t>
      </w:r>
      <w:r w:rsidR="001F279C" w:rsidRPr="00507AB4">
        <w:rPr>
          <w:bCs/>
        </w:rPr>
        <w:t>Rejeté</w:t>
      </w:r>
      <w:r w:rsidR="00460AFD" w:rsidRPr="00507AB4">
        <w:t xml:space="preserve">. </w:t>
      </w:r>
      <w:r w:rsidR="00FB689E" w:rsidRPr="00507AB4">
        <w:t xml:space="preserve">Les </w:t>
      </w:r>
      <w:r w:rsidR="00CE19AD">
        <w:t>modalités de vote</w:t>
      </w:r>
      <w:r w:rsidR="00FB689E" w:rsidRPr="00507AB4">
        <w:t xml:space="preserve"> doivent tenir compte des caractéristiques particulières de l’organisme </w:t>
      </w:r>
      <w:r w:rsidR="00E60CBF">
        <w:t>qui est chargé des tâches de contrôle et doit agir</w:t>
      </w:r>
      <w:r w:rsidR="00FB689E" w:rsidRPr="00507AB4">
        <w:t>conformément aux intérêts de la Communauté</w:t>
      </w:r>
      <w:r w:rsidR="00460AFD" w:rsidRPr="00507AB4">
        <w:t>.</w:t>
      </w:r>
    </w:p>
    <w:p w:rsidR="00460AFD" w:rsidRPr="00507AB4" w:rsidRDefault="00A661B9" w:rsidP="008B7330">
      <w:r w:rsidRPr="00507AB4">
        <w:rPr>
          <w:u w:val="single"/>
        </w:rPr>
        <w:t>Amendement</w:t>
      </w:r>
      <w:r w:rsidR="00460AFD" w:rsidRPr="00507AB4">
        <w:rPr>
          <w:u w:val="single"/>
        </w:rPr>
        <w:t xml:space="preserve"> 28</w:t>
      </w:r>
      <w:r w:rsidR="00460AFD" w:rsidRPr="00507AB4">
        <w:t xml:space="preserve"> – </w:t>
      </w:r>
      <w:r w:rsidR="00733E39" w:rsidRPr="00507AB4">
        <w:rPr>
          <w:bCs/>
        </w:rPr>
        <w:t>Accepté</w:t>
      </w:r>
      <w:r w:rsidR="00460AFD" w:rsidRPr="00507AB4">
        <w:rPr>
          <w:bCs/>
        </w:rPr>
        <w:t>. Non discriminato</w:t>
      </w:r>
      <w:r w:rsidR="002176A6" w:rsidRPr="00507AB4">
        <w:rPr>
          <w:bCs/>
        </w:rPr>
        <w:t>ire</w:t>
      </w:r>
      <w:r w:rsidR="00460AFD" w:rsidRPr="00507AB4">
        <w:rPr>
          <w:bCs/>
        </w:rPr>
        <w:t>.</w:t>
      </w:r>
    </w:p>
    <w:p w:rsidR="00460AFD" w:rsidRPr="00507AB4" w:rsidRDefault="00A661B9" w:rsidP="008B7330">
      <w:r w:rsidRPr="00507AB4">
        <w:rPr>
          <w:u w:val="single"/>
        </w:rPr>
        <w:t>Amendement</w:t>
      </w:r>
      <w:r w:rsidR="00460AFD" w:rsidRPr="00507AB4">
        <w:rPr>
          <w:u w:val="single"/>
        </w:rPr>
        <w:t xml:space="preserve"> 29</w:t>
      </w:r>
      <w:r w:rsidR="00460AFD" w:rsidRPr="00507AB4">
        <w:t xml:space="preserve"> – </w:t>
      </w:r>
      <w:r w:rsidR="00733E39" w:rsidRPr="00507AB4">
        <w:rPr>
          <w:bCs/>
        </w:rPr>
        <w:t>Accepté</w:t>
      </w:r>
      <w:r w:rsidR="00460AFD" w:rsidRPr="00507AB4">
        <w:rPr>
          <w:bCs/>
        </w:rPr>
        <w:t>. Non discriminato</w:t>
      </w:r>
      <w:r w:rsidR="002176A6" w:rsidRPr="00507AB4">
        <w:rPr>
          <w:bCs/>
        </w:rPr>
        <w:t>ire</w:t>
      </w:r>
      <w:r w:rsidR="00460AFD" w:rsidRPr="00507AB4">
        <w:rPr>
          <w:bCs/>
        </w:rPr>
        <w:t>.</w:t>
      </w:r>
    </w:p>
    <w:p w:rsidR="00460AFD" w:rsidRPr="00507AB4" w:rsidRDefault="00A661B9" w:rsidP="008B7330">
      <w:r w:rsidRPr="00507AB4">
        <w:rPr>
          <w:u w:val="single"/>
        </w:rPr>
        <w:t>Amendement</w:t>
      </w:r>
      <w:r w:rsidR="00460AFD" w:rsidRPr="00507AB4">
        <w:rPr>
          <w:u w:val="single"/>
        </w:rPr>
        <w:t xml:space="preserve"> 30</w:t>
      </w:r>
      <w:r w:rsidR="00460AFD" w:rsidRPr="00507AB4">
        <w:t xml:space="preserve"> – </w:t>
      </w:r>
      <w:r w:rsidR="00733E39" w:rsidRPr="00507AB4">
        <w:rPr>
          <w:bCs/>
        </w:rPr>
        <w:t>Accepté</w:t>
      </w:r>
      <w:r w:rsidR="00460AFD" w:rsidRPr="00507AB4">
        <w:rPr>
          <w:bCs/>
        </w:rPr>
        <w:t>.</w:t>
      </w:r>
      <w:r w:rsidR="00460AFD" w:rsidRPr="00507AB4">
        <w:t xml:space="preserve"> </w:t>
      </w:r>
      <w:r w:rsidR="002176A6" w:rsidRPr="00507AB4">
        <w:t xml:space="preserve">Il est </w:t>
      </w:r>
      <w:r w:rsidR="00686CF4">
        <w:t>indiqué</w:t>
      </w:r>
      <w:r w:rsidR="002176A6" w:rsidRPr="00507AB4">
        <w:t xml:space="preserve"> que le directeur exécutif relève du Parlement</w:t>
      </w:r>
      <w:r w:rsidR="00460AFD" w:rsidRPr="00507AB4">
        <w:rPr>
          <w:bCs/>
        </w:rPr>
        <w:t>.</w:t>
      </w:r>
    </w:p>
    <w:p w:rsidR="00460AFD" w:rsidRPr="00507AB4" w:rsidRDefault="00A661B9" w:rsidP="008B7330">
      <w:r w:rsidRPr="00507AB4">
        <w:rPr>
          <w:u w:val="single"/>
        </w:rPr>
        <w:t>Amendement</w:t>
      </w:r>
      <w:r w:rsidR="00460AFD" w:rsidRPr="00507AB4">
        <w:rPr>
          <w:u w:val="single"/>
        </w:rPr>
        <w:t xml:space="preserve"> 31</w:t>
      </w:r>
      <w:r w:rsidR="00460AFD" w:rsidRPr="00507AB4">
        <w:t xml:space="preserve"> – </w:t>
      </w:r>
      <w:r w:rsidR="00733E39" w:rsidRPr="00507AB4">
        <w:rPr>
          <w:bCs/>
        </w:rPr>
        <w:t>Accepté</w:t>
      </w:r>
      <w:r w:rsidR="00460AFD" w:rsidRPr="00507AB4">
        <w:rPr>
          <w:bCs/>
        </w:rPr>
        <w:t xml:space="preserve">. </w:t>
      </w:r>
      <w:r w:rsidR="002176A6" w:rsidRPr="00507AB4">
        <w:rPr>
          <w:bCs/>
        </w:rPr>
        <w:t>Met davantage l’accent sur la nécessité, pour le directeur exécutif, de posséder de l’expérience dans le domaine d</w:t>
      </w:r>
      <w:r w:rsidR="009F45F6">
        <w:rPr>
          <w:bCs/>
        </w:rPr>
        <w:t>e l’inspection et du contrôle des pêches et dans la politique commune de la pêche</w:t>
      </w:r>
      <w:r w:rsidR="00460AFD" w:rsidRPr="00507AB4">
        <w:rPr>
          <w:bCs/>
        </w:rPr>
        <w:t>.</w:t>
      </w:r>
    </w:p>
    <w:p w:rsidR="00460AFD" w:rsidRPr="00507AB4" w:rsidRDefault="00A661B9" w:rsidP="008B7330">
      <w:r w:rsidRPr="00507AB4">
        <w:rPr>
          <w:u w:val="single"/>
        </w:rPr>
        <w:t>Amendement</w:t>
      </w:r>
      <w:r w:rsidR="00460AFD" w:rsidRPr="00507AB4">
        <w:rPr>
          <w:u w:val="single"/>
        </w:rPr>
        <w:t xml:space="preserve"> 32</w:t>
      </w:r>
      <w:r w:rsidR="00460AFD" w:rsidRPr="00507AB4">
        <w:t xml:space="preserve"> – </w:t>
      </w:r>
      <w:r w:rsidR="001F279C" w:rsidRPr="00507AB4">
        <w:rPr>
          <w:bCs/>
        </w:rPr>
        <w:t>Rejeté</w:t>
      </w:r>
      <w:r w:rsidR="00460AFD" w:rsidRPr="00507AB4">
        <w:rPr>
          <w:bCs/>
        </w:rPr>
        <w:t>. I</w:t>
      </w:r>
      <w:r w:rsidR="000750A7" w:rsidRPr="00507AB4">
        <w:rPr>
          <w:bCs/>
        </w:rPr>
        <w:t>l est dans l’intérêt de la Communauté que la Commission conserve l</w:t>
      </w:r>
      <w:r w:rsidR="00C41BFE">
        <w:rPr>
          <w:bCs/>
        </w:rPr>
        <w:t>e pouvoir</w:t>
      </w:r>
      <w:r w:rsidR="000750A7" w:rsidRPr="00507AB4">
        <w:rPr>
          <w:bCs/>
        </w:rPr>
        <w:t xml:space="preserve"> de proposer l</w:t>
      </w:r>
      <w:r w:rsidR="00C41BFE">
        <w:rPr>
          <w:bCs/>
        </w:rPr>
        <w:t>a révocation</w:t>
      </w:r>
      <w:r w:rsidR="00460AFD" w:rsidRPr="00507AB4">
        <w:rPr>
          <w:bCs/>
        </w:rPr>
        <w:t>.</w:t>
      </w:r>
    </w:p>
    <w:p w:rsidR="00460AFD" w:rsidRPr="00507AB4" w:rsidRDefault="00A661B9" w:rsidP="008B7330">
      <w:r w:rsidRPr="00507AB4">
        <w:rPr>
          <w:u w:val="single"/>
        </w:rPr>
        <w:t>Amendement</w:t>
      </w:r>
      <w:r w:rsidR="00460AFD" w:rsidRPr="00507AB4">
        <w:rPr>
          <w:u w:val="single"/>
        </w:rPr>
        <w:t xml:space="preserve"> 33</w:t>
      </w:r>
      <w:r w:rsidR="00460AFD" w:rsidRPr="00507AB4">
        <w:t xml:space="preserve"> – </w:t>
      </w:r>
      <w:r w:rsidR="001F279C" w:rsidRPr="00507AB4">
        <w:rPr>
          <w:bCs/>
        </w:rPr>
        <w:t>Rejeté</w:t>
      </w:r>
      <w:r w:rsidR="00460AFD" w:rsidRPr="00507AB4">
        <w:t xml:space="preserve">. </w:t>
      </w:r>
      <w:r w:rsidR="000750A7" w:rsidRPr="00507AB4">
        <w:t>Une période de trois ans est trop courte.</w:t>
      </w:r>
    </w:p>
    <w:p w:rsidR="00460AFD" w:rsidRPr="00507AB4" w:rsidRDefault="00A661B9" w:rsidP="008B7330">
      <w:r w:rsidRPr="00507AB4">
        <w:rPr>
          <w:u w:val="single"/>
        </w:rPr>
        <w:t>Amendement</w:t>
      </w:r>
      <w:r w:rsidR="00460AFD" w:rsidRPr="00507AB4">
        <w:rPr>
          <w:u w:val="single"/>
        </w:rPr>
        <w:t xml:space="preserve"> 34</w:t>
      </w:r>
      <w:r w:rsidR="00460AFD" w:rsidRPr="00507AB4">
        <w:t xml:space="preserve"> </w:t>
      </w:r>
      <w:r w:rsidR="00460AFD" w:rsidRPr="00507AB4">
        <w:rPr>
          <w:bCs/>
        </w:rPr>
        <w:t xml:space="preserve">– </w:t>
      </w:r>
      <w:r w:rsidR="001F279C" w:rsidRPr="00507AB4">
        <w:rPr>
          <w:bCs/>
        </w:rPr>
        <w:t>Rejeté</w:t>
      </w:r>
      <w:r w:rsidR="00460AFD" w:rsidRPr="00507AB4">
        <w:t xml:space="preserve">. </w:t>
      </w:r>
      <w:r w:rsidR="000750A7" w:rsidRPr="00507AB4">
        <w:t>La proposition de la Commission concorde avec les règles de rédaction des normes (convenues), et le remplacement ne l’est pas</w:t>
      </w:r>
      <w:r w:rsidR="00460AFD" w:rsidRPr="00507AB4">
        <w:t>.</w:t>
      </w:r>
    </w:p>
    <w:p w:rsidR="00460AFD" w:rsidRPr="00507AB4" w:rsidRDefault="00A661B9" w:rsidP="008B7330">
      <w:pPr>
        <w:rPr>
          <w:bCs/>
        </w:rPr>
      </w:pPr>
      <w:r w:rsidRPr="00507AB4">
        <w:rPr>
          <w:u w:val="single"/>
        </w:rPr>
        <w:t>Amendement</w:t>
      </w:r>
      <w:r w:rsidR="00460AFD" w:rsidRPr="00507AB4">
        <w:rPr>
          <w:u w:val="single"/>
        </w:rPr>
        <w:t xml:space="preserve"> 35</w:t>
      </w:r>
      <w:r w:rsidR="00460AFD" w:rsidRPr="00507AB4">
        <w:t xml:space="preserve"> – </w:t>
      </w:r>
      <w:r w:rsidR="001F279C" w:rsidRPr="00507AB4">
        <w:rPr>
          <w:bCs/>
        </w:rPr>
        <w:t>Rejeté</w:t>
      </w:r>
      <w:r w:rsidR="00460AFD" w:rsidRPr="00507AB4">
        <w:rPr>
          <w:bCs/>
        </w:rPr>
        <w:t>.</w:t>
      </w:r>
      <w:r w:rsidR="00460AFD" w:rsidRPr="00507AB4">
        <w:t xml:space="preserve"> </w:t>
      </w:r>
      <w:r w:rsidR="000750A7" w:rsidRPr="00507AB4">
        <w:t>Il s’agit en principe d’une bonne idée mais elle est difficile à réaliser dans la pratique</w:t>
      </w:r>
      <w:r w:rsidR="00460AFD" w:rsidRPr="00507AB4">
        <w:rPr>
          <w:bCs/>
        </w:rPr>
        <w:t>.</w:t>
      </w:r>
    </w:p>
    <w:p w:rsidR="00460AFD" w:rsidRPr="00507AB4" w:rsidRDefault="00A661B9" w:rsidP="008B7330">
      <w:r w:rsidRPr="00507AB4">
        <w:rPr>
          <w:u w:val="single"/>
        </w:rPr>
        <w:t>Amendement</w:t>
      </w:r>
      <w:r w:rsidR="00460AFD" w:rsidRPr="00507AB4">
        <w:rPr>
          <w:u w:val="single"/>
        </w:rPr>
        <w:t xml:space="preserve"> 36</w:t>
      </w:r>
      <w:r w:rsidR="00460AFD" w:rsidRPr="00507AB4">
        <w:t xml:space="preserve"> – </w:t>
      </w:r>
      <w:r w:rsidR="001F279C" w:rsidRPr="00507AB4">
        <w:rPr>
          <w:bCs/>
        </w:rPr>
        <w:t>Rejeté</w:t>
      </w:r>
      <w:r w:rsidR="00460AFD" w:rsidRPr="00507AB4">
        <w:rPr>
          <w:bCs/>
        </w:rPr>
        <w:t xml:space="preserve"> - </w:t>
      </w:r>
      <w:r w:rsidR="001F279C" w:rsidRPr="00507AB4">
        <w:rPr>
          <w:bCs/>
        </w:rPr>
        <w:t>Atténue la proposition</w:t>
      </w:r>
      <w:r w:rsidR="00460AFD" w:rsidRPr="00507AB4">
        <w:rPr>
          <w:bCs/>
        </w:rPr>
        <w:t>.</w:t>
      </w:r>
    </w:p>
    <w:p w:rsidR="00460AFD" w:rsidRPr="00507AB4" w:rsidRDefault="00A661B9" w:rsidP="008B7330">
      <w:r w:rsidRPr="00507AB4">
        <w:rPr>
          <w:u w:val="single"/>
        </w:rPr>
        <w:t>Amendement</w:t>
      </w:r>
      <w:r w:rsidR="00460AFD" w:rsidRPr="00507AB4">
        <w:rPr>
          <w:u w:val="single"/>
        </w:rPr>
        <w:t xml:space="preserve"> 37</w:t>
      </w:r>
      <w:r w:rsidR="00460AFD" w:rsidRPr="00507AB4">
        <w:t xml:space="preserve"> – </w:t>
      </w:r>
      <w:r w:rsidR="001F279C" w:rsidRPr="00507AB4">
        <w:rPr>
          <w:bCs/>
        </w:rPr>
        <w:t>Rejeté</w:t>
      </w:r>
      <w:r w:rsidR="00460AFD" w:rsidRPr="00507AB4">
        <w:rPr>
          <w:bCs/>
        </w:rPr>
        <w:t xml:space="preserve"> - </w:t>
      </w:r>
      <w:r w:rsidR="001F279C" w:rsidRPr="00507AB4">
        <w:rPr>
          <w:bCs/>
        </w:rPr>
        <w:t>Atténue la proposition</w:t>
      </w:r>
      <w:r w:rsidR="00460AFD" w:rsidRPr="00507AB4">
        <w:rPr>
          <w:bCs/>
        </w:rPr>
        <w:t>.</w:t>
      </w:r>
    </w:p>
    <w:p w:rsidR="00460AFD" w:rsidRPr="00507AB4" w:rsidRDefault="00A661B9" w:rsidP="008B7330">
      <w:r w:rsidRPr="00507AB4">
        <w:rPr>
          <w:u w:val="single"/>
        </w:rPr>
        <w:t>Amendement</w:t>
      </w:r>
      <w:r w:rsidR="00460AFD" w:rsidRPr="00507AB4">
        <w:rPr>
          <w:u w:val="single"/>
        </w:rPr>
        <w:t xml:space="preserve"> 38</w:t>
      </w:r>
      <w:r w:rsidR="00460AFD" w:rsidRPr="00507AB4">
        <w:t xml:space="preserve"> – </w:t>
      </w:r>
      <w:r w:rsidR="001F279C" w:rsidRPr="00507AB4">
        <w:rPr>
          <w:bCs/>
        </w:rPr>
        <w:t>Rejeté</w:t>
      </w:r>
      <w:r w:rsidR="00460AFD" w:rsidRPr="00507AB4">
        <w:rPr>
          <w:bCs/>
        </w:rPr>
        <w:t xml:space="preserve"> - </w:t>
      </w:r>
      <w:r w:rsidR="001F279C" w:rsidRPr="00507AB4">
        <w:rPr>
          <w:bCs/>
        </w:rPr>
        <w:t>Atténue la proposition</w:t>
      </w:r>
      <w:r w:rsidR="00460AFD" w:rsidRPr="00507AB4">
        <w:rPr>
          <w:bCs/>
        </w:rPr>
        <w:t>.</w:t>
      </w:r>
    </w:p>
    <w:p w:rsidR="00460AFD" w:rsidRPr="00507AB4" w:rsidRDefault="00A661B9" w:rsidP="008B7330">
      <w:r w:rsidRPr="00507AB4">
        <w:rPr>
          <w:u w:val="single"/>
        </w:rPr>
        <w:t>Amendement</w:t>
      </w:r>
      <w:r w:rsidR="00460AFD" w:rsidRPr="00507AB4">
        <w:rPr>
          <w:u w:val="single"/>
        </w:rPr>
        <w:t xml:space="preserve"> 39</w:t>
      </w:r>
      <w:r w:rsidR="00460AFD" w:rsidRPr="00507AB4">
        <w:t xml:space="preserve"> – </w:t>
      </w:r>
      <w:r w:rsidR="001F279C" w:rsidRPr="00507AB4">
        <w:rPr>
          <w:bCs/>
        </w:rPr>
        <w:t>Rejeté</w:t>
      </w:r>
      <w:r w:rsidR="00460AFD" w:rsidRPr="00507AB4">
        <w:rPr>
          <w:bCs/>
        </w:rPr>
        <w:t xml:space="preserve"> - </w:t>
      </w:r>
      <w:r w:rsidR="001F279C" w:rsidRPr="00507AB4">
        <w:rPr>
          <w:bCs/>
        </w:rPr>
        <w:t>Atténue la proposition</w:t>
      </w:r>
      <w:r w:rsidR="00460AFD" w:rsidRPr="00507AB4">
        <w:rPr>
          <w:bCs/>
        </w:rPr>
        <w:t>.</w:t>
      </w:r>
    </w:p>
    <w:p w:rsidR="00460AFD" w:rsidRPr="00507AB4" w:rsidRDefault="00A661B9" w:rsidP="008B7330">
      <w:r w:rsidRPr="00507AB4">
        <w:rPr>
          <w:u w:val="single"/>
        </w:rPr>
        <w:t>Amendement</w:t>
      </w:r>
      <w:r w:rsidR="00460AFD" w:rsidRPr="00507AB4">
        <w:rPr>
          <w:u w:val="single"/>
        </w:rPr>
        <w:t xml:space="preserve">  40</w:t>
      </w:r>
      <w:r w:rsidR="00460AFD" w:rsidRPr="00507AB4">
        <w:t xml:space="preserve"> – </w:t>
      </w:r>
      <w:r w:rsidR="001F279C" w:rsidRPr="00507AB4">
        <w:rPr>
          <w:bCs/>
        </w:rPr>
        <w:t>Rejeté</w:t>
      </w:r>
      <w:r w:rsidR="00460AFD" w:rsidRPr="00507AB4">
        <w:rPr>
          <w:bCs/>
        </w:rPr>
        <w:t xml:space="preserve"> - </w:t>
      </w:r>
      <w:r w:rsidR="001F279C" w:rsidRPr="00507AB4">
        <w:rPr>
          <w:bCs/>
        </w:rPr>
        <w:t>Atténue la proposition</w:t>
      </w:r>
      <w:r w:rsidR="00460AFD" w:rsidRPr="00507AB4">
        <w:rPr>
          <w:bCs/>
        </w:rPr>
        <w:t>.</w:t>
      </w:r>
    </w:p>
    <w:p w:rsidR="00460AFD" w:rsidRPr="00507AB4" w:rsidRDefault="00A661B9" w:rsidP="008B7330">
      <w:r w:rsidRPr="00507AB4">
        <w:rPr>
          <w:u w:val="single"/>
        </w:rPr>
        <w:t>Amendement</w:t>
      </w:r>
      <w:r w:rsidR="00460AFD" w:rsidRPr="00507AB4">
        <w:rPr>
          <w:u w:val="single"/>
        </w:rPr>
        <w:t xml:space="preserve"> 41</w:t>
      </w:r>
      <w:r w:rsidR="00460AFD" w:rsidRPr="00507AB4">
        <w:t xml:space="preserve"> - </w:t>
      </w:r>
      <w:r w:rsidR="001F279C" w:rsidRPr="00507AB4">
        <w:rPr>
          <w:bCs/>
        </w:rPr>
        <w:t>Rejeté</w:t>
      </w:r>
      <w:r w:rsidR="00460AFD" w:rsidRPr="00507AB4">
        <w:rPr>
          <w:bCs/>
        </w:rPr>
        <w:t xml:space="preserve"> – </w:t>
      </w:r>
      <w:r w:rsidR="000750A7" w:rsidRPr="00507AB4">
        <w:rPr>
          <w:bCs/>
        </w:rPr>
        <w:t>Les organismes consultatifs n’ont pas la même situation que les institutions communautaires.</w:t>
      </w:r>
    </w:p>
    <w:p w:rsidR="00460AFD" w:rsidRPr="00507AB4" w:rsidRDefault="00A661B9" w:rsidP="008B7330">
      <w:r w:rsidRPr="00507AB4">
        <w:rPr>
          <w:u w:val="single"/>
        </w:rPr>
        <w:t>Amendement</w:t>
      </w:r>
      <w:r w:rsidR="00460AFD" w:rsidRPr="00507AB4">
        <w:rPr>
          <w:u w:val="single"/>
        </w:rPr>
        <w:t xml:space="preserve"> 42</w:t>
      </w:r>
      <w:r w:rsidR="00460AFD" w:rsidRPr="00507AB4">
        <w:t xml:space="preserve"> – </w:t>
      </w:r>
      <w:r w:rsidR="00733E39" w:rsidRPr="00507AB4">
        <w:rPr>
          <w:bCs/>
        </w:rPr>
        <w:t>Accepté</w:t>
      </w:r>
      <w:r w:rsidR="00460AFD" w:rsidRPr="00507AB4">
        <w:rPr>
          <w:bCs/>
        </w:rPr>
        <w:t xml:space="preserve"> </w:t>
      </w:r>
      <w:r w:rsidR="00C41BFE">
        <w:rPr>
          <w:bCs/>
        </w:rPr>
        <w:t>en partie. Il est bien d’informer le Parlement mais pas les organismes consultatifs tels que les CCR ou le CCPA.</w:t>
      </w:r>
    </w:p>
    <w:p w:rsidR="00460AFD" w:rsidRDefault="00A661B9" w:rsidP="008B7330">
      <w:pPr>
        <w:rPr>
          <w:bCs/>
        </w:rPr>
      </w:pPr>
      <w:r w:rsidRPr="00507AB4">
        <w:rPr>
          <w:u w:val="single"/>
        </w:rPr>
        <w:t>Amendement</w:t>
      </w:r>
      <w:r w:rsidR="00460AFD" w:rsidRPr="00507AB4">
        <w:rPr>
          <w:u w:val="single"/>
        </w:rPr>
        <w:t xml:space="preserve"> 43</w:t>
      </w:r>
      <w:r w:rsidR="00460AFD" w:rsidRPr="00507AB4">
        <w:t xml:space="preserve"> </w:t>
      </w:r>
      <w:r w:rsidR="00460AFD" w:rsidRPr="00507AB4">
        <w:rPr>
          <w:b/>
        </w:rPr>
        <w:t>–</w:t>
      </w:r>
      <w:r w:rsidR="00BC170D" w:rsidRPr="00507AB4">
        <w:rPr>
          <w:b/>
        </w:rPr>
        <w:t xml:space="preserve"> </w:t>
      </w:r>
      <w:r w:rsidR="001F279C" w:rsidRPr="00507AB4">
        <w:rPr>
          <w:bCs/>
        </w:rPr>
        <w:t>Rejeté</w:t>
      </w:r>
      <w:r w:rsidR="00460AFD" w:rsidRPr="00507AB4">
        <w:rPr>
          <w:bCs/>
        </w:rPr>
        <w:t xml:space="preserve">. </w:t>
      </w:r>
      <w:r w:rsidR="001B1293" w:rsidRPr="00507AB4">
        <w:rPr>
          <w:bCs/>
        </w:rPr>
        <w:t>Les organismes consultatifs ne devraient pas participer à la gestion.</w:t>
      </w:r>
    </w:p>
    <w:p w:rsidR="00460AFD" w:rsidRPr="00507AB4" w:rsidRDefault="005E7E32" w:rsidP="00415649">
      <w:pPr>
        <w:rPr>
          <w:b/>
        </w:rPr>
      </w:pPr>
      <w:r>
        <w:rPr>
          <w:bCs/>
        </w:rPr>
        <w:br w:type="page"/>
      </w:r>
      <w:r w:rsidR="00460AFD" w:rsidRPr="00507AB4">
        <w:rPr>
          <w:b/>
        </w:rPr>
        <w:lastRenderedPageBreak/>
        <w:t>9.</w:t>
      </w:r>
      <w:r w:rsidR="00460AFD" w:rsidRPr="00507AB4">
        <w:rPr>
          <w:b/>
        </w:rPr>
        <w:tab/>
      </w:r>
      <w:r w:rsidR="001B1293" w:rsidRPr="00507AB4">
        <w:rPr>
          <w:b/>
        </w:rPr>
        <w:t>Prévisions quant à la modification de la proposition</w:t>
      </w:r>
      <w:r w:rsidR="00460AFD" w:rsidRPr="00507AB4">
        <w:rPr>
          <w:b/>
        </w:rPr>
        <w:t>:</w:t>
      </w:r>
    </w:p>
    <w:p w:rsidR="00460AFD" w:rsidRPr="00507AB4" w:rsidRDefault="001B1293" w:rsidP="00415649">
      <w:r w:rsidRPr="00507AB4">
        <w:t>À ce stade de la discussion, la Commission informera oralement le Conseil de sa position sur les amendements</w:t>
      </w:r>
      <w:r w:rsidR="00460AFD" w:rsidRPr="00507AB4">
        <w:t>.</w:t>
      </w:r>
    </w:p>
    <w:p w:rsidR="00460AFD" w:rsidRPr="00507AB4" w:rsidRDefault="00460AFD" w:rsidP="00415649">
      <w:r w:rsidRPr="00507AB4">
        <w:rPr>
          <w:b/>
        </w:rPr>
        <w:t>10.</w:t>
      </w:r>
      <w:r w:rsidRPr="00507AB4">
        <w:rPr>
          <w:b/>
        </w:rPr>
        <w:tab/>
      </w:r>
      <w:r w:rsidR="003325F5" w:rsidRPr="00507AB4">
        <w:rPr>
          <w:b/>
        </w:rPr>
        <w:t>Prévisions quant à l’adoption de la proposition</w:t>
      </w:r>
      <w:r w:rsidRPr="00507AB4">
        <w:rPr>
          <w:b/>
        </w:rPr>
        <w:t>:</w:t>
      </w:r>
      <w:r w:rsidRPr="00507AB4">
        <w:t xml:space="preserve"> Adoption </w:t>
      </w:r>
      <w:r w:rsidR="001B1293" w:rsidRPr="00507AB4">
        <w:t xml:space="preserve">prévue </w:t>
      </w:r>
      <w:r w:rsidR="00C41BFE">
        <w:t>sous</w:t>
      </w:r>
      <w:r w:rsidR="001B1293" w:rsidRPr="00507AB4">
        <w:t xml:space="preserve"> la présidence luxembourgeoise.</w:t>
      </w:r>
    </w:p>
    <w:p w:rsidR="00403C06" w:rsidRPr="00507AB4" w:rsidRDefault="002F6A5C" w:rsidP="00676C10">
      <w:pPr>
        <w:rPr>
          <w:snapToGrid w:val="0"/>
          <w:lang w:eastAsia="en-US"/>
        </w:rPr>
      </w:pPr>
      <w:r w:rsidRPr="00507AB4">
        <w:rPr>
          <w:snapToGrid w:val="0"/>
          <w:lang w:eastAsia="en-US"/>
        </w:rPr>
        <w:br w:type="page"/>
      </w:r>
    </w:p>
    <w:p w:rsidR="005F045E" w:rsidRPr="00C41BFE" w:rsidRDefault="005F045E" w:rsidP="005F045E">
      <w:pPr>
        <w:jc w:val="center"/>
        <w:rPr>
          <w:color w:val="000000"/>
          <w:szCs w:val="24"/>
        </w:rPr>
      </w:pPr>
      <w:r w:rsidRPr="00C41BFE">
        <w:rPr>
          <w:b/>
          <w:bCs/>
          <w:color w:val="000000"/>
          <w:szCs w:val="24"/>
        </w:rPr>
        <w:t>PROCÉDURE DE CONSULTATION NÉCESSITANT UNE SEULE LECTURE</w:t>
      </w:r>
    </w:p>
    <w:p w:rsidR="00676C10" w:rsidRPr="00CD1013" w:rsidRDefault="005F045E" w:rsidP="005F045E">
      <w:pPr>
        <w:jc w:val="center"/>
        <w:rPr>
          <w:b/>
          <w:szCs w:val="24"/>
        </w:rPr>
      </w:pPr>
      <w:r w:rsidRPr="00CD1013">
        <w:rPr>
          <w:b/>
          <w:bCs/>
          <w:szCs w:val="24"/>
        </w:rPr>
        <w:t>Proposition de règlement du Conseil modifiant le règlement (CE) n° 2792/1999 établissant une action spécifique de transfert des navires de pêches communautaires vers des pays touchés par le tsunami en 2004</w:t>
      </w:r>
    </w:p>
    <w:p w:rsidR="00676C10" w:rsidRPr="00507AB4" w:rsidRDefault="00676C10" w:rsidP="005E7E32">
      <w:pPr>
        <w:rPr>
          <w:b/>
        </w:rPr>
      </w:pPr>
    </w:p>
    <w:p w:rsidR="00676C10" w:rsidRPr="00507AB4" w:rsidRDefault="00676C10" w:rsidP="005E7E32">
      <w:pPr>
        <w:rPr>
          <w:b/>
        </w:rPr>
      </w:pPr>
    </w:p>
    <w:p w:rsidR="00676C10" w:rsidRPr="00507AB4" w:rsidRDefault="00676C10" w:rsidP="005E7E32">
      <w:r w:rsidRPr="00507AB4">
        <w:rPr>
          <w:b/>
        </w:rPr>
        <w:t>1.</w:t>
      </w:r>
      <w:r w:rsidRPr="00507AB4">
        <w:rPr>
          <w:b/>
        </w:rPr>
        <w:tab/>
        <w:t>Rapporteur: -</w:t>
      </w:r>
    </w:p>
    <w:p w:rsidR="00676C10" w:rsidRPr="00507AB4" w:rsidRDefault="00676C10" w:rsidP="005E7E32">
      <w:r w:rsidRPr="00507AB4">
        <w:rPr>
          <w:b/>
        </w:rPr>
        <w:t>2.</w:t>
      </w:r>
      <w:r w:rsidRPr="00507AB4">
        <w:rPr>
          <w:b/>
        </w:rPr>
        <w:tab/>
      </w:r>
      <w:r w:rsidR="005174FB" w:rsidRPr="00507AB4">
        <w:rPr>
          <w:b/>
        </w:rPr>
        <w:t>N° du PE</w:t>
      </w:r>
      <w:r w:rsidRPr="00507AB4">
        <w:rPr>
          <w:b/>
        </w:rPr>
        <w:t xml:space="preserve">: </w:t>
      </w:r>
      <w:r w:rsidRPr="00507AB4">
        <w:t>C6 - 0036/2005</w:t>
      </w:r>
    </w:p>
    <w:p w:rsidR="00676C10" w:rsidRPr="00507AB4" w:rsidRDefault="00676C10" w:rsidP="005E7E32">
      <w:r w:rsidRPr="00507AB4">
        <w:rPr>
          <w:b/>
        </w:rPr>
        <w:t>3.</w:t>
      </w:r>
      <w:r w:rsidRPr="00507AB4">
        <w:rPr>
          <w:b/>
        </w:rPr>
        <w:tab/>
        <w:t xml:space="preserve">Date </w:t>
      </w:r>
      <w:r w:rsidR="005F045E" w:rsidRPr="00507AB4">
        <w:rPr>
          <w:b/>
        </w:rPr>
        <w:t>d’adop</w:t>
      </w:r>
      <w:r w:rsidRPr="00507AB4">
        <w:rPr>
          <w:b/>
        </w:rPr>
        <w:t xml:space="preserve">tion: </w:t>
      </w:r>
      <w:r w:rsidRPr="00507AB4">
        <w:t xml:space="preserve">24 </w:t>
      </w:r>
      <w:r w:rsidR="005F045E" w:rsidRPr="00507AB4">
        <w:t>f</w:t>
      </w:r>
      <w:r w:rsidR="00C84DFD" w:rsidRPr="00507AB4">
        <w:t>évrier</w:t>
      </w:r>
      <w:r w:rsidRPr="00507AB4">
        <w:t xml:space="preserve"> 2005</w:t>
      </w:r>
    </w:p>
    <w:p w:rsidR="00676C10" w:rsidRPr="00507AB4" w:rsidRDefault="00676C10" w:rsidP="005E7E32">
      <w:r w:rsidRPr="00507AB4">
        <w:rPr>
          <w:b/>
        </w:rPr>
        <w:t>4.</w:t>
      </w:r>
      <w:r w:rsidRPr="00507AB4">
        <w:rPr>
          <w:b/>
        </w:rPr>
        <w:tab/>
      </w:r>
      <w:r w:rsidR="005174FB" w:rsidRPr="00507AB4">
        <w:rPr>
          <w:b/>
        </w:rPr>
        <w:t>Objet:</w:t>
      </w:r>
      <w:r w:rsidRPr="00507AB4">
        <w:rPr>
          <w:b/>
        </w:rPr>
        <w:t xml:space="preserve"> </w:t>
      </w:r>
      <w:r w:rsidR="003F55FC" w:rsidRPr="00507AB4">
        <w:rPr>
          <w:bCs/>
        </w:rPr>
        <w:t>transfert des navires de pêches communautaires vers des pays touchés par le tsunami en 2004</w:t>
      </w:r>
    </w:p>
    <w:p w:rsidR="00676C10" w:rsidRPr="00507AB4" w:rsidRDefault="00676C10" w:rsidP="005E7E32">
      <w:r w:rsidRPr="00507AB4">
        <w:rPr>
          <w:b/>
        </w:rPr>
        <w:t>5.</w:t>
      </w:r>
      <w:r w:rsidRPr="00507AB4">
        <w:rPr>
          <w:b/>
        </w:rPr>
        <w:tab/>
      </w:r>
      <w:r w:rsidR="005174FB" w:rsidRPr="00507AB4">
        <w:rPr>
          <w:b/>
        </w:rPr>
        <w:t xml:space="preserve">Référence </w:t>
      </w:r>
      <w:r w:rsidR="00507AB4" w:rsidRPr="00507AB4">
        <w:rPr>
          <w:b/>
        </w:rPr>
        <w:t>interinstitutionnelle</w:t>
      </w:r>
      <w:r w:rsidRPr="00507AB4">
        <w:rPr>
          <w:b/>
        </w:rPr>
        <w:t xml:space="preserve">: </w:t>
      </w:r>
      <w:r w:rsidRPr="00507AB4">
        <w:t>2005/0005(CNS)</w:t>
      </w:r>
    </w:p>
    <w:p w:rsidR="00676C10" w:rsidRPr="00507AB4" w:rsidRDefault="00676C10" w:rsidP="005E7E32">
      <w:r w:rsidRPr="00507AB4">
        <w:rPr>
          <w:b/>
        </w:rPr>
        <w:t>6.</w:t>
      </w:r>
      <w:r w:rsidRPr="00507AB4">
        <w:rPr>
          <w:b/>
        </w:rPr>
        <w:tab/>
      </w:r>
      <w:r w:rsidR="005174FB" w:rsidRPr="00507AB4">
        <w:rPr>
          <w:b/>
        </w:rPr>
        <w:t>Base juridique:</w:t>
      </w:r>
      <w:r w:rsidRPr="00507AB4">
        <w:rPr>
          <w:b/>
        </w:rPr>
        <w:t xml:space="preserve"> </w:t>
      </w:r>
      <w:r w:rsidRPr="00507AB4">
        <w:t xml:space="preserve">Article 37 </w:t>
      </w:r>
      <w:r w:rsidR="00A661B9" w:rsidRPr="00507AB4">
        <w:t>du traité CE</w:t>
      </w:r>
    </w:p>
    <w:p w:rsidR="00676C10" w:rsidRPr="00507AB4" w:rsidRDefault="00676C10" w:rsidP="005E7E32">
      <w:r w:rsidRPr="00507AB4">
        <w:rPr>
          <w:b/>
        </w:rPr>
        <w:t>7.</w:t>
      </w:r>
      <w:r w:rsidRPr="00507AB4">
        <w:rPr>
          <w:b/>
        </w:rPr>
        <w:tab/>
      </w:r>
      <w:r w:rsidR="005174FB" w:rsidRPr="00507AB4">
        <w:rPr>
          <w:b/>
        </w:rPr>
        <w:t>Commission parlementaire compétente</w:t>
      </w:r>
      <w:r w:rsidRPr="00507AB4">
        <w:rPr>
          <w:b/>
        </w:rPr>
        <w:t xml:space="preserve">: </w:t>
      </w:r>
      <w:r w:rsidR="00A25205" w:rsidRPr="00507AB4">
        <w:t>Commission de la pêche</w:t>
      </w:r>
      <w:r w:rsidRPr="00507AB4">
        <w:t xml:space="preserve"> (PECH)</w:t>
      </w:r>
    </w:p>
    <w:p w:rsidR="00676C10" w:rsidRPr="00507AB4" w:rsidRDefault="00676C10" w:rsidP="005E7E32">
      <w:r w:rsidRPr="00507AB4">
        <w:rPr>
          <w:b/>
        </w:rPr>
        <w:t>8.</w:t>
      </w:r>
      <w:r w:rsidRPr="00507AB4">
        <w:rPr>
          <w:b/>
        </w:rPr>
        <w:tab/>
        <w:t xml:space="preserve">Commission's position: </w:t>
      </w:r>
      <w:r w:rsidR="00A25205" w:rsidRPr="00507AB4">
        <w:t>La</w:t>
      </w:r>
      <w:r w:rsidRPr="00507AB4">
        <w:t xml:space="preserve"> Commission </w:t>
      </w:r>
      <w:r w:rsidR="00A25205" w:rsidRPr="00507AB4">
        <w:rPr>
          <w:u w:val="single"/>
        </w:rPr>
        <w:t>peut accepter certains amendements</w:t>
      </w:r>
      <w:r w:rsidRPr="00507AB4">
        <w:t>.</w:t>
      </w:r>
    </w:p>
    <w:p w:rsidR="00676C10" w:rsidRPr="00507AB4" w:rsidRDefault="00A661B9" w:rsidP="005E7E32">
      <w:r w:rsidRPr="00507AB4">
        <w:rPr>
          <w:u w:val="single"/>
        </w:rPr>
        <w:t>Amendement</w:t>
      </w:r>
      <w:r w:rsidR="00676C10" w:rsidRPr="00507AB4">
        <w:rPr>
          <w:u w:val="single"/>
        </w:rPr>
        <w:t xml:space="preserve"> 6</w:t>
      </w:r>
      <w:r w:rsidR="00676C10" w:rsidRPr="00507AB4">
        <w:t xml:space="preserve"> </w:t>
      </w:r>
      <w:r w:rsidR="00676C10" w:rsidRPr="00507AB4">
        <w:rPr>
          <w:b/>
        </w:rPr>
        <w:t>-</w:t>
      </w:r>
      <w:r w:rsidR="00676C10" w:rsidRPr="00507AB4">
        <w:t xml:space="preserve"> </w:t>
      </w:r>
      <w:r w:rsidR="00733E39" w:rsidRPr="00507AB4">
        <w:t>Acceptable</w:t>
      </w:r>
      <w:r w:rsidR="00676C10" w:rsidRPr="00507AB4">
        <w:t xml:space="preserve">. </w:t>
      </w:r>
      <w:r w:rsidR="006F14AD" w:rsidRPr="00507AB4">
        <w:t xml:space="preserve">La </w:t>
      </w:r>
      <w:r w:rsidR="00676C10" w:rsidRPr="00507AB4">
        <w:t xml:space="preserve">Commission </w:t>
      </w:r>
      <w:r w:rsidR="006F14AD" w:rsidRPr="00507AB4">
        <w:t>est prête à discuter avec la Présidence et avec le Conseil.</w:t>
      </w:r>
    </w:p>
    <w:p w:rsidR="00676C10" w:rsidRPr="00507AB4" w:rsidRDefault="00A661B9" w:rsidP="005E7E32">
      <w:r w:rsidRPr="00507AB4">
        <w:rPr>
          <w:u w:val="single"/>
        </w:rPr>
        <w:t>Amendement</w:t>
      </w:r>
      <w:r w:rsidR="00676C10" w:rsidRPr="00507AB4">
        <w:rPr>
          <w:u w:val="single"/>
        </w:rPr>
        <w:t xml:space="preserve"> 7</w:t>
      </w:r>
      <w:r w:rsidR="00676C10" w:rsidRPr="00507AB4">
        <w:t xml:space="preserve"> - </w:t>
      </w:r>
      <w:r w:rsidR="00733E39" w:rsidRPr="00507AB4">
        <w:t>Pas acceptable</w:t>
      </w:r>
      <w:r w:rsidR="00676C10" w:rsidRPr="00507AB4">
        <w:t xml:space="preserve">. </w:t>
      </w:r>
      <w:r w:rsidR="006F14AD" w:rsidRPr="00507AB4">
        <w:t>Il va au-delà du champ d’a</w:t>
      </w:r>
      <w:r w:rsidR="00AF14E4">
        <w:t>pplica</w:t>
      </w:r>
      <w:r w:rsidR="006F14AD" w:rsidRPr="00507AB4">
        <w:t>tion du règlement.</w:t>
      </w:r>
    </w:p>
    <w:p w:rsidR="00676C10" w:rsidRPr="00507AB4" w:rsidRDefault="00A661B9" w:rsidP="005E7E32">
      <w:r w:rsidRPr="00507AB4">
        <w:rPr>
          <w:u w:val="single"/>
        </w:rPr>
        <w:t>Amendement</w:t>
      </w:r>
      <w:r w:rsidR="00676C10" w:rsidRPr="00507AB4">
        <w:rPr>
          <w:u w:val="single"/>
        </w:rPr>
        <w:t xml:space="preserve"> 8</w:t>
      </w:r>
      <w:r w:rsidR="00676C10" w:rsidRPr="00507AB4">
        <w:t xml:space="preserve"> - </w:t>
      </w:r>
      <w:r w:rsidR="00733E39" w:rsidRPr="00507AB4">
        <w:t>Pas acceptable</w:t>
      </w:r>
      <w:r w:rsidR="00676C10" w:rsidRPr="00507AB4">
        <w:t xml:space="preserve">. </w:t>
      </w:r>
      <w:r w:rsidR="006F14AD" w:rsidRPr="00507AB4">
        <w:t>Question relative aux programmes d’aide humanitaire aux régions touchées et n’entrant pas dans le cadre du règlement IFOP</w:t>
      </w:r>
      <w:r w:rsidR="00676C10" w:rsidRPr="00507AB4">
        <w:t>.</w:t>
      </w:r>
    </w:p>
    <w:p w:rsidR="00676C10" w:rsidRPr="00507AB4" w:rsidRDefault="00A661B9" w:rsidP="005E7E32">
      <w:r w:rsidRPr="00507AB4">
        <w:rPr>
          <w:u w:val="single"/>
        </w:rPr>
        <w:t>Amendement</w:t>
      </w:r>
      <w:r w:rsidR="00676C10" w:rsidRPr="00507AB4">
        <w:rPr>
          <w:u w:val="single"/>
        </w:rPr>
        <w:t xml:space="preserve"> 21</w:t>
      </w:r>
      <w:r w:rsidR="00676C10" w:rsidRPr="00507AB4">
        <w:t xml:space="preserve"> – </w:t>
      </w:r>
      <w:r w:rsidR="00733E39" w:rsidRPr="00507AB4">
        <w:t>Pas acceptable</w:t>
      </w:r>
      <w:r w:rsidR="00676C10" w:rsidRPr="00507AB4">
        <w:t xml:space="preserve">. </w:t>
      </w:r>
      <w:r w:rsidR="006F14AD" w:rsidRPr="00507AB4">
        <w:t>Question relative aux programmes d’aide humanitaire aux régions touchées et n’entrant pas dans le cadre du règlement IFOP</w:t>
      </w:r>
      <w:r w:rsidR="00676C10" w:rsidRPr="00507AB4">
        <w:t>.</w:t>
      </w:r>
    </w:p>
    <w:p w:rsidR="00676C10" w:rsidRPr="00507AB4" w:rsidRDefault="00A661B9" w:rsidP="005E7E32">
      <w:r w:rsidRPr="00507AB4">
        <w:rPr>
          <w:u w:val="single"/>
        </w:rPr>
        <w:t>Amendement</w:t>
      </w:r>
      <w:r w:rsidR="00676C10" w:rsidRPr="00507AB4">
        <w:rPr>
          <w:u w:val="single"/>
        </w:rPr>
        <w:t xml:space="preserve"> 13</w:t>
      </w:r>
      <w:r w:rsidR="00676C10" w:rsidRPr="00507AB4">
        <w:t xml:space="preserve"> – </w:t>
      </w:r>
      <w:r w:rsidR="00733E39" w:rsidRPr="00507AB4">
        <w:t>Acceptable</w:t>
      </w:r>
      <w:r w:rsidR="00676C10" w:rsidRPr="00507AB4">
        <w:t xml:space="preserve">. </w:t>
      </w:r>
      <w:r w:rsidR="006F14AD" w:rsidRPr="00507AB4">
        <w:t>Cette modification n’est qu’une adaptation purement technique qui améliore la proposition</w:t>
      </w:r>
      <w:r w:rsidR="00676C10" w:rsidRPr="00507AB4">
        <w:t>.</w:t>
      </w:r>
    </w:p>
    <w:p w:rsidR="00676C10" w:rsidRPr="00507AB4" w:rsidRDefault="00A661B9" w:rsidP="005E7E32">
      <w:r w:rsidRPr="00507AB4">
        <w:rPr>
          <w:u w:val="single"/>
        </w:rPr>
        <w:t>Amendement</w:t>
      </w:r>
      <w:r w:rsidR="00676C10" w:rsidRPr="00507AB4">
        <w:rPr>
          <w:u w:val="single"/>
        </w:rPr>
        <w:t xml:space="preserve"> 14</w:t>
      </w:r>
      <w:r w:rsidR="00676C10" w:rsidRPr="00507AB4">
        <w:t xml:space="preserve"> – </w:t>
      </w:r>
      <w:r w:rsidR="00733E39" w:rsidRPr="00507AB4">
        <w:t>Acceptable</w:t>
      </w:r>
      <w:r w:rsidR="00676C10" w:rsidRPr="00507AB4">
        <w:t xml:space="preserve">. </w:t>
      </w:r>
      <w:r w:rsidR="006F14AD" w:rsidRPr="00507AB4">
        <w:t>Cette modification n’est qu’une adaptation purement technique qui améliore la proposition</w:t>
      </w:r>
      <w:r w:rsidR="00676C10" w:rsidRPr="00507AB4">
        <w:t>.</w:t>
      </w:r>
    </w:p>
    <w:p w:rsidR="00676C10" w:rsidRPr="00507AB4" w:rsidRDefault="00A661B9" w:rsidP="005E7E32">
      <w:r w:rsidRPr="00507AB4">
        <w:rPr>
          <w:u w:val="single"/>
        </w:rPr>
        <w:t>Amendement</w:t>
      </w:r>
      <w:r w:rsidR="00676C10" w:rsidRPr="00507AB4">
        <w:rPr>
          <w:u w:val="single"/>
        </w:rPr>
        <w:t xml:space="preserve"> 9</w:t>
      </w:r>
      <w:r w:rsidR="00676C10" w:rsidRPr="00507AB4">
        <w:t xml:space="preserve"> - </w:t>
      </w:r>
      <w:r w:rsidR="00733E39" w:rsidRPr="00507AB4">
        <w:t>Pas acceptable</w:t>
      </w:r>
      <w:r w:rsidR="00676C10" w:rsidRPr="00507AB4">
        <w:t xml:space="preserve">. </w:t>
      </w:r>
      <w:r w:rsidR="006F14AD" w:rsidRPr="00507AB4">
        <w:t>Question relative aux programmes d’aide humanitaire aux régions touchées et n’entrant pas dans le cadre du règlement IFOP</w:t>
      </w:r>
      <w:r w:rsidR="00676C10" w:rsidRPr="00507AB4">
        <w:t>.</w:t>
      </w:r>
    </w:p>
    <w:p w:rsidR="00676C10" w:rsidRPr="00507AB4" w:rsidRDefault="00A661B9" w:rsidP="005E7E32">
      <w:r w:rsidRPr="00507AB4">
        <w:rPr>
          <w:u w:val="single"/>
        </w:rPr>
        <w:t>Amendement</w:t>
      </w:r>
      <w:r w:rsidR="00676C10" w:rsidRPr="00507AB4">
        <w:rPr>
          <w:u w:val="single"/>
        </w:rPr>
        <w:t xml:space="preserve"> 22</w:t>
      </w:r>
      <w:r w:rsidR="00676C10" w:rsidRPr="00507AB4">
        <w:t xml:space="preserve"> - </w:t>
      </w:r>
      <w:r w:rsidR="00733E39" w:rsidRPr="00507AB4">
        <w:t>Pas acceptable</w:t>
      </w:r>
      <w:r w:rsidR="00676C10" w:rsidRPr="00507AB4">
        <w:t xml:space="preserve">. </w:t>
      </w:r>
      <w:r w:rsidR="006F14AD" w:rsidRPr="00507AB4">
        <w:t>Ne correspond pas aux intentions du règlement</w:t>
      </w:r>
      <w:r w:rsidR="00676C10" w:rsidRPr="00507AB4">
        <w:t>.</w:t>
      </w:r>
    </w:p>
    <w:p w:rsidR="00676C10" w:rsidRPr="00507AB4" w:rsidRDefault="00A661B9" w:rsidP="005E7E32">
      <w:r w:rsidRPr="00507AB4">
        <w:rPr>
          <w:u w:val="single"/>
        </w:rPr>
        <w:lastRenderedPageBreak/>
        <w:t>Amendement</w:t>
      </w:r>
      <w:r w:rsidR="00676C10" w:rsidRPr="00507AB4">
        <w:rPr>
          <w:u w:val="single"/>
        </w:rPr>
        <w:t xml:space="preserve"> 10</w:t>
      </w:r>
      <w:r w:rsidR="00676C10" w:rsidRPr="00507AB4">
        <w:t xml:space="preserve"> – </w:t>
      </w:r>
      <w:r w:rsidR="00733E39" w:rsidRPr="00507AB4">
        <w:t>Pas acceptable</w:t>
      </w:r>
      <w:r w:rsidR="00676C10" w:rsidRPr="00507AB4">
        <w:t xml:space="preserve">. </w:t>
      </w:r>
      <w:r w:rsidR="006F14AD" w:rsidRPr="00507AB4">
        <w:t>Le considérant</w:t>
      </w:r>
      <w:r w:rsidR="00676C10" w:rsidRPr="00507AB4">
        <w:t xml:space="preserve"> 5 </w:t>
      </w:r>
      <w:r w:rsidR="006F14AD" w:rsidRPr="00507AB4">
        <w:t xml:space="preserve">prévoit que nos actions doivent </w:t>
      </w:r>
      <w:r w:rsidR="00783737">
        <w:t>correspondre</w:t>
      </w:r>
      <w:r w:rsidR="006F14AD" w:rsidRPr="00507AB4">
        <w:t xml:space="preserve"> aux besoins des pays touchés</w:t>
      </w:r>
      <w:r w:rsidR="00676C10" w:rsidRPr="00507AB4">
        <w:t>.</w:t>
      </w:r>
    </w:p>
    <w:p w:rsidR="00676C10" w:rsidRPr="00507AB4" w:rsidRDefault="00A661B9" w:rsidP="005E7E32">
      <w:r w:rsidRPr="00507AB4">
        <w:rPr>
          <w:u w:val="single"/>
        </w:rPr>
        <w:t>Amendement</w:t>
      </w:r>
      <w:r w:rsidR="00676C10" w:rsidRPr="00507AB4">
        <w:rPr>
          <w:u w:val="single"/>
        </w:rPr>
        <w:t xml:space="preserve"> 11</w:t>
      </w:r>
      <w:r w:rsidR="00676C10" w:rsidRPr="00507AB4">
        <w:t xml:space="preserve"> - </w:t>
      </w:r>
      <w:r w:rsidR="00733E39" w:rsidRPr="00507AB4">
        <w:t>Pas acceptable</w:t>
      </w:r>
      <w:r w:rsidR="00676C10" w:rsidRPr="00507AB4">
        <w:t xml:space="preserve">. </w:t>
      </w:r>
      <w:r w:rsidR="006F14AD" w:rsidRPr="00507AB4">
        <w:t>Question relative aux programmes d’aide humanitaire aux régions touchées et n’entrant pas dans le cadre du règlement IFOP</w:t>
      </w:r>
      <w:r w:rsidR="00676C10" w:rsidRPr="00507AB4">
        <w:t>.</w:t>
      </w:r>
    </w:p>
    <w:p w:rsidR="00676C10" w:rsidRPr="00507AB4" w:rsidRDefault="00A661B9" w:rsidP="005E7E32">
      <w:r w:rsidRPr="00507AB4">
        <w:rPr>
          <w:u w:val="single"/>
        </w:rPr>
        <w:t>Amendement</w:t>
      </w:r>
      <w:r w:rsidR="00676C10" w:rsidRPr="00507AB4">
        <w:rPr>
          <w:u w:val="single"/>
        </w:rPr>
        <w:t xml:space="preserve"> 12</w:t>
      </w:r>
      <w:r w:rsidR="00676C10" w:rsidRPr="00507AB4">
        <w:t xml:space="preserve"> – </w:t>
      </w:r>
      <w:r w:rsidR="00733E39" w:rsidRPr="00507AB4">
        <w:t>Pas acceptable</w:t>
      </w:r>
      <w:r w:rsidR="00676C10" w:rsidRPr="00507AB4">
        <w:t xml:space="preserve">. </w:t>
      </w:r>
      <w:r w:rsidR="006F14AD" w:rsidRPr="00507AB4">
        <w:t xml:space="preserve">Le considérant 5 prévoit que nos actions doivent </w:t>
      </w:r>
      <w:r w:rsidR="00B34AD5">
        <w:t>correspondre</w:t>
      </w:r>
      <w:r w:rsidR="006F14AD" w:rsidRPr="00507AB4">
        <w:t xml:space="preserve"> aux besoins des pays touchés</w:t>
      </w:r>
      <w:r w:rsidR="00676C10" w:rsidRPr="00507AB4">
        <w:t>.</w:t>
      </w:r>
    </w:p>
    <w:p w:rsidR="00676C10" w:rsidRPr="00507AB4" w:rsidRDefault="00A661B9" w:rsidP="005E7E32">
      <w:r w:rsidRPr="00507AB4">
        <w:rPr>
          <w:u w:val="single"/>
        </w:rPr>
        <w:t>Amendement</w:t>
      </w:r>
      <w:r w:rsidR="00676C10" w:rsidRPr="00507AB4">
        <w:rPr>
          <w:u w:val="single"/>
        </w:rPr>
        <w:t xml:space="preserve">s 15 </w:t>
      </w:r>
      <w:r w:rsidR="007E6BED">
        <w:rPr>
          <w:u w:val="single"/>
        </w:rPr>
        <w:t>et</w:t>
      </w:r>
      <w:r w:rsidR="00676C10" w:rsidRPr="00507AB4">
        <w:rPr>
          <w:u w:val="single"/>
        </w:rPr>
        <w:t xml:space="preserve"> 1</w:t>
      </w:r>
      <w:r w:rsidR="00676C10" w:rsidRPr="00507AB4">
        <w:t xml:space="preserve"> - </w:t>
      </w:r>
      <w:r w:rsidR="00733E39" w:rsidRPr="00507AB4">
        <w:t>Acceptable</w:t>
      </w:r>
      <w:r w:rsidR="00A27663">
        <w:t>s</w:t>
      </w:r>
      <w:r w:rsidR="00676C10" w:rsidRPr="00507AB4">
        <w:t xml:space="preserve">. </w:t>
      </w:r>
      <w:r w:rsidR="006F14AD" w:rsidRPr="00507AB4">
        <w:t>La</w:t>
      </w:r>
      <w:r w:rsidR="00676C10" w:rsidRPr="00507AB4">
        <w:t xml:space="preserve"> Commission </w:t>
      </w:r>
      <w:r w:rsidR="006F14AD" w:rsidRPr="00507AB4">
        <w:t>est prête à examiner une version légèrement remaniée avec la Présidence et avec la Conseil. Il n'est pas possible de garantir "l'absence d'effets négatifs", mais il est possible "d'éviter les effets négatifs"</w:t>
      </w:r>
      <w:r w:rsidR="00676C10" w:rsidRPr="00507AB4">
        <w:t>.</w:t>
      </w:r>
    </w:p>
    <w:p w:rsidR="00676C10" w:rsidRPr="00507AB4" w:rsidRDefault="00A661B9" w:rsidP="005E7E32">
      <w:r w:rsidRPr="00507AB4">
        <w:rPr>
          <w:u w:val="single"/>
        </w:rPr>
        <w:t>Amendement</w:t>
      </w:r>
      <w:r w:rsidR="00676C10" w:rsidRPr="00507AB4">
        <w:rPr>
          <w:u w:val="single"/>
        </w:rPr>
        <w:t xml:space="preserve"> 3</w:t>
      </w:r>
      <w:r w:rsidR="00676C10" w:rsidRPr="00507AB4">
        <w:t xml:space="preserve"> – </w:t>
      </w:r>
      <w:r w:rsidR="00733E39" w:rsidRPr="00507AB4">
        <w:t>Pas acceptable</w:t>
      </w:r>
      <w:r w:rsidR="00676C10" w:rsidRPr="00507AB4">
        <w:t xml:space="preserve">. </w:t>
      </w:r>
      <w:r w:rsidR="006F14AD" w:rsidRPr="00507AB4">
        <w:t xml:space="preserve">Bien qu’elle </w:t>
      </w:r>
      <w:r w:rsidR="00CA7C44">
        <w:t>soit d’accord avec l’esprit</w:t>
      </w:r>
      <w:r w:rsidR="006F14AD" w:rsidRPr="00507AB4">
        <w:t xml:space="preserve"> de cet amendement, la Commission estime qu’il est trop</w:t>
      </w:r>
      <w:r w:rsidR="007B0C4E" w:rsidRPr="00507AB4">
        <w:t xml:space="preserve"> lourd et compliqué</w:t>
      </w:r>
      <w:r w:rsidR="00676C10" w:rsidRPr="00507AB4">
        <w:t>.</w:t>
      </w:r>
    </w:p>
    <w:p w:rsidR="00676C10" w:rsidRPr="00507AB4" w:rsidRDefault="00A661B9" w:rsidP="005E7E32">
      <w:r w:rsidRPr="00507AB4">
        <w:rPr>
          <w:u w:val="single"/>
        </w:rPr>
        <w:t>Amendement</w:t>
      </w:r>
      <w:r w:rsidR="00676C10" w:rsidRPr="00507AB4">
        <w:rPr>
          <w:u w:val="single"/>
        </w:rPr>
        <w:t xml:space="preserve"> 20</w:t>
      </w:r>
      <w:r w:rsidR="00676C10" w:rsidRPr="00507AB4">
        <w:t xml:space="preserve"> – </w:t>
      </w:r>
      <w:r w:rsidR="00733E39" w:rsidRPr="00507AB4">
        <w:t>Pas acceptable</w:t>
      </w:r>
      <w:r w:rsidR="00676C10" w:rsidRPr="00507AB4">
        <w:t xml:space="preserve">. </w:t>
      </w:r>
      <w:r w:rsidR="007B0C4E" w:rsidRPr="00507AB4">
        <w:t>La</w:t>
      </w:r>
      <w:r w:rsidR="00676C10" w:rsidRPr="00507AB4">
        <w:t xml:space="preserve"> Commission </w:t>
      </w:r>
      <w:r w:rsidR="007B0C4E" w:rsidRPr="00507AB4">
        <w:t>estime que ce point est suffisamment couvert par la disposition prévoyant que les navires à transférer devraient profiter aux communautés de pêcheurs touchées</w:t>
      </w:r>
      <w:r w:rsidR="00676C10" w:rsidRPr="00507AB4">
        <w:t>.</w:t>
      </w:r>
    </w:p>
    <w:p w:rsidR="00676C10" w:rsidRPr="00507AB4" w:rsidRDefault="00A661B9" w:rsidP="005E7E32">
      <w:r w:rsidRPr="00507AB4">
        <w:rPr>
          <w:u w:val="single"/>
        </w:rPr>
        <w:t>Amendement</w:t>
      </w:r>
      <w:r w:rsidR="00676C10" w:rsidRPr="00507AB4">
        <w:rPr>
          <w:u w:val="single"/>
        </w:rPr>
        <w:t xml:space="preserve"> 2</w:t>
      </w:r>
      <w:r w:rsidR="00676C10" w:rsidRPr="00507AB4">
        <w:t xml:space="preserve"> – </w:t>
      </w:r>
      <w:r w:rsidR="00733E39" w:rsidRPr="00507AB4">
        <w:t>Pas acceptable</w:t>
      </w:r>
      <w:r w:rsidR="00676C10" w:rsidRPr="00507AB4">
        <w:t xml:space="preserve">. </w:t>
      </w:r>
      <w:r w:rsidR="007B0C4E" w:rsidRPr="00507AB4">
        <w:t xml:space="preserve">Bien qu’elle </w:t>
      </w:r>
      <w:r w:rsidR="00CA7C44">
        <w:t>soit d’accord avec l’esprit</w:t>
      </w:r>
      <w:r w:rsidR="007B0C4E" w:rsidRPr="00507AB4">
        <w:t xml:space="preserve"> de cet amendement, la</w:t>
      </w:r>
      <w:r w:rsidR="00676C10" w:rsidRPr="00507AB4">
        <w:t xml:space="preserve"> Commission </w:t>
      </w:r>
      <w:r w:rsidR="007B0C4E" w:rsidRPr="00507AB4">
        <w:t>l’estime inappr</w:t>
      </w:r>
      <w:r w:rsidR="003A4340">
        <w:t>ORP</w:t>
      </w:r>
      <w:r w:rsidR="007B0C4E" w:rsidRPr="00507AB4">
        <w:t>ié étant donné qu’il fait référence à l’édu</w:t>
      </w:r>
      <w:r w:rsidR="00676C10" w:rsidRPr="00507AB4">
        <w:t xml:space="preserve">cation </w:t>
      </w:r>
      <w:r w:rsidR="007B0C4E" w:rsidRPr="00507AB4">
        <w:t>et à la formation dans les pays tiers</w:t>
      </w:r>
      <w:r w:rsidR="00676C10" w:rsidRPr="00507AB4">
        <w:t xml:space="preserve">. </w:t>
      </w:r>
      <w:r w:rsidR="007B0C4E" w:rsidRPr="00507AB4">
        <w:t>Cet aspect ne relève pas du champ d’application du règlement IFOP</w:t>
      </w:r>
      <w:r w:rsidR="00676C10" w:rsidRPr="00507AB4">
        <w:t>.</w:t>
      </w:r>
    </w:p>
    <w:p w:rsidR="00676C10" w:rsidRPr="00507AB4" w:rsidRDefault="00A661B9" w:rsidP="005E7E32">
      <w:r w:rsidRPr="00507AB4">
        <w:rPr>
          <w:u w:val="single"/>
        </w:rPr>
        <w:t>Amendement</w:t>
      </w:r>
      <w:r w:rsidR="00676C10" w:rsidRPr="00507AB4">
        <w:rPr>
          <w:u w:val="single"/>
        </w:rPr>
        <w:t xml:space="preserve"> 4</w:t>
      </w:r>
      <w:r w:rsidR="00676C10" w:rsidRPr="00507AB4">
        <w:t xml:space="preserve"> - </w:t>
      </w:r>
      <w:r w:rsidR="00733E39" w:rsidRPr="00507AB4">
        <w:t>Acceptable</w:t>
      </w:r>
      <w:r w:rsidR="00676C10" w:rsidRPr="00507AB4">
        <w:t>. I</w:t>
      </w:r>
      <w:r w:rsidR="007B0C4E" w:rsidRPr="00507AB4">
        <w:t>l offre une garantie supplémentaire d'efficacité du règlement</w:t>
      </w:r>
      <w:r w:rsidR="00676C10" w:rsidRPr="00507AB4">
        <w:t>.</w:t>
      </w:r>
    </w:p>
    <w:p w:rsidR="00676C10" w:rsidRPr="00507AB4" w:rsidRDefault="00A661B9" w:rsidP="005E7E32">
      <w:r w:rsidRPr="00507AB4">
        <w:rPr>
          <w:u w:val="single"/>
        </w:rPr>
        <w:t>Amendement</w:t>
      </w:r>
      <w:r w:rsidR="00676C10" w:rsidRPr="00507AB4">
        <w:rPr>
          <w:u w:val="single"/>
        </w:rPr>
        <w:t xml:space="preserve"> 5</w:t>
      </w:r>
      <w:r w:rsidR="00676C10" w:rsidRPr="00507AB4">
        <w:t xml:space="preserve"> – </w:t>
      </w:r>
      <w:r w:rsidR="00733E39" w:rsidRPr="00507AB4">
        <w:t>Acceptable</w:t>
      </w:r>
      <w:r w:rsidR="00676C10" w:rsidRPr="00507AB4">
        <w:t>.</w:t>
      </w:r>
    </w:p>
    <w:p w:rsidR="00676C10" w:rsidRPr="00507AB4" w:rsidRDefault="00676C10" w:rsidP="005E7E32">
      <w:pPr>
        <w:rPr>
          <w:b/>
        </w:rPr>
      </w:pPr>
      <w:r w:rsidRPr="00507AB4">
        <w:rPr>
          <w:b/>
        </w:rPr>
        <w:t>9.</w:t>
      </w:r>
      <w:r w:rsidRPr="00507AB4">
        <w:rPr>
          <w:b/>
        </w:rPr>
        <w:tab/>
      </w:r>
      <w:r w:rsidR="00BC2E52" w:rsidRPr="00507AB4">
        <w:rPr>
          <w:b/>
        </w:rPr>
        <w:t>Prévisions quant à la modification de la proposition</w:t>
      </w:r>
      <w:r w:rsidRPr="00507AB4">
        <w:rPr>
          <w:b/>
        </w:rPr>
        <w:t xml:space="preserve">: </w:t>
      </w:r>
    </w:p>
    <w:p w:rsidR="00676C10" w:rsidRPr="00507AB4" w:rsidRDefault="00A661B9" w:rsidP="005E7E32">
      <w:r w:rsidRPr="00507AB4">
        <w:rPr>
          <w:b/>
        </w:rPr>
        <w:t>Amendement</w:t>
      </w:r>
      <w:r w:rsidR="00676C10" w:rsidRPr="00507AB4">
        <w:rPr>
          <w:b/>
        </w:rPr>
        <w:t xml:space="preserve">s 4 </w:t>
      </w:r>
      <w:r w:rsidR="00BC2E52" w:rsidRPr="00507AB4">
        <w:rPr>
          <w:b/>
        </w:rPr>
        <w:t>et</w:t>
      </w:r>
      <w:r w:rsidR="00676C10" w:rsidRPr="00507AB4">
        <w:rPr>
          <w:b/>
        </w:rPr>
        <w:t xml:space="preserve"> 5 </w:t>
      </w:r>
      <w:r w:rsidR="00BC2E52" w:rsidRPr="00507AB4">
        <w:rPr>
          <w:b/>
        </w:rPr>
        <w:t xml:space="preserve">: </w:t>
      </w:r>
      <w:r w:rsidR="00BC2E52" w:rsidRPr="00507AB4">
        <w:t>ont été intégrés dans le compromis de la Présidence, soutenus par la Commission et adoptés par le Conseil</w:t>
      </w:r>
      <w:r w:rsidR="00676C10" w:rsidRPr="00507AB4">
        <w:t>.</w:t>
      </w:r>
    </w:p>
    <w:p w:rsidR="00676C10" w:rsidRPr="00507AB4" w:rsidRDefault="00676C10" w:rsidP="005E7E32">
      <w:r w:rsidRPr="00507AB4">
        <w:rPr>
          <w:b/>
        </w:rPr>
        <w:t>10.</w:t>
      </w:r>
      <w:r w:rsidRPr="00507AB4">
        <w:rPr>
          <w:b/>
        </w:rPr>
        <w:tab/>
      </w:r>
      <w:r w:rsidR="003325F5" w:rsidRPr="00507AB4">
        <w:rPr>
          <w:b/>
        </w:rPr>
        <w:t>Prévisions quant à l’adoption de la proposition</w:t>
      </w:r>
      <w:r w:rsidRPr="00507AB4">
        <w:rPr>
          <w:b/>
        </w:rPr>
        <w:t>:</w:t>
      </w:r>
      <w:r w:rsidRPr="00507AB4">
        <w:t xml:space="preserve"> </w:t>
      </w:r>
      <w:r w:rsidR="00BC2E52" w:rsidRPr="00507AB4">
        <w:t xml:space="preserve">Le Conseil a </w:t>
      </w:r>
      <w:r w:rsidR="00BC2E52" w:rsidRPr="00507AB4">
        <w:rPr>
          <w:u w:val="single"/>
        </w:rPr>
        <w:t>adopté la proposition</w:t>
      </w:r>
      <w:r w:rsidR="00BC2E52" w:rsidRPr="00507AB4">
        <w:t xml:space="preserve"> le 16 mars</w:t>
      </w:r>
      <w:r w:rsidRPr="00507AB4">
        <w:t xml:space="preserve"> 2005. </w:t>
      </w:r>
      <w:r w:rsidR="00BC2E52" w:rsidRPr="00507AB4">
        <w:t xml:space="preserve">Cette adoption a été accompagnée d’une déclaration de la Commission </w:t>
      </w:r>
      <w:r w:rsidR="0033154E">
        <w:t>tenant</w:t>
      </w:r>
      <w:r w:rsidR="00BC2E52" w:rsidRPr="00507AB4">
        <w:t xml:space="preserve"> compte </w:t>
      </w:r>
      <w:r w:rsidR="0033154E">
        <w:t>d’</w:t>
      </w:r>
      <w:r w:rsidR="00BC2E52" w:rsidRPr="00507AB4">
        <w:t>un grand nombre de</w:t>
      </w:r>
      <w:r w:rsidR="0033154E">
        <w:t>s</w:t>
      </w:r>
      <w:r w:rsidR="00BC2E52" w:rsidRPr="00507AB4">
        <w:t xml:space="preserve"> préoccupations exprimées </w:t>
      </w:r>
      <w:r w:rsidR="0033154E">
        <w:t>dans</w:t>
      </w:r>
      <w:r w:rsidR="00BC2E52" w:rsidRPr="00507AB4">
        <w:t xml:space="preserve"> les amendements proposés par le PE</w:t>
      </w:r>
      <w:r w:rsidRPr="00507AB4">
        <w:t>.</w:t>
      </w:r>
    </w:p>
    <w:p w:rsidR="009427C0" w:rsidRPr="00507AB4" w:rsidRDefault="002F6A5C" w:rsidP="009427C0">
      <w:pPr>
        <w:rPr>
          <w:noProof/>
        </w:rPr>
      </w:pPr>
      <w:r w:rsidRPr="00507AB4">
        <w:rPr>
          <w:b/>
          <w:snapToGrid w:val="0"/>
          <w:lang w:eastAsia="en-US"/>
        </w:rPr>
        <w:br w:type="page"/>
      </w:r>
    </w:p>
    <w:p w:rsidR="009427C0" w:rsidRPr="00507AB4" w:rsidRDefault="009427C0" w:rsidP="009427C0">
      <w:pPr>
        <w:jc w:val="center"/>
        <w:rPr>
          <w:noProof/>
        </w:rPr>
      </w:pPr>
      <w:r w:rsidRPr="00507AB4">
        <w:rPr>
          <w:b/>
          <w:noProof/>
        </w:rPr>
        <w:t>PROCÉDURE DE CONSULTATION NÉCESSITANT UNE SEULE LECTURE</w:t>
      </w:r>
    </w:p>
    <w:p w:rsidR="009427C0" w:rsidRPr="00507AB4" w:rsidRDefault="009427C0" w:rsidP="009427C0">
      <w:pPr>
        <w:autoSpaceDE w:val="0"/>
        <w:autoSpaceDN w:val="0"/>
        <w:ind w:left="720"/>
        <w:jc w:val="center"/>
        <w:rPr>
          <w:b/>
        </w:rPr>
      </w:pPr>
      <w:r w:rsidRPr="00507AB4">
        <w:rPr>
          <w:b/>
        </w:rPr>
        <w:t>Proposition de Décision du Conseil relative à l'échange d'informations extraites du casier judiciaire</w:t>
      </w:r>
    </w:p>
    <w:p w:rsidR="009427C0" w:rsidRPr="00507AB4" w:rsidRDefault="009427C0" w:rsidP="009427C0">
      <w:pPr>
        <w:jc w:val="left"/>
        <w:rPr>
          <w:noProof/>
        </w:rPr>
      </w:pPr>
    </w:p>
    <w:p w:rsidR="009427C0" w:rsidRPr="00507AB4" w:rsidRDefault="009427C0" w:rsidP="009427C0">
      <w:pPr>
        <w:jc w:val="left"/>
        <w:rPr>
          <w:noProof/>
        </w:rPr>
      </w:pPr>
    </w:p>
    <w:p w:rsidR="009427C0" w:rsidRPr="00507AB4" w:rsidRDefault="009427C0" w:rsidP="009427C0">
      <w:pPr>
        <w:rPr>
          <w:noProof/>
        </w:rPr>
      </w:pPr>
      <w:r w:rsidRPr="00507AB4">
        <w:rPr>
          <w:b/>
          <w:noProof/>
        </w:rPr>
        <w:t>1.</w:t>
      </w:r>
      <w:r w:rsidRPr="00507AB4">
        <w:rPr>
          <w:b/>
          <w:noProof/>
        </w:rPr>
        <w:tab/>
        <w:t xml:space="preserve">Rapporteur : </w:t>
      </w:r>
      <w:r w:rsidRPr="00507AB4">
        <w:rPr>
          <w:noProof/>
        </w:rPr>
        <w:t>Antonio Di Pietro</w:t>
      </w:r>
    </w:p>
    <w:p w:rsidR="009427C0" w:rsidRPr="00507AB4" w:rsidRDefault="009427C0" w:rsidP="009427C0">
      <w:pPr>
        <w:rPr>
          <w:noProof/>
        </w:rPr>
      </w:pPr>
      <w:r w:rsidRPr="00507AB4">
        <w:rPr>
          <w:b/>
          <w:noProof/>
        </w:rPr>
        <w:t>2.</w:t>
      </w:r>
      <w:r w:rsidRPr="00507AB4">
        <w:rPr>
          <w:b/>
          <w:noProof/>
        </w:rPr>
        <w:tab/>
        <w:t xml:space="preserve">N° </w:t>
      </w:r>
      <w:r w:rsidR="00F33EA6" w:rsidRPr="00507AB4">
        <w:rPr>
          <w:b/>
          <w:noProof/>
        </w:rPr>
        <w:t xml:space="preserve">du </w:t>
      </w:r>
      <w:r w:rsidRPr="00507AB4">
        <w:rPr>
          <w:b/>
          <w:noProof/>
        </w:rPr>
        <w:t>PE :</w:t>
      </w:r>
      <w:r w:rsidRPr="00507AB4">
        <w:rPr>
          <w:sz w:val="20"/>
        </w:rPr>
        <w:t xml:space="preserve"> </w:t>
      </w:r>
      <w:r w:rsidRPr="00507AB4">
        <w:t>A6-0020/</w:t>
      </w:r>
      <w:r w:rsidR="00DB109E" w:rsidRPr="00507AB4">
        <w:t>2005</w:t>
      </w:r>
    </w:p>
    <w:p w:rsidR="009427C0" w:rsidRPr="00507AB4" w:rsidRDefault="009427C0" w:rsidP="009427C0">
      <w:pPr>
        <w:rPr>
          <w:noProof/>
        </w:rPr>
      </w:pPr>
      <w:r w:rsidRPr="00507AB4">
        <w:rPr>
          <w:b/>
          <w:noProof/>
        </w:rPr>
        <w:t>3.</w:t>
      </w:r>
      <w:r w:rsidRPr="00507AB4">
        <w:rPr>
          <w:b/>
          <w:noProof/>
        </w:rPr>
        <w:tab/>
        <w:t xml:space="preserve">Date d’adoption du rapport : </w:t>
      </w:r>
      <w:r w:rsidRPr="00507AB4">
        <w:t>22 février 2005</w:t>
      </w:r>
    </w:p>
    <w:p w:rsidR="009427C0" w:rsidRPr="00507AB4" w:rsidRDefault="009427C0" w:rsidP="009427C0">
      <w:pPr>
        <w:rPr>
          <w:noProof/>
        </w:rPr>
      </w:pPr>
      <w:r w:rsidRPr="00507AB4">
        <w:rPr>
          <w:b/>
          <w:noProof/>
        </w:rPr>
        <w:t>4.</w:t>
      </w:r>
      <w:r w:rsidRPr="00507AB4">
        <w:rPr>
          <w:b/>
          <w:noProof/>
        </w:rPr>
        <w:tab/>
        <w:t>Objet :</w:t>
      </w:r>
      <w:r w:rsidRPr="00507AB4">
        <w:rPr>
          <w:sz w:val="20"/>
        </w:rPr>
        <w:t xml:space="preserve"> </w:t>
      </w:r>
      <w:r w:rsidRPr="00507AB4">
        <w:t>Proposition de Décision du Conseil relative à l'échange d'informations extraites du casier judiciaire</w:t>
      </w:r>
    </w:p>
    <w:p w:rsidR="009427C0" w:rsidRPr="00507AB4" w:rsidRDefault="009427C0" w:rsidP="009427C0">
      <w:pPr>
        <w:rPr>
          <w:noProof/>
        </w:rPr>
      </w:pPr>
      <w:r w:rsidRPr="00507AB4">
        <w:rPr>
          <w:b/>
          <w:noProof/>
        </w:rPr>
        <w:t>5.</w:t>
      </w:r>
      <w:r w:rsidRPr="00507AB4">
        <w:rPr>
          <w:b/>
          <w:noProof/>
        </w:rPr>
        <w:tab/>
        <w:t xml:space="preserve">Référence interinstitutionnelle : </w:t>
      </w:r>
      <w:r w:rsidRPr="00507AB4">
        <w:rPr>
          <w:noProof/>
        </w:rPr>
        <w:t>2004/0238(CNS)</w:t>
      </w:r>
    </w:p>
    <w:p w:rsidR="009427C0" w:rsidRPr="00507AB4" w:rsidRDefault="009427C0" w:rsidP="009427C0">
      <w:pPr>
        <w:rPr>
          <w:noProof/>
        </w:rPr>
      </w:pPr>
      <w:r w:rsidRPr="00507AB4">
        <w:rPr>
          <w:b/>
          <w:noProof/>
        </w:rPr>
        <w:t>6.</w:t>
      </w:r>
      <w:r w:rsidRPr="00507AB4">
        <w:rPr>
          <w:b/>
          <w:noProof/>
        </w:rPr>
        <w:tab/>
        <w:t xml:space="preserve">Base juridique : </w:t>
      </w:r>
      <w:r w:rsidRPr="00507AB4">
        <w:rPr>
          <w:noProof/>
        </w:rPr>
        <w:t>article 39, paragraphe 1, du TUE</w:t>
      </w:r>
    </w:p>
    <w:p w:rsidR="009427C0" w:rsidRPr="00507AB4" w:rsidRDefault="009427C0" w:rsidP="009427C0">
      <w:pPr>
        <w:rPr>
          <w:noProof/>
        </w:rPr>
      </w:pPr>
      <w:r w:rsidRPr="00507AB4">
        <w:rPr>
          <w:b/>
          <w:noProof/>
        </w:rPr>
        <w:t>7.</w:t>
      </w:r>
      <w:r w:rsidRPr="00507AB4">
        <w:rPr>
          <w:b/>
          <w:noProof/>
        </w:rPr>
        <w:tab/>
        <w:t xml:space="preserve">Commission parlementaire compétente : </w:t>
      </w:r>
      <w:r w:rsidRPr="00507AB4">
        <w:rPr>
          <w:noProof/>
        </w:rPr>
        <w:t>Commission des libertés civiles, de la justice et des affaires intérieures (LIBE)</w:t>
      </w:r>
    </w:p>
    <w:p w:rsidR="009427C0" w:rsidRPr="00507AB4" w:rsidRDefault="009427C0" w:rsidP="009427C0">
      <w:pPr>
        <w:rPr>
          <w:b/>
          <w:noProof/>
        </w:rPr>
      </w:pPr>
      <w:r w:rsidRPr="00507AB4">
        <w:rPr>
          <w:b/>
          <w:noProof/>
        </w:rPr>
        <w:t>8.</w:t>
      </w:r>
      <w:r w:rsidRPr="00507AB4">
        <w:rPr>
          <w:b/>
          <w:noProof/>
        </w:rPr>
        <w:tab/>
        <w:t>Position de la Commission :</w:t>
      </w:r>
    </w:p>
    <w:p w:rsidR="009427C0" w:rsidRPr="00507AB4" w:rsidRDefault="009427C0" w:rsidP="009427C0">
      <w:pPr>
        <w:rPr>
          <w:noProof/>
        </w:rPr>
      </w:pPr>
      <w:r w:rsidRPr="00507AB4">
        <w:rPr>
          <w:noProof/>
        </w:rPr>
        <w:t xml:space="preserve">La Commission peut accepter quelques </w:t>
      </w:r>
      <w:r w:rsidR="00A661B9" w:rsidRPr="00507AB4">
        <w:rPr>
          <w:noProof/>
        </w:rPr>
        <w:t>amendement</w:t>
      </w:r>
      <w:r w:rsidRPr="00507AB4">
        <w:rPr>
          <w:noProof/>
        </w:rPr>
        <w:t>s ‘sur le principe’ mais il n’y aura pas de proposition modifiée.</w:t>
      </w:r>
    </w:p>
    <w:p w:rsidR="009427C0" w:rsidRPr="00507AB4" w:rsidRDefault="009427C0" w:rsidP="009427C0">
      <w:pPr>
        <w:rPr>
          <w:noProof/>
        </w:rPr>
      </w:pPr>
      <w:r w:rsidRPr="00507AB4">
        <w:rPr>
          <w:noProof/>
          <w:u w:val="single"/>
        </w:rPr>
        <w:t>Amendement 1</w:t>
      </w:r>
      <w:r w:rsidRPr="00507AB4">
        <w:rPr>
          <w:noProof/>
        </w:rPr>
        <w:t xml:space="preserve"> (Article 3)</w:t>
      </w:r>
    </w:p>
    <w:p w:rsidR="009427C0" w:rsidRPr="00507AB4" w:rsidRDefault="009427C0" w:rsidP="009427C0">
      <w:pPr>
        <w:rPr>
          <w:noProof/>
        </w:rPr>
      </w:pPr>
      <w:r w:rsidRPr="00507AB4">
        <w:rPr>
          <w:noProof/>
        </w:rPr>
        <w:t>Le délai de trois mois dans l’</w:t>
      </w:r>
      <w:r w:rsidR="00A661B9" w:rsidRPr="00507AB4">
        <w:rPr>
          <w:noProof/>
        </w:rPr>
        <w:t>amendement</w:t>
      </w:r>
      <w:r w:rsidRPr="00507AB4">
        <w:rPr>
          <w:noProof/>
        </w:rPr>
        <w:t xml:space="preserve"> est trop long. La formule « sans délai » est souvent utilisée dans les textes de l’Union européenne et elle signifie « immédiatement ». L’effacement de l’obligation d’informer aussi des « inscriptions ultérieures dans le casier judiciaire » entraîne une modification de la législation actuelle en application et ne peut pas être retenue par la COM.</w:t>
      </w:r>
    </w:p>
    <w:p w:rsidR="009427C0" w:rsidRPr="00507AB4" w:rsidRDefault="009427C0" w:rsidP="009427C0">
      <w:pPr>
        <w:rPr>
          <w:noProof/>
        </w:rPr>
      </w:pPr>
      <w:r w:rsidRPr="00507AB4">
        <w:rPr>
          <w:noProof/>
          <w:u w:val="single"/>
        </w:rPr>
        <w:t>Amendement 2</w:t>
      </w:r>
      <w:r w:rsidRPr="00507AB4">
        <w:rPr>
          <w:noProof/>
        </w:rPr>
        <w:t xml:space="preserve"> (Article 4</w:t>
      </w:r>
      <w:r w:rsidR="00A93428">
        <w:rPr>
          <w:noProof/>
        </w:rPr>
        <w:t xml:space="preserve">, paragraphe </w:t>
      </w:r>
      <w:r w:rsidRPr="00507AB4">
        <w:rPr>
          <w:noProof/>
        </w:rPr>
        <w:t>2)</w:t>
      </w:r>
    </w:p>
    <w:p w:rsidR="009427C0" w:rsidRPr="00507AB4" w:rsidRDefault="009427C0" w:rsidP="009427C0">
      <w:r w:rsidRPr="00507AB4">
        <w:t>La Commission a défendu la possibilité d’avoir un délai plus court en cas d’urgence lors des négociations au Conseil. Cette position n’a pas été retenue mais la dernière version du texte (COPEN 29 r</w:t>
      </w:r>
      <w:r w:rsidR="00DB109E" w:rsidRPr="00507AB4">
        <w:t>é</w:t>
      </w:r>
      <w:r w:rsidRPr="00507AB4">
        <w:t>v</w:t>
      </w:r>
      <w:r w:rsidR="00DB109E" w:rsidRPr="00507AB4">
        <w:t>.</w:t>
      </w:r>
      <w:r w:rsidRPr="00507AB4">
        <w:t xml:space="preserve"> 1) prévoit la possibilité de mentionner dans le formulaire le caractère particulièrement urgent de la demande.</w:t>
      </w:r>
    </w:p>
    <w:p w:rsidR="009427C0" w:rsidRPr="00507AB4" w:rsidRDefault="009427C0" w:rsidP="009427C0">
      <w:r w:rsidRPr="00507AB4">
        <w:rPr>
          <w:u w:val="single"/>
        </w:rPr>
        <w:t>Amendement 3</w:t>
      </w:r>
      <w:r w:rsidRPr="00507AB4">
        <w:t xml:space="preserve"> (Article 4</w:t>
      </w:r>
      <w:r w:rsidR="00A93428">
        <w:t xml:space="preserve">, paragraphe </w:t>
      </w:r>
      <w:r w:rsidRPr="00507AB4">
        <w:t>3)</w:t>
      </w:r>
    </w:p>
    <w:p w:rsidR="009427C0" w:rsidRPr="00507AB4" w:rsidRDefault="009427C0" w:rsidP="009427C0">
      <w:r w:rsidRPr="00507AB4">
        <w:t>La Commission est d’accord avec l’esprit de l’amendement mais considère que celui-ci n’est pas assez substantiel pour justifier une proposition révisée. Il résulte en effet de l’ensemble du texte que seules sont visées les informations qui figurent dans les casiers judiciaires.</w:t>
      </w:r>
    </w:p>
    <w:p w:rsidR="009427C0" w:rsidRPr="00507AB4" w:rsidRDefault="009427C0" w:rsidP="009427C0">
      <w:r w:rsidRPr="00507AB4">
        <w:rPr>
          <w:u w:val="single"/>
        </w:rPr>
        <w:lastRenderedPageBreak/>
        <w:t>Amendement 4</w:t>
      </w:r>
      <w:r w:rsidRPr="00507AB4">
        <w:t xml:space="preserve"> (Article 5</w:t>
      </w:r>
      <w:r w:rsidR="00A93428">
        <w:t xml:space="preserve">, paragraphe </w:t>
      </w:r>
      <w:r w:rsidRPr="00507AB4">
        <w:t>1</w:t>
      </w:r>
      <w:r w:rsidR="00A93428">
        <w:t xml:space="preserve">, point </w:t>
      </w:r>
      <w:r w:rsidRPr="00507AB4">
        <w:t>b)</w:t>
      </w:r>
    </w:p>
    <w:p w:rsidR="009427C0" w:rsidRPr="00507AB4" w:rsidRDefault="009427C0" w:rsidP="009427C0">
      <w:pPr>
        <w:rPr>
          <w:noProof/>
        </w:rPr>
      </w:pPr>
      <w:r w:rsidRPr="00507AB4">
        <w:rPr>
          <w:noProof/>
        </w:rPr>
        <w:t>L’Etat requis ne doit pas approuver les limitations prévues dans l’Etat membre requérant; il ne s’agit pas d’une procédure d’approbation mais d’un système de « double filtre » dans lequel chaque Etat applique sa pr</w:t>
      </w:r>
      <w:r w:rsidR="003A4340">
        <w:rPr>
          <w:noProof/>
        </w:rPr>
        <w:t>ORP</w:t>
      </w:r>
      <w:r w:rsidRPr="00507AB4">
        <w:rPr>
          <w:noProof/>
        </w:rPr>
        <w:t>e législation nationale.</w:t>
      </w:r>
    </w:p>
    <w:p w:rsidR="009427C0" w:rsidRPr="00507AB4" w:rsidRDefault="00A661B9" w:rsidP="009427C0">
      <w:pPr>
        <w:rPr>
          <w:noProof/>
        </w:rPr>
      </w:pPr>
      <w:r w:rsidRPr="00507AB4">
        <w:rPr>
          <w:noProof/>
          <w:u w:val="single"/>
        </w:rPr>
        <w:t>Amendement</w:t>
      </w:r>
      <w:r w:rsidR="009427C0" w:rsidRPr="00507AB4">
        <w:rPr>
          <w:noProof/>
          <w:u w:val="single"/>
        </w:rPr>
        <w:t xml:space="preserve"> 5</w:t>
      </w:r>
      <w:r w:rsidR="009427C0" w:rsidRPr="00507AB4">
        <w:rPr>
          <w:noProof/>
        </w:rPr>
        <w:t xml:space="preserve"> (Article 5</w:t>
      </w:r>
      <w:r w:rsidR="00CD1013">
        <w:rPr>
          <w:noProof/>
        </w:rPr>
        <w:t xml:space="preserve">, paragraphe </w:t>
      </w:r>
      <w:r w:rsidR="009427C0" w:rsidRPr="00507AB4">
        <w:rPr>
          <w:noProof/>
        </w:rPr>
        <w:t>2)</w:t>
      </w:r>
    </w:p>
    <w:p w:rsidR="009427C0" w:rsidRPr="00507AB4" w:rsidRDefault="009427C0" w:rsidP="009427C0">
      <w:r w:rsidRPr="00507AB4">
        <w:t>La Commission est d’accord avec l’esprit de l’amendement mais préfère la rédaction adoptée par le Conseil car elle est encore plus restrictive.</w:t>
      </w:r>
    </w:p>
    <w:p w:rsidR="009427C0" w:rsidRPr="00507AB4" w:rsidRDefault="009427C0" w:rsidP="009427C0">
      <w:r w:rsidRPr="00507AB4">
        <w:rPr>
          <w:u w:val="single"/>
        </w:rPr>
        <w:t>Amendement 6</w:t>
      </w:r>
      <w:r w:rsidRPr="00507AB4">
        <w:t xml:space="preserve"> (Article 5</w:t>
      </w:r>
      <w:r w:rsidR="00CD1013">
        <w:t xml:space="preserve">, paragraphe </w:t>
      </w:r>
      <w:r w:rsidRPr="00507AB4">
        <w:t>3 bis)</w:t>
      </w:r>
    </w:p>
    <w:p w:rsidR="009427C0" w:rsidRPr="00507AB4" w:rsidRDefault="009427C0" w:rsidP="009427C0">
      <w:pPr>
        <w:rPr>
          <w:i/>
        </w:rPr>
      </w:pPr>
      <w:r w:rsidRPr="00507AB4">
        <w:t>« </w:t>
      </w:r>
      <w:r w:rsidRPr="00507AB4">
        <w:rPr>
          <w:i/>
        </w:rPr>
        <w:t>la Convention du 28 janvier 1981 du Conseil de l’Europe pour la protection des personnes à l’égard du traitement automatisé des données à caractère personnel ainsi que l’article 23 de la Convention du 29 mai 2000 sur l’entraide judiciaire en matière pénale entre les Etats membres de l’Union Européenne s’appliquent au présent article.</w:t>
      </w:r>
      <w:r w:rsidRPr="00507AB4">
        <w:rPr>
          <w:b/>
        </w:rPr>
        <w:t> »</w:t>
      </w:r>
    </w:p>
    <w:p w:rsidR="009427C0" w:rsidRPr="00507AB4" w:rsidRDefault="009427C0" w:rsidP="009427C0">
      <w:r w:rsidRPr="00507AB4">
        <w:t>C’est déjà prévu dans les considérants de la proposition ; la Commission ne partage pas le besoin de l’introduire en tant qu’article. En outre, la rédaction restrictive adoptée par le Conseil  rend inutile la référence à l’article 23 de la Convention du 29 mai 2000.</w:t>
      </w:r>
    </w:p>
    <w:p w:rsidR="009427C0" w:rsidRPr="00507AB4" w:rsidRDefault="009427C0" w:rsidP="009427C0">
      <w:r w:rsidRPr="00507AB4">
        <w:rPr>
          <w:u w:val="single"/>
        </w:rPr>
        <w:t>Amendement 7</w:t>
      </w:r>
      <w:r w:rsidRPr="00507AB4">
        <w:t xml:space="preserve"> (Article 8)</w:t>
      </w:r>
    </w:p>
    <w:p w:rsidR="009427C0" w:rsidRPr="00507AB4" w:rsidRDefault="009427C0" w:rsidP="009427C0">
      <w:r w:rsidRPr="00507AB4">
        <w:t>La Commission est d’accord avec l’esprit de l’amendement mais considère que celui-ci n’est pas assez substantiel pour justifier une proposition révisée.</w:t>
      </w:r>
    </w:p>
    <w:p w:rsidR="009427C0" w:rsidRPr="00507AB4" w:rsidRDefault="009427C0" w:rsidP="009427C0">
      <w:r w:rsidRPr="00507AB4">
        <w:rPr>
          <w:u w:val="single"/>
        </w:rPr>
        <w:t>Amendement 8</w:t>
      </w:r>
      <w:r w:rsidRPr="00507AB4">
        <w:t xml:space="preserve"> (Annexe A- alinéa a)</w:t>
      </w:r>
    </w:p>
    <w:p w:rsidR="009427C0" w:rsidRPr="00507AB4" w:rsidRDefault="009427C0" w:rsidP="009427C0">
      <w:r w:rsidRPr="00507AB4">
        <w:t>La Commission est d’accord avec l’esprit de l’amendement mais considère que celui-ci n’est pas assez substantiel pour justifier une proposition révisée.</w:t>
      </w:r>
    </w:p>
    <w:p w:rsidR="009427C0" w:rsidRPr="00507AB4" w:rsidRDefault="009427C0" w:rsidP="009427C0">
      <w:pPr>
        <w:rPr>
          <w:noProof/>
        </w:rPr>
      </w:pPr>
      <w:r w:rsidRPr="00507AB4">
        <w:rPr>
          <w:b/>
          <w:noProof/>
        </w:rPr>
        <w:t>9.</w:t>
      </w:r>
      <w:r w:rsidRPr="00507AB4">
        <w:rPr>
          <w:b/>
          <w:noProof/>
        </w:rPr>
        <w:tab/>
        <w:t xml:space="preserve">Prévision quant à la modification de la proposition : </w:t>
      </w:r>
      <w:r w:rsidRPr="00507AB4">
        <w:rPr>
          <w:noProof/>
        </w:rPr>
        <w:t>pas de proposition modifiée.</w:t>
      </w:r>
    </w:p>
    <w:p w:rsidR="009427C0" w:rsidRPr="00507AB4" w:rsidRDefault="009427C0" w:rsidP="009427C0">
      <w:pPr>
        <w:rPr>
          <w:noProof/>
        </w:rPr>
      </w:pPr>
      <w:r w:rsidRPr="00507AB4">
        <w:rPr>
          <w:b/>
          <w:noProof/>
        </w:rPr>
        <w:t>10.</w:t>
      </w:r>
      <w:r w:rsidRPr="00507AB4">
        <w:rPr>
          <w:b/>
          <w:noProof/>
        </w:rPr>
        <w:tab/>
        <w:t xml:space="preserve">Prévision sur l’adoption de la proposition : </w:t>
      </w:r>
      <w:r w:rsidRPr="00507AB4">
        <w:rPr>
          <w:noProof/>
        </w:rPr>
        <w:t>accord politique intervenu lors du Conseil du 24/02/2005.</w:t>
      </w:r>
    </w:p>
    <w:p w:rsidR="00320D12" w:rsidRPr="00507AB4" w:rsidRDefault="002F6A5C" w:rsidP="00320D12">
      <w:pPr>
        <w:jc w:val="left"/>
        <w:rPr>
          <w:snapToGrid w:val="0"/>
          <w:lang w:eastAsia="en-US"/>
        </w:rPr>
      </w:pPr>
      <w:r w:rsidRPr="00507AB4">
        <w:rPr>
          <w:snapToGrid w:val="0"/>
          <w:lang w:eastAsia="en-US"/>
        </w:rPr>
        <w:br w:type="page"/>
      </w:r>
    </w:p>
    <w:p w:rsidR="00415DA7" w:rsidRPr="00507AB4" w:rsidRDefault="00415DA7" w:rsidP="00415DA7">
      <w:pPr>
        <w:jc w:val="center"/>
        <w:rPr>
          <w:b/>
          <w:bCs/>
        </w:rPr>
      </w:pPr>
      <w:r w:rsidRPr="00507AB4">
        <w:rPr>
          <w:b/>
          <w:bCs/>
        </w:rPr>
        <w:t>PROCÉDURE DE CONSULTATION NÉCESSITANT UNE SEULE LECTURE</w:t>
      </w:r>
    </w:p>
    <w:p w:rsidR="00320D12" w:rsidRPr="00507AB4" w:rsidRDefault="00415DA7" w:rsidP="00415DA7">
      <w:pPr>
        <w:jc w:val="center"/>
        <w:rPr>
          <w:b/>
        </w:rPr>
      </w:pPr>
      <w:r w:rsidRPr="00507AB4">
        <w:rPr>
          <w:b/>
          <w:bCs/>
        </w:rPr>
        <w:t>Proposition de règlement du Conseil instituant certaines mesures restrictives spécifiques à l'encontre de certaines personnes et entités au regard de la situation en Côte d'Ivoire</w:t>
      </w:r>
    </w:p>
    <w:p w:rsidR="00320D12" w:rsidRPr="00507AB4" w:rsidRDefault="00320D12" w:rsidP="00320D12"/>
    <w:p w:rsidR="00320D12" w:rsidRPr="00507AB4" w:rsidRDefault="00320D12" w:rsidP="00320D12"/>
    <w:p w:rsidR="00320D12" w:rsidRPr="00507AB4" w:rsidRDefault="00320D12" w:rsidP="00320D12">
      <w:r w:rsidRPr="00507AB4">
        <w:rPr>
          <w:b/>
        </w:rPr>
        <w:t>1.</w:t>
      </w:r>
      <w:r w:rsidRPr="00507AB4">
        <w:rPr>
          <w:b/>
        </w:rPr>
        <w:tab/>
        <w:t xml:space="preserve">Rapporteur: </w:t>
      </w:r>
      <w:r w:rsidRPr="00507AB4">
        <w:t>Jean-Marie Cavada</w:t>
      </w:r>
    </w:p>
    <w:p w:rsidR="00320D12" w:rsidRPr="00507AB4" w:rsidRDefault="00320D12" w:rsidP="00320D12">
      <w:r w:rsidRPr="00507AB4">
        <w:rPr>
          <w:b/>
        </w:rPr>
        <w:t>2.</w:t>
      </w:r>
      <w:r w:rsidRPr="00507AB4">
        <w:rPr>
          <w:b/>
        </w:rPr>
        <w:tab/>
      </w:r>
      <w:r w:rsidR="005174FB" w:rsidRPr="00507AB4">
        <w:rPr>
          <w:b/>
        </w:rPr>
        <w:t>N° du PE</w:t>
      </w:r>
      <w:r w:rsidRPr="00507AB4">
        <w:rPr>
          <w:b/>
        </w:rPr>
        <w:t xml:space="preserve">: </w:t>
      </w:r>
      <w:r w:rsidRPr="00507AB4">
        <w:t>A6-0042/2005</w:t>
      </w:r>
    </w:p>
    <w:p w:rsidR="00320D12" w:rsidRPr="00507AB4" w:rsidRDefault="00320D12" w:rsidP="00320D12">
      <w:r w:rsidRPr="00507AB4">
        <w:rPr>
          <w:b/>
        </w:rPr>
        <w:t>3.</w:t>
      </w:r>
      <w:r w:rsidRPr="00507AB4">
        <w:rPr>
          <w:b/>
        </w:rPr>
        <w:tab/>
      </w:r>
      <w:r w:rsidR="005174FB" w:rsidRPr="00507AB4">
        <w:rPr>
          <w:b/>
        </w:rPr>
        <w:t>Date d’adoption du rapport</w:t>
      </w:r>
      <w:r w:rsidRPr="00507AB4">
        <w:rPr>
          <w:b/>
        </w:rPr>
        <w:t xml:space="preserve">: </w:t>
      </w:r>
      <w:r w:rsidRPr="00507AB4">
        <w:t xml:space="preserve">24 </w:t>
      </w:r>
      <w:r w:rsidR="00415DA7" w:rsidRPr="00507AB4">
        <w:t>f</w:t>
      </w:r>
      <w:r w:rsidR="00C84DFD" w:rsidRPr="00507AB4">
        <w:t>évrier</w:t>
      </w:r>
      <w:r w:rsidRPr="00507AB4">
        <w:t xml:space="preserve"> 2005</w:t>
      </w:r>
    </w:p>
    <w:p w:rsidR="00320D12" w:rsidRPr="00507AB4" w:rsidRDefault="00320D12" w:rsidP="00320D12">
      <w:r w:rsidRPr="00507AB4">
        <w:rPr>
          <w:b/>
        </w:rPr>
        <w:t>4.</w:t>
      </w:r>
      <w:r w:rsidRPr="00507AB4">
        <w:rPr>
          <w:b/>
        </w:rPr>
        <w:tab/>
      </w:r>
      <w:r w:rsidR="005174FB" w:rsidRPr="00507AB4">
        <w:rPr>
          <w:b/>
        </w:rPr>
        <w:t>Objet:</w:t>
      </w:r>
      <w:r w:rsidRPr="00507AB4">
        <w:rPr>
          <w:b/>
        </w:rPr>
        <w:t xml:space="preserve"> </w:t>
      </w:r>
      <w:r w:rsidR="00415DA7" w:rsidRPr="00507AB4">
        <w:rPr>
          <w:bCs/>
        </w:rPr>
        <w:t>Proposition de règlement du Conseil instituant certaines mesures restrictives spécifiques à l'encontre de certaines personnes et entités au regard de la situation en Côte d'Ivoire</w:t>
      </w:r>
    </w:p>
    <w:p w:rsidR="00320D12" w:rsidRPr="00507AB4" w:rsidRDefault="00320D12" w:rsidP="00320D12">
      <w:r w:rsidRPr="00507AB4">
        <w:rPr>
          <w:b/>
        </w:rPr>
        <w:t>5.</w:t>
      </w:r>
      <w:r w:rsidRPr="00507AB4">
        <w:rPr>
          <w:b/>
        </w:rPr>
        <w:tab/>
      </w:r>
      <w:r w:rsidR="005174FB" w:rsidRPr="00507AB4">
        <w:rPr>
          <w:b/>
        </w:rPr>
        <w:t>Référence interinstitutionnelle</w:t>
      </w:r>
      <w:r w:rsidRPr="00507AB4">
        <w:rPr>
          <w:b/>
        </w:rPr>
        <w:t>:</w:t>
      </w:r>
      <w:r w:rsidRPr="00507AB4">
        <w:t xml:space="preserve"> 2004/0286(CNS)</w:t>
      </w:r>
    </w:p>
    <w:p w:rsidR="00320D12" w:rsidRPr="00507AB4" w:rsidRDefault="00320D12" w:rsidP="00320D12">
      <w:r w:rsidRPr="00507AB4">
        <w:rPr>
          <w:b/>
        </w:rPr>
        <w:t>6.</w:t>
      </w:r>
      <w:r w:rsidRPr="00507AB4">
        <w:rPr>
          <w:b/>
        </w:rPr>
        <w:tab/>
      </w:r>
      <w:r w:rsidR="005174FB" w:rsidRPr="00507AB4">
        <w:rPr>
          <w:b/>
        </w:rPr>
        <w:t>Base juridique:</w:t>
      </w:r>
      <w:r w:rsidRPr="00507AB4">
        <w:rPr>
          <w:b/>
        </w:rPr>
        <w:t xml:space="preserve"> </w:t>
      </w:r>
      <w:r w:rsidRPr="00507AB4">
        <w:t xml:space="preserve">Articles 60, 301 </w:t>
      </w:r>
      <w:r w:rsidR="004A61A0" w:rsidRPr="00507AB4">
        <w:t>et</w:t>
      </w:r>
      <w:r w:rsidRPr="00507AB4">
        <w:t xml:space="preserve"> 308 TEC</w:t>
      </w:r>
    </w:p>
    <w:p w:rsidR="00320D12" w:rsidRPr="00507AB4" w:rsidRDefault="00320D12" w:rsidP="00320D12">
      <w:r w:rsidRPr="00507AB4">
        <w:rPr>
          <w:b/>
        </w:rPr>
        <w:t>7.</w:t>
      </w:r>
      <w:r w:rsidRPr="00507AB4">
        <w:rPr>
          <w:b/>
        </w:rPr>
        <w:tab/>
      </w:r>
      <w:r w:rsidR="005174FB" w:rsidRPr="00507AB4">
        <w:rPr>
          <w:b/>
        </w:rPr>
        <w:t>Commission parlementaire compétente</w:t>
      </w:r>
      <w:r w:rsidRPr="00507AB4">
        <w:rPr>
          <w:b/>
        </w:rPr>
        <w:t xml:space="preserve">: </w:t>
      </w:r>
      <w:r w:rsidRPr="00507AB4">
        <w:t>Commi</w:t>
      </w:r>
      <w:r w:rsidR="00633D34" w:rsidRPr="00507AB4">
        <w:t>ssion des libertés civiles, de la justice et des affaires intérieures</w:t>
      </w:r>
      <w:r w:rsidRPr="00507AB4">
        <w:t xml:space="preserve"> (LIBE)</w:t>
      </w:r>
    </w:p>
    <w:p w:rsidR="00320D12" w:rsidRPr="00507AB4" w:rsidRDefault="00320D12" w:rsidP="00320D12">
      <w:pPr>
        <w:rPr>
          <w:b/>
        </w:rPr>
      </w:pPr>
      <w:r w:rsidRPr="00507AB4">
        <w:rPr>
          <w:b/>
        </w:rPr>
        <w:t>8.</w:t>
      </w:r>
      <w:r w:rsidRPr="00507AB4">
        <w:rPr>
          <w:b/>
        </w:rPr>
        <w:tab/>
      </w:r>
      <w:r w:rsidR="00633D34" w:rsidRPr="00507AB4">
        <w:rPr>
          <w:b/>
        </w:rPr>
        <w:t>Position de la Commission :</w:t>
      </w:r>
    </w:p>
    <w:p w:rsidR="00320D12" w:rsidRPr="00507AB4" w:rsidRDefault="00320D12" w:rsidP="00320D12">
      <w:pPr>
        <w:tabs>
          <w:tab w:val="left" w:pos="1380"/>
        </w:tabs>
        <w:rPr>
          <w:i/>
        </w:rPr>
      </w:pPr>
      <w:r w:rsidRPr="00507AB4">
        <w:rPr>
          <w:i/>
        </w:rPr>
        <w:t>a)</w:t>
      </w:r>
      <w:r w:rsidR="00633D34" w:rsidRPr="00507AB4">
        <w:rPr>
          <w:i/>
        </w:rPr>
        <w:t xml:space="preserve"> Observations générales</w:t>
      </w:r>
    </w:p>
    <w:p w:rsidR="00320D12" w:rsidRPr="00507AB4" w:rsidRDefault="00633D34" w:rsidP="00320D12">
      <w:pPr>
        <w:tabs>
          <w:tab w:val="left" w:pos="1380"/>
        </w:tabs>
      </w:pPr>
      <w:r w:rsidRPr="00507AB4">
        <w:t>La</w:t>
      </w:r>
      <w:r w:rsidR="00320D12" w:rsidRPr="00507AB4">
        <w:t xml:space="preserve"> Commission </w:t>
      </w:r>
      <w:r w:rsidRPr="00507AB4">
        <w:t>ne peut accepter aucun des amendements du Parlement</w:t>
      </w:r>
      <w:r w:rsidR="00320D12" w:rsidRPr="00507AB4">
        <w:t>.</w:t>
      </w:r>
    </w:p>
    <w:p w:rsidR="00320D12" w:rsidRPr="00507AB4" w:rsidRDefault="00633D34" w:rsidP="00320D12">
      <w:pPr>
        <w:tabs>
          <w:tab w:val="left" w:pos="1380"/>
        </w:tabs>
      </w:pPr>
      <w:r w:rsidRPr="00507AB4">
        <w:t>La</w:t>
      </w:r>
      <w:r w:rsidR="00320D12" w:rsidRPr="00507AB4">
        <w:t xml:space="preserve"> Commission </w:t>
      </w:r>
      <w:r w:rsidRPr="00507AB4">
        <w:t xml:space="preserve">se félicite de l’avis favorable du Parlement européen à l’égard de sa </w:t>
      </w:r>
      <w:r w:rsidR="00C84DFD" w:rsidRPr="00507AB4">
        <w:t>proposition</w:t>
      </w:r>
      <w:r w:rsidR="00320D12" w:rsidRPr="00507AB4">
        <w:t xml:space="preserve">. </w:t>
      </w:r>
      <w:r w:rsidRPr="00507AB4">
        <w:t xml:space="preserve">Elle estime toutefois que sa proposition reflète la nécessité d’une mise en oeuvre rapide et efficace d’une mesure adoptée par le Conseil </w:t>
      </w:r>
      <w:r w:rsidR="00CA7C44">
        <w:t>de sécurité</w:t>
      </w:r>
      <w:r w:rsidRPr="00507AB4">
        <w:t xml:space="preserve"> au chapitre</w:t>
      </w:r>
      <w:r w:rsidR="00320D12" w:rsidRPr="00507AB4">
        <w:t xml:space="preserve"> VII (</w:t>
      </w:r>
      <w:r w:rsidRPr="00507AB4">
        <w:t>et sur l</w:t>
      </w:r>
      <w:r w:rsidR="00CA7C44">
        <w:t>e contenu</w:t>
      </w:r>
      <w:r w:rsidRPr="00507AB4">
        <w:t xml:space="preserve"> de laquelle l’UE n’a pas de pouvoir d’appréciation). Elle voudrait souligner en même temps qu’un grand nombre des préoccupations exprimées par le Parlement, concernant notamment le respect des droits de l’homme et du droit humanitaire, ont déjà</w:t>
      </w:r>
      <w:r w:rsidR="00320D12" w:rsidRPr="00507AB4">
        <w:t xml:space="preserve"> </w:t>
      </w:r>
      <w:r w:rsidRPr="00507AB4">
        <w:t xml:space="preserve">été prises en compte dans la résolution du Conseil </w:t>
      </w:r>
      <w:r w:rsidR="00CA7C44">
        <w:t>de sécurité</w:t>
      </w:r>
      <w:r w:rsidRPr="00507AB4">
        <w:t xml:space="preserve"> que le règlement du Conseil est destiné à mettre en œuvre, dans la position commune adoptée le 13 décembre</w:t>
      </w:r>
      <w:r w:rsidR="00320D12" w:rsidRPr="00507AB4">
        <w:t xml:space="preserve"> 2004 (2004/852/CFSP), </w:t>
      </w:r>
      <w:r w:rsidR="00CA7C44">
        <w:t>ainsi que</w:t>
      </w:r>
      <w:r w:rsidRPr="00507AB4">
        <w:t xml:space="preserve"> dans la proposition de règlement. La Commission n’a dès lors par l’intention de présenter une proposition révisée tenant compte de l’avis du Parlement européen</w:t>
      </w:r>
      <w:r w:rsidR="00320D12" w:rsidRPr="00507AB4">
        <w:t>.</w:t>
      </w:r>
    </w:p>
    <w:p w:rsidR="00320D12" w:rsidRPr="00507AB4" w:rsidRDefault="009858C7" w:rsidP="00320D12">
      <w:pPr>
        <w:tabs>
          <w:tab w:val="left" w:pos="1380"/>
        </w:tabs>
      </w:pPr>
      <w:r w:rsidRPr="00507AB4">
        <w:t xml:space="preserve">En même temps, la Commission </w:t>
      </w:r>
      <w:r w:rsidR="006F1CC2" w:rsidRPr="00507AB4">
        <w:t>estime</w:t>
      </w:r>
      <w:r w:rsidRPr="00507AB4">
        <w:t xml:space="preserve"> que l'avis du Parlement </w:t>
      </w:r>
      <w:r w:rsidR="006F1CC2" w:rsidRPr="00507AB4">
        <w:t>met en évidence</w:t>
      </w:r>
      <w:r w:rsidRPr="00507AB4">
        <w:t xml:space="preserve"> l'importance</w:t>
      </w:r>
      <w:r w:rsidR="006F1CC2" w:rsidRPr="00507AB4">
        <w:t xml:space="preserve"> de veiller à ce que les droits individuels et les préoccupations humanitaires soient respectés comme il le faut dans la conception et la mise en œuvre des mesures restrictives visant les personnes. </w:t>
      </w:r>
      <w:r w:rsidR="00CA7C44">
        <w:t xml:space="preserve">Elle </w:t>
      </w:r>
      <w:r w:rsidR="006F1CC2" w:rsidRPr="00507AB4">
        <w:t xml:space="preserve">examinera </w:t>
      </w:r>
      <w:r w:rsidR="00CA7C44">
        <w:t xml:space="preserve">en outre </w:t>
      </w:r>
      <w:r w:rsidR="006F1CC2" w:rsidRPr="00507AB4">
        <w:t xml:space="preserve">– et abordera le cas échéant avec le Conseil – le problème de la conciliation </w:t>
      </w:r>
      <w:r w:rsidR="00CA7C44">
        <w:t>de</w:t>
      </w:r>
      <w:r w:rsidR="006F1CC2" w:rsidRPr="00507AB4">
        <w:t xml:space="preserve"> la mise en œuvre des mesures restrictives </w:t>
      </w:r>
      <w:r w:rsidR="00CA7C44">
        <w:t>et d</w:t>
      </w:r>
      <w:r w:rsidR="006F1CC2" w:rsidRPr="00507AB4">
        <w:t xml:space="preserve">es règles sur la protection des données, à la base de l’un de ces amendements, en vue de traiter éventuellement cette </w:t>
      </w:r>
      <w:r w:rsidR="006F1CC2" w:rsidRPr="00507AB4">
        <w:lastRenderedPageBreak/>
        <w:t>question dans le cadre d’une discussion plus horizontale au sein du Conseil sur la conception de mesures restrictives de ce genre</w:t>
      </w:r>
      <w:r w:rsidR="00320D12" w:rsidRPr="00507AB4">
        <w:t>.</w:t>
      </w:r>
    </w:p>
    <w:p w:rsidR="00320D12" w:rsidRPr="00507AB4" w:rsidRDefault="00320D12" w:rsidP="00320D12">
      <w:pPr>
        <w:tabs>
          <w:tab w:val="left" w:pos="1380"/>
        </w:tabs>
        <w:rPr>
          <w:i/>
        </w:rPr>
      </w:pPr>
      <w:r w:rsidRPr="00507AB4">
        <w:rPr>
          <w:i/>
        </w:rPr>
        <w:t xml:space="preserve">b) </w:t>
      </w:r>
      <w:r w:rsidR="006F1CC2" w:rsidRPr="00507AB4">
        <w:rPr>
          <w:i/>
        </w:rPr>
        <w:t>Observations sur des amendements particuliers</w:t>
      </w:r>
    </w:p>
    <w:p w:rsidR="00320D12" w:rsidRPr="00507AB4" w:rsidRDefault="00320D12" w:rsidP="00320D12">
      <w:pPr>
        <w:tabs>
          <w:tab w:val="left" w:pos="1380"/>
        </w:tabs>
      </w:pPr>
      <w:r w:rsidRPr="00507AB4">
        <w:rPr>
          <w:b/>
        </w:rPr>
        <w:t xml:space="preserve">A) </w:t>
      </w:r>
      <w:r w:rsidR="006F1CC2" w:rsidRPr="00507AB4">
        <w:rPr>
          <w:b/>
        </w:rPr>
        <w:t>Considérants</w:t>
      </w:r>
      <w:r w:rsidRPr="00507AB4">
        <w:rPr>
          <w:b/>
        </w:rPr>
        <w:t xml:space="preserve"> (</w:t>
      </w:r>
      <w:r w:rsidR="006F1CC2" w:rsidRPr="00507AB4">
        <w:rPr>
          <w:b/>
        </w:rPr>
        <w:t>a</w:t>
      </w:r>
      <w:r w:rsidR="00A661B9" w:rsidRPr="00507AB4">
        <w:rPr>
          <w:b/>
        </w:rPr>
        <w:t>mendement</w:t>
      </w:r>
      <w:r w:rsidRPr="00507AB4">
        <w:rPr>
          <w:b/>
        </w:rPr>
        <w:t>s 1-4):</w:t>
      </w:r>
    </w:p>
    <w:p w:rsidR="00320D12" w:rsidRPr="00507AB4" w:rsidRDefault="006F1CC2" w:rsidP="00320D12">
      <w:pPr>
        <w:tabs>
          <w:tab w:val="left" w:pos="1380"/>
        </w:tabs>
      </w:pPr>
      <w:r w:rsidRPr="00507AB4">
        <w:rPr>
          <w:b/>
        </w:rPr>
        <w:t xml:space="preserve">Le Parlement européen </w:t>
      </w:r>
      <w:r w:rsidRPr="00507AB4">
        <w:t>p</w:t>
      </w:r>
      <w:r w:rsidR="00CA7C44">
        <w:t>r</w:t>
      </w:r>
      <w:r w:rsidRPr="00507AB4">
        <w:t>opose d’insérer plusieurs nouveaux considérants faisant référence, entre autres, aux efforts de médiation, à la question d’un référendum sur l</w:t>
      </w:r>
      <w:r w:rsidR="00CA7C44">
        <w:t>a modifica</w:t>
      </w:r>
      <w:r w:rsidR="003B6891">
        <w:t>t</w:t>
      </w:r>
      <w:r w:rsidR="00CA7C44">
        <w:t>ion</w:t>
      </w:r>
      <w:r w:rsidRPr="00507AB4">
        <w:t xml:space="preserve"> de la constitution de la </w:t>
      </w:r>
      <w:r w:rsidR="00320D12" w:rsidRPr="00507AB4">
        <w:t>Côte d’Ivoire</w:t>
      </w:r>
      <w:r w:rsidRPr="00507AB4">
        <w:t>, et aux procédures applicables en vertu de l'accord de partenariat ACP</w:t>
      </w:r>
      <w:r w:rsidR="00CA7C44">
        <w:t>-UE</w:t>
      </w:r>
      <w:r w:rsidR="00320D12" w:rsidRPr="00507AB4">
        <w:t>.</w:t>
      </w:r>
    </w:p>
    <w:p w:rsidR="00320D12" w:rsidRPr="00507AB4" w:rsidRDefault="006F1CC2" w:rsidP="00320D12">
      <w:pPr>
        <w:tabs>
          <w:tab w:val="left" w:pos="1380"/>
        </w:tabs>
      </w:pPr>
      <w:r w:rsidRPr="00507AB4">
        <w:rPr>
          <w:b/>
        </w:rPr>
        <w:t>La</w:t>
      </w:r>
      <w:r w:rsidR="00320D12" w:rsidRPr="00507AB4">
        <w:rPr>
          <w:b/>
        </w:rPr>
        <w:t xml:space="preserve"> Commission </w:t>
      </w:r>
      <w:r w:rsidRPr="00507AB4">
        <w:t>ne peut approuver les amendements proposés par le Parlement, car ils introduiraient des considérations d’ordre politique qui ne se trouvent pas dans la position commune</w:t>
      </w:r>
      <w:r w:rsidR="00320D12" w:rsidRPr="00507AB4">
        <w:t xml:space="preserve"> 2004/852/</w:t>
      </w:r>
      <w:r w:rsidR="00864D79" w:rsidRPr="00507AB4">
        <w:t>PESC du 13 décembre</w:t>
      </w:r>
      <w:r w:rsidR="00320D12" w:rsidRPr="00507AB4">
        <w:t xml:space="preserve"> 2004, n</w:t>
      </w:r>
      <w:r w:rsidR="00864D79" w:rsidRPr="00507AB4">
        <w:t>i dans la résolution du Conseil de sécurité des Nations unies que ce projet de règlement est destiné à mettre en œuvre. La Commission voudrait souligner que cette proposition de règlement a uniquement pour but de mettre en œuvre les dispositions pertinentes de la ré</w:t>
      </w:r>
      <w:r w:rsidR="00320D12" w:rsidRPr="00507AB4">
        <w:t xml:space="preserve">solution 1572 (2004), </w:t>
      </w:r>
      <w:r w:rsidR="00864D79" w:rsidRPr="00507AB4">
        <w:t>et non de procéder à une évaluation d</w:t>
      </w:r>
      <w:r w:rsidR="00CA7C44">
        <w:t>e la situation politique</w:t>
      </w:r>
      <w:r w:rsidR="00864D79" w:rsidRPr="00507AB4">
        <w:t xml:space="preserve"> plus </w:t>
      </w:r>
      <w:r w:rsidR="0089290E">
        <w:t>générale</w:t>
      </w:r>
      <w:r w:rsidR="00864D79" w:rsidRPr="00507AB4">
        <w:t xml:space="preserve"> en</w:t>
      </w:r>
      <w:r w:rsidR="00320D12" w:rsidRPr="00507AB4">
        <w:t xml:space="preserve"> Côte d’Ivoire.</w:t>
      </w:r>
    </w:p>
    <w:p w:rsidR="00320D12" w:rsidRPr="00507AB4" w:rsidRDefault="00320D12" w:rsidP="00320D12">
      <w:pPr>
        <w:tabs>
          <w:tab w:val="left" w:pos="1380"/>
        </w:tabs>
      </w:pPr>
      <w:r w:rsidRPr="00507AB4">
        <w:rPr>
          <w:b/>
        </w:rPr>
        <w:t>B) Proc</w:t>
      </w:r>
      <w:r w:rsidR="0025346C" w:rsidRPr="00507AB4">
        <w:rPr>
          <w:b/>
        </w:rPr>
        <w:t>édure d’établissement de la liste de personnes cibles</w:t>
      </w:r>
      <w:r w:rsidRPr="00507AB4">
        <w:rPr>
          <w:b/>
        </w:rPr>
        <w:t xml:space="preserve"> (</w:t>
      </w:r>
      <w:r w:rsidR="0025346C" w:rsidRPr="00507AB4">
        <w:rPr>
          <w:b/>
        </w:rPr>
        <w:t>a</w:t>
      </w:r>
      <w:r w:rsidR="00A661B9" w:rsidRPr="00507AB4">
        <w:rPr>
          <w:b/>
        </w:rPr>
        <w:t>mendement</w:t>
      </w:r>
      <w:r w:rsidRPr="00507AB4">
        <w:rPr>
          <w:b/>
        </w:rPr>
        <w:t>s 5</w:t>
      </w:r>
      <w:r w:rsidR="0025346C" w:rsidRPr="00507AB4">
        <w:rPr>
          <w:b/>
        </w:rPr>
        <w:t xml:space="preserve"> et 8 à </w:t>
      </w:r>
      <w:r w:rsidRPr="00507AB4">
        <w:rPr>
          <w:b/>
        </w:rPr>
        <w:t>12):</w:t>
      </w:r>
    </w:p>
    <w:p w:rsidR="00320D12" w:rsidRPr="00507AB4" w:rsidRDefault="0025346C" w:rsidP="00320D12">
      <w:pPr>
        <w:tabs>
          <w:tab w:val="left" w:pos="1380"/>
        </w:tabs>
      </w:pPr>
      <w:r w:rsidRPr="00507AB4">
        <w:rPr>
          <w:b/>
        </w:rPr>
        <w:t xml:space="preserve">Le Parlement européen </w:t>
      </w:r>
      <w:r w:rsidRPr="00507AB4">
        <w:t xml:space="preserve">propose de modifier les dispositions d’établissement de la liste de personnes et entités cibles, de façon à ce que cette liste </w:t>
      </w:r>
      <w:r w:rsidR="00005D8E">
        <w:t>soit ét</w:t>
      </w:r>
      <w:r w:rsidRPr="00507AB4">
        <w:t>ablie par la Commission après consultation préalable du Parlement européen</w:t>
      </w:r>
      <w:r w:rsidR="00320D12" w:rsidRPr="00507AB4">
        <w:t>.</w:t>
      </w:r>
    </w:p>
    <w:p w:rsidR="00320D12" w:rsidRPr="00507AB4" w:rsidRDefault="0025346C" w:rsidP="00320D12">
      <w:pPr>
        <w:tabs>
          <w:tab w:val="left" w:pos="1380"/>
        </w:tabs>
      </w:pPr>
      <w:r w:rsidRPr="00507AB4">
        <w:rPr>
          <w:b/>
        </w:rPr>
        <w:t xml:space="preserve">La </w:t>
      </w:r>
      <w:r w:rsidR="00320D12" w:rsidRPr="00507AB4">
        <w:rPr>
          <w:b/>
        </w:rPr>
        <w:t xml:space="preserve">Commission </w:t>
      </w:r>
      <w:r w:rsidRPr="00507AB4">
        <w:t>ne peut pas app</w:t>
      </w:r>
      <w:r w:rsidR="00622D86" w:rsidRPr="00507AB4">
        <w:t xml:space="preserve">rouver les </w:t>
      </w:r>
      <w:r w:rsidR="00A661B9" w:rsidRPr="00507AB4">
        <w:t>amendement</w:t>
      </w:r>
      <w:r w:rsidR="00320D12" w:rsidRPr="00507AB4">
        <w:t>s propos</w:t>
      </w:r>
      <w:r w:rsidR="00622D86" w:rsidRPr="00507AB4">
        <w:t>és par le Parlement étant donné que le seul but de l’habilitation prévue dans le projet de règlement est de permettre à la Commission d</w:t>
      </w:r>
      <w:r w:rsidR="00621E65" w:rsidRPr="00507AB4">
        <w:t>e donner rapidement effet à</w:t>
      </w:r>
      <w:r w:rsidR="00622D86" w:rsidRPr="00507AB4">
        <w:t xml:space="preserve"> n’importe quelle liste </w:t>
      </w:r>
      <w:r w:rsidR="00621E65" w:rsidRPr="00507AB4">
        <w:t xml:space="preserve">publiée par le </w:t>
      </w:r>
      <w:r w:rsidR="002D6E91">
        <w:t>C</w:t>
      </w:r>
      <w:r w:rsidR="00621E65" w:rsidRPr="00507AB4">
        <w:t>omité des sanctions compétent des Nations unies. Ces amendements impliqueraient que la Commission aurait un certain pouvoir d’appréciation du contenu des listes, ce qui n’est pas le cas.</w:t>
      </w:r>
    </w:p>
    <w:p w:rsidR="00320D12" w:rsidRPr="00507AB4" w:rsidRDefault="00320D12" w:rsidP="00320D12">
      <w:pPr>
        <w:tabs>
          <w:tab w:val="left" w:pos="1380"/>
        </w:tabs>
      </w:pPr>
      <w:r w:rsidRPr="00507AB4">
        <w:rPr>
          <w:b/>
        </w:rPr>
        <w:t xml:space="preserve">C) </w:t>
      </w:r>
      <w:r w:rsidR="00621E65" w:rsidRPr="00507AB4">
        <w:rPr>
          <w:b/>
        </w:rPr>
        <w:t xml:space="preserve">Renforcement des dispositions </w:t>
      </w:r>
      <w:r w:rsidR="002D6E91">
        <w:rPr>
          <w:b/>
        </w:rPr>
        <w:t>applicables à</w:t>
      </w:r>
      <w:r w:rsidR="00621E65" w:rsidRPr="00507AB4">
        <w:rPr>
          <w:b/>
        </w:rPr>
        <w:t xml:space="preserve"> la protection des données concernant le règlement (a</w:t>
      </w:r>
      <w:r w:rsidR="00A661B9" w:rsidRPr="00507AB4">
        <w:rPr>
          <w:b/>
        </w:rPr>
        <w:t>mendement</w:t>
      </w:r>
      <w:r w:rsidRPr="00507AB4">
        <w:rPr>
          <w:b/>
        </w:rPr>
        <w:t xml:space="preserve"> 6): </w:t>
      </w:r>
    </w:p>
    <w:p w:rsidR="00320D12" w:rsidRPr="00507AB4" w:rsidRDefault="00621E65" w:rsidP="00320D12">
      <w:pPr>
        <w:tabs>
          <w:tab w:val="left" w:pos="1380"/>
        </w:tabs>
      </w:pPr>
      <w:r w:rsidRPr="00507AB4">
        <w:rPr>
          <w:b/>
        </w:rPr>
        <w:t xml:space="preserve">Le Parlement européen </w:t>
      </w:r>
      <w:r w:rsidRPr="00507AB4">
        <w:t xml:space="preserve">propose de renforcer les restrictions auxquelles </w:t>
      </w:r>
      <w:r w:rsidR="002D6E91">
        <w:t>est</w:t>
      </w:r>
      <w:r w:rsidRPr="00507AB4">
        <w:t xml:space="preserve"> soumise l’utilisation des informations échangées av</w:t>
      </w:r>
      <w:r w:rsidR="0099649F" w:rsidRPr="00507AB4">
        <w:t>ec les autorités nationales compétentes dans la mise en œuvre du règlement.</w:t>
      </w:r>
    </w:p>
    <w:p w:rsidR="00320D12" w:rsidRPr="00507AB4" w:rsidRDefault="0099649F" w:rsidP="00320D12">
      <w:pPr>
        <w:tabs>
          <w:tab w:val="left" w:pos="1380"/>
        </w:tabs>
      </w:pPr>
      <w:r w:rsidRPr="00507AB4">
        <w:rPr>
          <w:b/>
        </w:rPr>
        <w:t>La</w:t>
      </w:r>
      <w:r w:rsidR="00320D12" w:rsidRPr="00507AB4">
        <w:rPr>
          <w:b/>
        </w:rPr>
        <w:t xml:space="preserve"> Commission</w:t>
      </w:r>
      <w:r w:rsidR="00320D12" w:rsidRPr="00507AB4">
        <w:t xml:space="preserve"> </w:t>
      </w:r>
      <w:r w:rsidRPr="00507AB4">
        <w:t xml:space="preserve">ne peut pas accepter l’amendement proposé par le Parlement à ce stade. </w:t>
      </w:r>
      <w:r w:rsidR="002D6E91">
        <w:t xml:space="preserve">Elle </w:t>
      </w:r>
      <w:r w:rsidRPr="00507AB4">
        <w:t>examinera</w:t>
      </w:r>
      <w:r w:rsidR="002D6E91">
        <w:t xml:space="preserve"> toutefois</w:t>
      </w:r>
      <w:r w:rsidRPr="00507AB4">
        <w:t xml:space="preserve"> la question sous-jacente abordée par le Parlement avec cet amendement, et le cas échéant la nécessité d’un éventuel renforcement des dispositions de protection des données dans les mesures législatives similaires à l’avenir</w:t>
      </w:r>
      <w:r w:rsidR="00320D12" w:rsidRPr="00507AB4">
        <w:t>.</w:t>
      </w:r>
    </w:p>
    <w:p w:rsidR="00320D12" w:rsidRPr="00507AB4" w:rsidRDefault="00320D12" w:rsidP="00320D12">
      <w:pPr>
        <w:tabs>
          <w:tab w:val="left" w:pos="1380"/>
        </w:tabs>
      </w:pPr>
      <w:r w:rsidRPr="00507AB4">
        <w:rPr>
          <w:b/>
        </w:rPr>
        <w:t xml:space="preserve">D) </w:t>
      </w:r>
      <w:r w:rsidR="0099649F" w:rsidRPr="00507AB4">
        <w:rPr>
          <w:b/>
        </w:rPr>
        <w:t>Adoption d’une disposition d’indemnisation dans les cas de gel « injuste » (a</w:t>
      </w:r>
      <w:r w:rsidR="00A661B9" w:rsidRPr="00507AB4">
        <w:rPr>
          <w:b/>
        </w:rPr>
        <w:t>mendement</w:t>
      </w:r>
      <w:r w:rsidRPr="00507AB4">
        <w:rPr>
          <w:b/>
        </w:rPr>
        <w:t xml:space="preserve"> 7):</w:t>
      </w:r>
    </w:p>
    <w:p w:rsidR="00320D12" w:rsidRPr="00507AB4" w:rsidRDefault="0099649F" w:rsidP="00320D12">
      <w:pPr>
        <w:tabs>
          <w:tab w:val="left" w:pos="1380"/>
        </w:tabs>
      </w:pPr>
      <w:r w:rsidRPr="00507AB4">
        <w:rPr>
          <w:b/>
        </w:rPr>
        <w:t xml:space="preserve">Le Parlement européen </w:t>
      </w:r>
      <w:r w:rsidRPr="00507AB4">
        <w:t xml:space="preserve">propose d’introduire une disposition d’indemnisation des </w:t>
      </w:r>
      <w:r w:rsidR="002D6E91">
        <w:t>dommages</w:t>
      </w:r>
      <w:r w:rsidRPr="00507AB4">
        <w:t xml:space="preserve"> « injustement » subis par des entités dont </w:t>
      </w:r>
      <w:r w:rsidR="002D6E91">
        <w:t>des</w:t>
      </w:r>
      <w:r w:rsidRPr="00507AB4">
        <w:t xml:space="preserve"> fonds ont été </w:t>
      </w:r>
      <w:r w:rsidR="00C333C6" w:rsidRPr="00507AB4">
        <w:t>ind</w:t>
      </w:r>
      <w:r w:rsidR="002D6E91">
        <w:t>û</w:t>
      </w:r>
      <w:r w:rsidR="00C333C6" w:rsidRPr="00507AB4">
        <w:t>ment</w:t>
      </w:r>
      <w:r w:rsidRPr="00507AB4">
        <w:t xml:space="preserve"> gelés</w:t>
      </w:r>
      <w:r w:rsidR="00320D12" w:rsidRPr="00507AB4">
        <w:t>.</w:t>
      </w:r>
    </w:p>
    <w:p w:rsidR="00320D12" w:rsidRPr="00507AB4" w:rsidRDefault="00C333C6" w:rsidP="00320D12">
      <w:r w:rsidRPr="00507AB4">
        <w:rPr>
          <w:b/>
        </w:rPr>
        <w:lastRenderedPageBreak/>
        <w:t xml:space="preserve">La </w:t>
      </w:r>
      <w:r w:rsidR="00320D12" w:rsidRPr="00507AB4">
        <w:rPr>
          <w:b/>
        </w:rPr>
        <w:t>Commission</w:t>
      </w:r>
      <w:r w:rsidR="00320D12" w:rsidRPr="00507AB4">
        <w:t xml:space="preserve"> </w:t>
      </w:r>
      <w:r w:rsidRPr="00507AB4">
        <w:t>ne peut pas accepter cet amendement proposé par le Parlement étant donné qu’il introduit une disposition non contenue dans la résolution du Conseil de sécurité des Nations unies</w:t>
      </w:r>
      <w:r w:rsidR="002D6E91">
        <w:t>,</w:t>
      </w:r>
      <w:r w:rsidRPr="00507AB4">
        <w:t xml:space="preserve"> que le règlement est destiné à mettre en œuvre. De plus, la disposition proposée ne semble pas nécessaire puisque les a</w:t>
      </w:r>
      <w:r w:rsidR="00320D12" w:rsidRPr="00507AB4">
        <w:t xml:space="preserve">rticles 235 </w:t>
      </w:r>
      <w:r w:rsidRPr="00507AB4">
        <w:t>et</w:t>
      </w:r>
      <w:r w:rsidR="00320D12" w:rsidRPr="00507AB4">
        <w:t xml:space="preserve"> 288 </w:t>
      </w:r>
      <w:r w:rsidR="00A661B9" w:rsidRPr="00507AB4">
        <w:t>du traité CE</w:t>
      </w:r>
      <w:r w:rsidR="00320D12" w:rsidRPr="00507AB4">
        <w:t xml:space="preserve"> </w:t>
      </w:r>
      <w:r w:rsidRPr="00507AB4">
        <w:t>traitent la responsabilité non contractuelle</w:t>
      </w:r>
      <w:r w:rsidR="008A2825" w:rsidRPr="00507AB4">
        <w:t xml:space="preserve"> de la Communauté d</w:t>
      </w:r>
      <w:r w:rsidR="002D6E91">
        <w:t>’une</w:t>
      </w:r>
      <w:r w:rsidR="008A2825" w:rsidRPr="00507AB4">
        <w:t xml:space="preserve"> manière générale.</w:t>
      </w:r>
    </w:p>
    <w:p w:rsidR="00320D12" w:rsidRPr="00507AB4" w:rsidRDefault="00320D12" w:rsidP="00320D12">
      <w:pPr>
        <w:rPr>
          <w:b/>
        </w:rPr>
      </w:pPr>
      <w:r w:rsidRPr="00507AB4">
        <w:rPr>
          <w:b/>
        </w:rPr>
        <w:t>9.</w:t>
      </w:r>
      <w:r w:rsidRPr="00507AB4">
        <w:rPr>
          <w:b/>
        </w:rPr>
        <w:tab/>
      </w:r>
      <w:r w:rsidR="003325F5" w:rsidRPr="00507AB4">
        <w:rPr>
          <w:b/>
        </w:rPr>
        <w:t>Prévisions quant à la modification de la proposition</w:t>
      </w:r>
      <w:r w:rsidRPr="00507AB4">
        <w:rPr>
          <w:b/>
        </w:rPr>
        <w:t>:</w:t>
      </w:r>
    </w:p>
    <w:p w:rsidR="00320D12" w:rsidRPr="00507AB4" w:rsidRDefault="003325F5" w:rsidP="00320D12">
      <w:r w:rsidRPr="00507AB4">
        <w:t>La</w:t>
      </w:r>
      <w:r w:rsidR="00320D12" w:rsidRPr="00507AB4">
        <w:t xml:space="preserve"> Commission </w:t>
      </w:r>
      <w:r w:rsidRPr="00507AB4">
        <w:t>n’a pas l’intention de modifier sa</w:t>
      </w:r>
      <w:r w:rsidR="00320D12" w:rsidRPr="00507AB4">
        <w:t xml:space="preserve"> </w:t>
      </w:r>
      <w:r w:rsidR="00C84DFD" w:rsidRPr="00507AB4">
        <w:t>proposition</w:t>
      </w:r>
      <w:r w:rsidR="00320D12" w:rsidRPr="00507AB4">
        <w:t>.</w:t>
      </w:r>
    </w:p>
    <w:p w:rsidR="00320D12" w:rsidRPr="00507AB4" w:rsidRDefault="00320D12" w:rsidP="00320D12">
      <w:pPr>
        <w:rPr>
          <w:b/>
        </w:rPr>
      </w:pPr>
      <w:r w:rsidRPr="00507AB4">
        <w:rPr>
          <w:b/>
        </w:rPr>
        <w:t>10.</w:t>
      </w:r>
      <w:r w:rsidRPr="00507AB4">
        <w:rPr>
          <w:b/>
        </w:rPr>
        <w:tab/>
      </w:r>
      <w:r w:rsidR="003325F5" w:rsidRPr="00507AB4">
        <w:rPr>
          <w:b/>
        </w:rPr>
        <w:t>Prévisions quant à l’adoption de la proposition</w:t>
      </w:r>
      <w:r w:rsidRPr="00507AB4">
        <w:rPr>
          <w:b/>
        </w:rPr>
        <w:t>:</w:t>
      </w:r>
    </w:p>
    <w:p w:rsidR="00320D12" w:rsidRPr="00507AB4" w:rsidRDefault="003325F5" w:rsidP="00320D12">
      <w:r w:rsidRPr="00507AB4">
        <w:t>Le Conseil devrait adopter formellement la proposition en avril</w:t>
      </w:r>
      <w:r w:rsidR="00320D12" w:rsidRPr="00507AB4">
        <w:t xml:space="preserve"> 2005.</w:t>
      </w:r>
    </w:p>
    <w:p w:rsidR="00C345D1" w:rsidRPr="00507AB4" w:rsidRDefault="00E07C66" w:rsidP="00C345D1">
      <w:pPr>
        <w:spacing w:before="100" w:beforeAutospacing="1" w:after="100" w:afterAutospacing="1"/>
      </w:pPr>
      <w:r w:rsidRPr="00507AB4">
        <w:br w:type="page"/>
      </w:r>
    </w:p>
    <w:p w:rsidR="00557DE1" w:rsidRPr="00507AB4" w:rsidRDefault="00557DE1"/>
    <w:p w:rsidR="0063420F" w:rsidRPr="00507AB4" w:rsidRDefault="0063420F">
      <w:pPr>
        <w:jc w:val="center"/>
        <w:rPr>
          <w:b/>
          <w:sz w:val="48"/>
        </w:rPr>
      </w:pPr>
    </w:p>
    <w:p w:rsidR="0063420F" w:rsidRPr="00507AB4" w:rsidRDefault="0063420F">
      <w:pPr>
        <w:jc w:val="center"/>
        <w:rPr>
          <w:b/>
          <w:sz w:val="48"/>
        </w:rPr>
      </w:pPr>
    </w:p>
    <w:p w:rsidR="0063420F" w:rsidRPr="00507AB4" w:rsidRDefault="0063420F">
      <w:pPr>
        <w:jc w:val="center"/>
        <w:rPr>
          <w:b/>
          <w:sz w:val="48"/>
        </w:rPr>
      </w:pPr>
    </w:p>
    <w:p w:rsidR="0063420F" w:rsidRPr="00507AB4" w:rsidRDefault="0063420F">
      <w:pPr>
        <w:jc w:val="center"/>
        <w:rPr>
          <w:b/>
          <w:sz w:val="48"/>
        </w:rPr>
      </w:pPr>
    </w:p>
    <w:p w:rsidR="0063420F" w:rsidRPr="00507AB4" w:rsidRDefault="0063420F">
      <w:pPr>
        <w:jc w:val="center"/>
        <w:rPr>
          <w:b/>
          <w:sz w:val="48"/>
        </w:rPr>
      </w:pPr>
    </w:p>
    <w:p w:rsidR="0063420F" w:rsidRPr="00507AB4" w:rsidRDefault="0063420F">
      <w:pPr>
        <w:jc w:val="center"/>
        <w:rPr>
          <w:b/>
          <w:sz w:val="48"/>
        </w:rPr>
      </w:pPr>
      <w:r w:rsidRPr="00507AB4">
        <w:rPr>
          <w:b/>
          <w:sz w:val="48"/>
        </w:rPr>
        <w:t>Deuxième partie</w:t>
      </w:r>
      <w:r w:rsidRPr="00507AB4">
        <w:rPr>
          <w:b/>
          <w:sz w:val="48"/>
        </w:rPr>
        <w:br/>
        <w:t xml:space="preserve">Résolutions </w:t>
      </w:r>
      <w:r w:rsidR="00D33A51" w:rsidRPr="00507AB4">
        <w:rPr>
          <w:b/>
          <w:sz w:val="48"/>
        </w:rPr>
        <w:t>non législatives</w:t>
      </w:r>
    </w:p>
    <w:p w:rsidR="0063420F" w:rsidRPr="00507AB4" w:rsidRDefault="0063420F">
      <w:pPr>
        <w:spacing w:after="0"/>
        <w:jc w:val="center"/>
      </w:pPr>
      <w:r w:rsidRPr="00507AB4">
        <w:br w:type="page"/>
      </w:r>
    </w:p>
    <w:p w:rsidR="00290435" w:rsidRPr="00507AB4" w:rsidRDefault="00290435">
      <w:pPr>
        <w:spacing w:after="0"/>
        <w:jc w:val="center"/>
        <w:rPr>
          <w:sz w:val="22"/>
        </w:rPr>
      </w:pPr>
    </w:p>
    <w:p w:rsidR="0063420F" w:rsidRPr="00507AB4" w:rsidRDefault="0063420F">
      <w:pPr>
        <w:spacing w:after="0"/>
        <w:jc w:val="center"/>
        <w:rPr>
          <w:b/>
          <w:sz w:val="22"/>
          <w:u w:val="single"/>
        </w:rPr>
      </w:pPr>
      <w:r w:rsidRPr="00507AB4">
        <w:rPr>
          <w:b/>
          <w:sz w:val="22"/>
        </w:rPr>
        <w:t xml:space="preserve">LA COMMISSION ENTEND </w:t>
      </w:r>
      <w:r w:rsidR="00E07C66" w:rsidRPr="00507AB4">
        <w:rPr>
          <w:b/>
          <w:sz w:val="22"/>
        </w:rPr>
        <w:t xml:space="preserve">NE PAS </w:t>
      </w:r>
      <w:r w:rsidRPr="00507AB4">
        <w:rPr>
          <w:b/>
          <w:sz w:val="22"/>
        </w:rPr>
        <w:t xml:space="preserve">DONNER UNE SUITE </w:t>
      </w:r>
      <w:r w:rsidR="00D33A51" w:rsidRPr="00507AB4">
        <w:rPr>
          <w:b/>
          <w:sz w:val="22"/>
        </w:rPr>
        <w:t xml:space="preserve">SOUS FORME DE FICHE </w:t>
      </w:r>
      <w:r w:rsidRPr="00507AB4">
        <w:rPr>
          <w:b/>
          <w:sz w:val="22"/>
        </w:rPr>
        <w:t xml:space="preserve">AUX RESOLUTIONS </w:t>
      </w:r>
      <w:r w:rsidR="00D33A51" w:rsidRPr="00507AB4">
        <w:rPr>
          <w:b/>
          <w:sz w:val="22"/>
        </w:rPr>
        <w:t>NON LEGISLATIVES</w:t>
      </w:r>
      <w:r w:rsidRPr="00507AB4">
        <w:rPr>
          <w:b/>
          <w:sz w:val="22"/>
        </w:rPr>
        <w:t xml:space="preserve"> SUIVANTES, ADOPTEES PAR LE PARLEMENT EUROPEEN AU COURS DE</w:t>
      </w:r>
      <w:r w:rsidR="00FE59C7" w:rsidRPr="00507AB4">
        <w:rPr>
          <w:b/>
          <w:sz w:val="22"/>
        </w:rPr>
        <w:t xml:space="preserve"> LA</w:t>
      </w:r>
      <w:r w:rsidR="00E83B32" w:rsidRPr="00507AB4">
        <w:rPr>
          <w:b/>
          <w:sz w:val="22"/>
        </w:rPr>
        <w:t xml:space="preserve"> </w:t>
      </w:r>
      <w:r w:rsidRPr="00507AB4">
        <w:rPr>
          <w:b/>
          <w:sz w:val="22"/>
        </w:rPr>
        <w:t>SESSION</w:t>
      </w:r>
      <w:r w:rsidR="00290435" w:rsidRPr="00507AB4">
        <w:rPr>
          <w:b/>
          <w:sz w:val="22"/>
        </w:rPr>
        <w:t xml:space="preserve"> </w:t>
      </w:r>
      <w:r w:rsidRPr="00507AB4">
        <w:rPr>
          <w:b/>
          <w:caps/>
          <w:sz w:val="22"/>
        </w:rPr>
        <w:t>D</w:t>
      </w:r>
      <w:r w:rsidR="00E83B32" w:rsidRPr="00507AB4">
        <w:rPr>
          <w:b/>
          <w:caps/>
          <w:sz w:val="22"/>
        </w:rPr>
        <w:t xml:space="preserve">E </w:t>
      </w:r>
      <w:r w:rsidR="00FE59C7" w:rsidRPr="00507AB4">
        <w:rPr>
          <w:b/>
          <w:caps/>
          <w:sz w:val="22"/>
        </w:rPr>
        <w:t>FEVRIER</w:t>
      </w:r>
      <w:r w:rsidRPr="00507AB4">
        <w:rPr>
          <w:b/>
          <w:caps/>
          <w:sz w:val="22"/>
        </w:rPr>
        <w:t xml:space="preserve"> </w:t>
      </w:r>
      <w:r w:rsidRPr="00507AB4">
        <w:rPr>
          <w:b/>
          <w:sz w:val="22"/>
        </w:rPr>
        <w:t>200</w:t>
      </w:r>
      <w:r w:rsidR="0050495B" w:rsidRPr="00507AB4">
        <w:rPr>
          <w:b/>
          <w:sz w:val="22"/>
        </w:rPr>
        <w:t>5</w:t>
      </w:r>
    </w:p>
    <w:p w:rsidR="00E06C80" w:rsidRPr="00507AB4" w:rsidRDefault="00E06C80">
      <w:pPr>
        <w:spacing w:after="0"/>
        <w:rPr>
          <w:sz w:val="22"/>
        </w:rPr>
      </w:pPr>
    </w:p>
    <w:p w:rsidR="00B37C2F" w:rsidRPr="00507AB4" w:rsidRDefault="00B37C2F">
      <w:pPr>
        <w:spacing w:after="0"/>
        <w:rPr>
          <w:sz w:val="22"/>
        </w:rPr>
      </w:pPr>
    </w:p>
    <w:p w:rsidR="00020EAF" w:rsidRPr="00507AB4" w:rsidRDefault="00020EAF">
      <w:pPr>
        <w:spacing w:after="0"/>
        <w:rPr>
          <w:sz w:val="22"/>
        </w:rPr>
      </w:pPr>
    </w:p>
    <w:p w:rsidR="00020EAF" w:rsidRPr="00507AB4" w:rsidRDefault="00020EAF" w:rsidP="00020EAF">
      <w:pPr>
        <w:spacing w:after="0"/>
        <w:rPr>
          <w:sz w:val="22"/>
          <w:szCs w:val="22"/>
        </w:rPr>
      </w:pPr>
      <w:r w:rsidRPr="00507AB4">
        <w:rPr>
          <w:sz w:val="22"/>
          <w:szCs w:val="22"/>
        </w:rPr>
        <w:t>-</w:t>
      </w:r>
      <w:r w:rsidRPr="00507AB4">
        <w:rPr>
          <w:sz w:val="22"/>
          <w:szCs w:val="22"/>
        </w:rPr>
        <w:tab/>
        <w:t>Résolution du Parlement européen sur la situation de l'économie européenne - rapport préparatoire sur les grandes orientations des politiques économiques</w:t>
      </w:r>
    </w:p>
    <w:p w:rsidR="00020EAF" w:rsidRPr="00507AB4" w:rsidRDefault="00020EAF" w:rsidP="00020EAF">
      <w:pPr>
        <w:spacing w:after="0"/>
        <w:rPr>
          <w:sz w:val="22"/>
          <w:szCs w:val="22"/>
        </w:rPr>
      </w:pPr>
      <w:r w:rsidRPr="00507AB4">
        <w:rPr>
          <w:sz w:val="22"/>
          <w:szCs w:val="22"/>
          <w:u w:val="single"/>
        </w:rPr>
        <w:t>Rapport de Robert GOEBBELS</w:t>
      </w:r>
      <w:r w:rsidRPr="00507AB4">
        <w:rPr>
          <w:sz w:val="22"/>
          <w:szCs w:val="22"/>
        </w:rPr>
        <w:t xml:space="preserve"> (PE : A6-0026/05)</w:t>
      </w:r>
    </w:p>
    <w:p w:rsidR="00020EAF" w:rsidRPr="00507AB4" w:rsidRDefault="00020EAF" w:rsidP="00020EAF">
      <w:pPr>
        <w:spacing w:after="0"/>
        <w:rPr>
          <w:sz w:val="22"/>
          <w:szCs w:val="22"/>
        </w:rPr>
      </w:pPr>
      <w:r w:rsidRPr="00507AB4">
        <w:rPr>
          <w:sz w:val="22"/>
          <w:szCs w:val="22"/>
        </w:rPr>
        <w:t>Procès verbal, 2ème partie, du 22 février 2005</w:t>
      </w:r>
    </w:p>
    <w:p w:rsidR="00020EAF" w:rsidRPr="00507AB4" w:rsidRDefault="00020EAF" w:rsidP="00020EAF">
      <w:pPr>
        <w:spacing w:after="0"/>
        <w:rPr>
          <w:sz w:val="22"/>
          <w:szCs w:val="22"/>
        </w:rPr>
      </w:pPr>
      <w:r w:rsidRPr="00507AB4">
        <w:rPr>
          <w:sz w:val="22"/>
          <w:szCs w:val="22"/>
        </w:rPr>
        <w:t>Compétence :</w:t>
      </w:r>
      <w:r w:rsidRPr="00507AB4">
        <w:rPr>
          <w:sz w:val="22"/>
          <w:szCs w:val="22"/>
        </w:rPr>
        <w:tab/>
        <w:t>Joaquin ALMUNIA</w:t>
      </w:r>
    </w:p>
    <w:p w:rsidR="00020EAF" w:rsidRPr="00507AB4" w:rsidRDefault="00020EAF" w:rsidP="00020EAF">
      <w:pPr>
        <w:spacing w:after="0"/>
        <w:rPr>
          <w:sz w:val="22"/>
          <w:szCs w:val="22"/>
        </w:rPr>
      </w:pPr>
      <w:r w:rsidRPr="00507AB4">
        <w:rPr>
          <w:sz w:val="22"/>
          <w:szCs w:val="22"/>
        </w:rPr>
        <w:tab/>
      </w:r>
      <w:r w:rsidRPr="00507AB4">
        <w:rPr>
          <w:sz w:val="22"/>
          <w:szCs w:val="22"/>
        </w:rPr>
        <w:tab/>
        <w:t>DG affaires économiques et financières</w:t>
      </w:r>
    </w:p>
    <w:p w:rsidR="00FB6809" w:rsidRPr="00507AB4" w:rsidRDefault="00020EAF" w:rsidP="00FB6809">
      <w:pPr>
        <w:spacing w:after="0"/>
        <w:rPr>
          <w:sz w:val="22"/>
          <w:szCs w:val="22"/>
        </w:rPr>
      </w:pPr>
      <w:r w:rsidRPr="00507AB4">
        <w:rPr>
          <w:b/>
          <w:sz w:val="22"/>
        </w:rPr>
        <w:t>Justification</w:t>
      </w:r>
      <w:r w:rsidRPr="00507AB4">
        <w:rPr>
          <w:sz w:val="22"/>
        </w:rPr>
        <w:t>:</w:t>
      </w:r>
      <w:r w:rsidRPr="00507AB4">
        <w:rPr>
          <w:sz w:val="22"/>
        </w:rPr>
        <w:tab/>
      </w:r>
      <w:r w:rsidR="00356FAB" w:rsidRPr="00507AB4">
        <w:rPr>
          <w:sz w:val="22"/>
        </w:rPr>
        <w:t>La</w:t>
      </w:r>
      <w:r w:rsidR="00FB6809" w:rsidRPr="00507AB4">
        <w:rPr>
          <w:iCs/>
          <w:sz w:val="22"/>
          <w:szCs w:val="22"/>
        </w:rPr>
        <w:t xml:space="preserve"> Commission </w:t>
      </w:r>
      <w:r w:rsidR="00356FAB" w:rsidRPr="00507AB4">
        <w:rPr>
          <w:iCs/>
          <w:sz w:val="22"/>
          <w:szCs w:val="22"/>
        </w:rPr>
        <w:t xml:space="preserve">se félicite que le PE ait adopté un rapport préparatoire avant la recommandation de la Commission </w:t>
      </w:r>
      <w:r w:rsidR="00AE6065" w:rsidRPr="00507AB4">
        <w:rPr>
          <w:iCs/>
          <w:sz w:val="22"/>
          <w:szCs w:val="22"/>
        </w:rPr>
        <w:t xml:space="preserve">pour les grandes orientations de politique économique (GOPE). Dans l’ensemble, la Commission est largement </w:t>
      </w:r>
      <w:r w:rsidR="002D6E91">
        <w:rPr>
          <w:iCs/>
          <w:sz w:val="22"/>
          <w:szCs w:val="22"/>
        </w:rPr>
        <w:t>d’</w:t>
      </w:r>
      <w:r w:rsidR="00AE6065" w:rsidRPr="00507AB4">
        <w:rPr>
          <w:iCs/>
          <w:sz w:val="22"/>
          <w:szCs w:val="22"/>
        </w:rPr>
        <w:t xml:space="preserve">accord avec les principaux points abordés dans la résolution du Parlement. Sur les points de </w:t>
      </w:r>
      <w:r w:rsidR="002D6E91">
        <w:rPr>
          <w:iCs/>
          <w:sz w:val="22"/>
          <w:szCs w:val="22"/>
        </w:rPr>
        <w:t>fond</w:t>
      </w:r>
      <w:r w:rsidR="00AE6065" w:rsidRPr="00507AB4">
        <w:rPr>
          <w:iCs/>
          <w:sz w:val="22"/>
          <w:szCs w:val="22"/>
        </w:rPr>
        <w:t xml:space="preserve"> concernant les politiques économiques, la Commission fera connaître ses avis dans les prochaines GOPE</w:t>
      </w:r>
      <w:r w:rsidR="00FB6809" w:rsidRPr="00507AB4">
        <w:rPr>
          <w:iCs/>
          <w:sz w:val="22"/>
          <w:szCs w:val="22"/>
        </w:rPr>
        <w:t>.</w:t>
      </w:r>
    </w:p>
    <w:p w:rsidR="00E632AF" w:rsidRPr="00507AB4" w:rsidRDefault="00E632AF">
      <w:pPr>
        <w:spacing w:after="0"/>
        <w:rPr>
          <w:sz w:val="22"/>
        </w:rPr>
      </w:pPr>
    </w:p>
    <w:p w:rsidR="00FB6809" w:rsidRPr="00507AB4" w:rsidRDefault="00FB6809">
      <w:pPr>
        <w:spacing w:after="0"/>
        <w:rPr>
          <w:sz w:val="22"/>
        </w:rPr>
      </w:pPr>
    </w:p>
    <w:p w:rsidR="00B37C2F" w:rsidRPr="00507AB4" w:rsidRDefault="00B37C2F" w:rsidP="00B37C2F">
      <w:pPr>
        <w:spacing w:after="0"/>
        <w:rPr>
          <w:sz w:val="22"/>
          <w:szCs w:val="22"/>
        </w:rPr>
      </w:pPr>
      <w:r w:rsidRPr="00507AB4">
        <w:rPr>
          <w:sz w:val="22"/>
          <w:szCs w:val="22"/>
        </w:rPr>
        <w:t>-</w:t>
      </w:r>
      <w:r w:rsidRPr="00507AB4">
        <w:rPr>
          <w:sz w:val="22"/>
          <w:szCs w:val="22"/>
        </w:rPr>
        <w:tab/>
        <w:t>Résolution du Parlement européen sur le Togo</w:t>
      </w:r>
    </w:p>
    <w:p w:rsidR="00B37C2F" w:rsidRPr="00507AB4" w:rsidRDefault="00B37C2F" w:rsidP="00B37C2F">
      <w:pPr>
        <w:spacing w:after="0"/>
        <w:rPr>
          <w:sz w:val="22"/>
          <w:szCs w:val="22"/>
        </w:rPr>
      </w:pPr>
      <w:r w:rsidRPr="00507AB4">
        <w:rPr>
          <w:sz w:val="22"/>
          <w:szCs w:val="22"/>
        </w:rPr>
        <w:t>(PE : B6-0126/05)</w:t>
      </w:r>
    </w:p>
    <w:p w:rsidR="00B37C2F" w:rsidRPr="00507AB4" w:rsidRDefault="00B37C2F" w:rsidP="00B37C2F">
      <w:pPr>
        <w:spacing w:after="0"/>
        <w:rPr>
          <w:sz w:val="22"/>
          <w:szCs w:val="22"/>
        </w:rPr>
      </w:pPr>
      <w:r w:rsidRPr="00507AB4">
        <w:rPr>
          <w:sz w:val="22"/>
          <w:szCs w:val="22"/>
        </w:rPr>
        <w:t>Procès verbal, 2ème partie, du 24 février 2005</w:t>
      </w:r>
    </w:p>
    <w:p w:rsidR="00B37C2F" w:rsidRPr="00507AB4" w:rsidRDefault="00B37C2F" w:rsidP="00B37C2F">
      <w:pPr>
        <w:spacing w:after="0"/>
        <w:rPr>
          <w:sz w:val="22"/>
          <w:szCs w:val="22"/>
        </w:rPr>
      </w:pPr>
      <w:r w:rsidRPr="00507AB4">
        <w:rPr>
          <w:sz w:val="22"/>
          <w:szCs w:val="22"/>
        </w:rPr>
        <w:t xml:space="preserve">Compétence : </w:t>
      </w:r>
      <w:r w:rsidRPr="00507AB4">
        <w:rPr>
          <w:sz w:val="22"/>
          <w:szCs w:val="22"/>
        </w:rPr>
        <w:tab/>
        <w:t>Louis MICHEL</w:t>
      </w:r>
      <w:r w:rsidR="00CC1949" w:rsidRPr="00507AB4">
        <w:rPr>
          <w:sz w:val="22"/>
          <w:szCs w:val="22"/>
        </w:rPr>
        <w:t>, Benita FERRERO-WALDNER</w:t>
      </w:r>
    </w:p>
    <w:p w:rsidR="00A35744" w:rsidRPr="00507AB4" w:rsidRDefault="00B37C2F" w:rsidP="00B37C2F">
      <w:pPr>
        <w:spacing w:after="0"/>
        <w:rPr>
          <w:sz w:val="22"/>
          <w:szCs w:val="22"/>
        </w:rPr>
      </w:pPr>
      <w:r w:rsidRPr="00507AB4">
        <w:rPr>
          <w:sz w:val="22"/>
          <w:szCs w:val="22"/>
        </w:rPr>
        <w:tab/>
      </w:r>
      <w:r w:rsidRPr="00507AB4">
        <w:rPr>
          <w:sz w:val="22"/>
          <w:szCs w:val="22"/>
        </w:rPr>
        <w:tab/>
        <w:t>DG Développement</w:t>
      </w:r>
      <w:r w:rsidR="00CC1949" w:rsidRPr="00507AB4">
        <w:rPr>
          <w:sz w:val="22"/>
          <w:szCs w:val="22"/>
        </w:rPr>
        <w:t>, DG Relations extérieures</w:t>
      </w:r>
    </w:p>
    <w:p w:rsidR="00B37C2F" w:rsidRPr="00507AB4" w:rsidRDefault="00B37C2F" w:rsidP="00B37C2F">
      <w:pPr>
        <w:spacing w:after="0"/>
        <w:rPr>
          <w:sz w:val="22"/>
          <w:szCs w:val="22"/>
        </w:rPr>
      </w:pPr>
      <w:r w:rsidRPr="00507AB4">
        <w:rPr>
          <w:b/>
          <w:sz w:val="22"/>
        </w:rPr>
        <w:t>Justification</w:t>
      </w:r>
      <w:r w:rsidRPr="00507AB4">
        <w:rPr>
          <w:sz w:val="22"/>
        </w:rPr>
        <w:t> :</w:t>
      </w:r>
      <w:r w:rsidRPr="00507AB4">
        <w:rPr>
          <w:sz w:val="22"/>
        </w:rPr>
        <w:tab/>
      </w:r>
      <w:r w:rsidRPr="00507AB4">
        <w:rPr>
          <w:sz w:val="22"/>
          <w:szCs w:val="22"/>
        </w:rPr>
        <w:t>La Commission ne donnera pas suite sous forme de fiche étant donné que le Commissaire, Mme Reding, a déjà répondu en plénière aux demandes contenues dans la résolution.</w:t>
      </w:r>
    </w:p>
    <w:p w:rsidR="00E632AF" w:rsidRPr="00507AB4" w:rsidRDefault="00E632AF">
      <w:pPr>
        <w:spacing w:after="0"/>
        <w:rPr>
          <w:sz w:val="22"/>
        </w:rPr>
      </w:pPr>
    </w:p>
    <w:p w:rsidR="003E4E23" w:rsidRPr="00507AB4" w:rsidRDefault="003E4E23" w:rsidP="00C621EB">
      <w:pPr>
        <w:spacing w:after="0"/>
        <w:rPr>
          <w:sz w:val="22"/>
          <w:szCs w:val="22"/>
        </w:rPr>
      </w:pPr>
    </w:p>
    <w:p w:rsidR="00E632AF" w:rsidRPr="00507AB4" w:rsidRDefault="00E632AF" w:rsidP="00E632AF">
      <w:pPr>
        <w:spacing w:after="0"/>
        <w:rPr>
          <w:sz w:val="22"/>
          <w:szCs w:val="22"/>
        </w:rPr>
      </w:pPr>
      <w:r w:rsidRPr="00507AB4">
        <w:rPr>
          <w:sz w:val="22"/>
          <w:szCs w:val="22"/>
        </w:rPr>
        <w:t>-</w:t>
      </w:r>
      <w:r w:rsidRPr="00507AB4">
        <w:rPr>
          <w:sz w:val="22"/>
          <w:szCs w:val="22"/>
        </w:rPr>
        <w:tab/>
        <w:t>Résolution du Parlement européen sur le Népal</w:t>
      </w:r>
    </w:p>
    <w:p w:rsidR="00E632AF" w:rsidRPr="00507AB4" w:rsidRDefault="00E632AF" w:rsidP="00E632AF">
      <w:pPr>
        <w:spacing w:after="0"/>
        <w:rPr>
          <w:sz w:val="22"/>
          <w:szCs w:val="22"/>
        </w:rPr>
      </w:pPr>
      <w:r w:rsidRPr="00507AB4">
        <w:rPr>
          <w:sz w:val="22"/>
          <w:szCs w:val="22"/>
        </w:rPr>
        <w:t>(PE : B6-0130/05)</w:t>
      </w:r>
    </w:p>
    <w:p w:rsidR="00E632AF" w:rsidRPr="00507AB4" w:rsidRDefault="00E632AF" w:rsidP="00E632AF">
      <w:pPr>
        <w:spacing w:after="0"/>
        <w:rPr>
          <w:sz w:val="22"/>
          <w:szCs w:val="22"/>
        </w:rPr>
      </w:pPr>
      <w:r w:rsidRPr="00507AB4">
        <w:rPr>
          <w:sz w:val="22"/>
          <w:szCs w:val="22"/>
        </w:rPr>
        <w:t>Procès verbal, 2ème partie, du 24 février 2005</w:t>
      </w:r>
    </w:p>
    <w:p w:rsidR="00E632AF" w:rsidRPr="00507AB4" w:rsidRDefault="00E632AF" w:rsidP="00E632AF">
      <w:pPr>
        <w:spacing w:after="0"/>
        <w:rPr>
          <w:sz w:val="22"/>
          <w:szCs w:val="22"/>
        </w:rPr>
      </w:pPr>
      <w:r w:rsidRPr="00507AB4">
        <w:rPr>
          <w:sz w:val="22"/>
          <w:szCs w:val="22"/>
        </w:rPr>
        <w:t>Compétence :</w:t>
      </w:r>
      <w:r w:rsidRPr="00507AB4">
        <w:rPr>
          <w:sz w:val="22"/>
          <w:szCs w:val="22"/>
        </w:rPr>
        <w:tab/>
        <w:t>Benita FERRERO-WALDNER</w:t>
      </w:r>
    </w:p>
    <w:p w:rsidR="00E632AF" w:rsidRPr="00507AB4" w:rsidRDefault="00E632AF" w:rsidP="00E632AF">
      <w:pPr>
        <w:spacing w:after="0"/>
        <w:rPr>
          <w:sz w:val="22"/>
          <w:szCs w:val="22"/>
        </w:rPr>
      </w:pPr>
      <w:r w:rsidRPr="00507AB4">
        <w:rPr>
          <w:sz w:val="22"/>
          <w:szCs w:val="22"/>
        </w:rPr>
        <w:tab/>
      </w:r>
      <w:r w:rsidRPr="00507AB4">
        <w:rPr>
          <w:sz w:val="22"/>
          <w:szCs w:val="22"/>
        </w:rPr>
        <w:tab/>
        <w:t>DG Relations extérieures</w:t>
      </w:r>
    </w:p>
    <w:p w:rsidR="00E632AF" w:rsidRPr="00507AB4" w:rsidRDefault="00E632AF" w:rsidP="00E632AF">
      <w:pPr>
        <w:spacing w:after="0"/>
        <w:rPr>
          <w:sz w:val="22"/>
          <w:szCs w:val="22"/>
        </w:rPr>
      </w:pPr>
      <w:r w:rsidRPr="00507AB4">
        <w:rPr>
          <w:b/>
          <w:sz w:val="22"/>
          <w:szCs w:val="22"/>
        </w:rPr>
        <w:t>J</w:t>
      </w:r>
      <w:r w:rsidR="006F0CB0" w:rsidRPr="00507AB4">
        <w:rPr>
          <w:b/>
          <w:sz w:val="22"/>
          <w:szCs w:val="22"/>
        </w:rPr>
        <w:t>ustification</w:t>
      </w:r>
      <w:r w:rsidRPr="00507AB4">
        <w:rPr>
          <w:sz w:val="22"/>
          <w:szCs w:val="22"/>
        </w:rPr>
        <w:t> :</w:t>
      </w:r>
      <w:r w:rsidRPr="00507AB4">
        <w:rPr>
          <w:sz w:val="22"/>
          <w:szCs w:val="22"/>
        </w:rPr>
        <w:tab/>
      </w:r>
      <w:r w:rsidR="006F0CB0" w:rsidRPr="00507AB4">
        <w:rPr>
          <w:sz w:val="22"/>
          <w:szCs w:val="22"/>
        </w:rPr>
        <w:t xml:space="preserve">La Commission ne donnera pas suite sous forme de fiche étant donné que le Commissaire, Mme </w:t>
      </w:r>
      <w:r w:rsidR="00F33EA6" w:rsidRPr="00507AB4">
        <w:rPr>
          <w:sz w:val="22"/>
          <w:szCs w:val="22"/>
        </w:rPr>
        <w:t>Reding</w:t>
      </w:r>
      <w:r w:rsidR="006F0CB0" w:rsidRPr="00507AB4">
        <w:rPr>
          <w:sz w:val="22"/>
          <w:szCs w:val="22"/>
        </w:rPr>
        <w:t>, a déjà répondu en plénière aux demandes contenues dans la résolution.</w:t>
      </w:r>
    </w:p>
    <w:p w:rsidR="00E632AF" w:rsidRPr="00507AB4" w:rsidRDefault="00E632AF" w:rsidP="00C621EB">
      <w:pPr>
        <w:spacing w:after="0"/>
        <w:rPr>
          <w:sz w:val="22"/>
          <w:szCs w:val="22"/>
        </w:rPr>
      </w:pPr>
    </w:p>
    <w:p w:rsidR="00136AD1" w:rsidRPr="00507AB4" w:rsidRDefault="00136AD1" w:rsidP="00BE0809">
      <w:pPr>
        <w:spacing w:after="0"/>
        <w:rPr>
          <w:sz w:val="22"/>
          <w:szCs w:val="22"/>
        </w:rPr>
      </w:pPr>
    </w:p>
    <w:p w:rsidR="00E632AF" w:rsidRPr="00507AB4" w:rsidRDefault="00E632AF" w:rsidP="00E632AF">
      <w:pPr>
        <w:spacing w:after="0"/>
        <w:rPr>
          <w:sz w:val="22"/>
          <w:szCs w:val="22"/>
        </w:rPr>
      </w:pPr>
      <w:r w:rsidRPr="00507AB4">
        <w:rPr>
          <w:sz w:val="22"/>
          <w:szCs w:val="22"/>
        </w:rPr>
        <w:t>-</w:t>
      </w:r>
      <w:r w:rsidRPr="00507AB4">
        <w:rPr>
          <w:sz w:val="22"/>
          <w:szCs w:val="22"/>
        </w:rPr>
        <w:tab/>
        <w:t>Résolution du Parlement européen sur les priorités et les recommandations de l'Union européenne dans la perspective de la 61</w:t>
      </w:r>
      <w:r w:rsidR="00DB109E" w:rsidRPr="00507AB4">
        <w:rPr>
          <w:sz w:val="22"/>
          <w:szCs w:val="22"/>
        </w:rPr>
        <w:t>e</w:t>
      </w:r>
      <w:r w:rsidRPr="00507AB4">
        <w:rPr>
          <w:sz w:val="22"/>
          <w:szCs w:val="22"/>
        </w:rPr>
        <w:t xml:space="preserve"> session de la commission des droits de l'homme des Nations unies, qui se tiendra à Genève du 14 mars au 22 avril 2005</w:t>
      </w:r>
    </w:p>
    <w:p w:rsidR="00E632AF" w:rsidRPr="00507AB4" w:rsidRDefault="00E632AF" w:rsidP="00E632AF">
      <w:pPr>
        <w:spacing w:after="0"/>
        <w:rPr>
          <w:sz w:val="22"/>
          <w:szCs w:val="22"/>
        </w:rPr>
      </w:pPr>
      <w:r w:rsidRPr="00507AB4">
        <w:rPr>
          <w:sz w:val="22"/>
          <w:szCs w:val="22"/>
        </w:rPr>
        <w:t>(PE : B6-0086/05)</w:t>
      </w:r>
    </w:p>
    <w:p w:rsidR="00E632AF" w:rsidRPr="00507AB4" w:rsidRDefault="00E632AF" w:rsidP="00E632AF">
      <w:pPr>
        <w:spacing w:after="0"/>
        <w:rPr>
          <w:sz w:val="22"/>
          <w:szCs w:val="22"/>
        </w:rPr>
      </w:pPr>
      <w:r w:rsidRPr="00507AB4">
        <w:rPr>
          <w:sz w:val="22"/>
          <w:szCs w:val="22"/>
        </w:rPr>
        <w:t>Procès verbal, 2ème partie, du 24 février 2005</w:t>
      </w:r>
    </w:p>
    <w:p w:rsidR="00E632AF" w:rsidRPr="00507AB4" w:rsidRDefault="00E632AF" w:rsidP="00E632AF">
      <w:pPr>
        <w:spacing w:after="0"/>
        <w:rPr>
          <w:sz w:val="22"/>
          <w:szCs w:val="22"/>
        </w:rPr>
      </w:pPr>
      <w:r w:rsidRPr="00507AB4">
        <w:rPr>
          <w:sz w:val="22"/>
          <w:szCs w:val="22"/>
        </w:rPr>
        <w:t>Compétence :</w:t>
      </w:r>
      <w:r w:rsidRPr="00507AB4">
        <w:rPr>
          <w:sz w:val="22"/>
          <w:szCs w:val="22"/>
        </w:rPr>
        <w:tab/>
        <w:t>Benita FERRERO-WALDNER</w:t>
      </w:r>
    </w:p>
    <w:p w:rsidR="00E632AF" w:rsidRPr="00507AB4" w:rsidRDefault="00E632AF" w:rsidP="00E632AF">
      <w:pPr>
        <w:spacing w:after="0"/>
        <w:rPr>
          <w:sz w:val="22"/>
          <w:szCs w:val="22"/>
        </w:rPr>
      </w:pPr>
      <w:r w:rsidRPr="00507AB4">
        <w:rPr>
          <w:sz w:val="22"/>
          <w:szCs w:val="22"/>
        </w:rPr>
        <w:tab/>
      </w:r>
      <w:r w:rsidRPr="00507AB4">
        <w:rPr>
          <w:sz w:val="22"/>
          <w:szCs w:val="22"/>
        </w:rPr>
        <w:tab/>
        <w:t>DG Relations extérieures</w:t>
      </w:r>
    </w:p>
    <w:p w:rsidR="00E632AF" w:rsidRPr="00507AB4" w:rsidRDefault="00E632AF" w:rsidP="00E632AF">
      <w:pPr>
        <w:spacing w:after="0"/>
        <w:rPr>
          <w:sz w:val="22"/>
          <w:szCs w:val="22"/>
        </w:rPr>
      </w:pPr>
      <w:r w:rsidRPr="00507AB4">
        <w:rPr>
          <w:b/>
          <w:sz w:val="22"/>
          <w:szCs w:val="22"/>
        </w:rPr>
        <w:t>J</w:t>
      </w:r>
      <w:r w:rsidR="006F0CB0" w:rsidRPr="00507AB4">
        <w:rPr>
          <w:b/>
          <w:sz w:val="22"/>
          <w:szCs w:val="22"/>
        </w:rPr>
        <w:t>ustification</w:t>
      </w:r>
      <w:r w:rsidRPr="00507AB4">
        <w:rPr>
          <w:sz w:val="22"/>
          <w:szCs w:val="22"/>
        </w:rPr>
        <w:t> :</w:t>
      </w:r>
      <w:r w:rsidRPr="00507AB4">
        <w:rPr>
          <w:sz w:val="22"/>
          <w:szCs w:val="22"/>
        </w:rPr>
        <w:tab/>
      </w:r>
      <w:r w:rsidR="006F0CB0" w:rsidRPr="00507AB4">
        <w:rPr>
          <w:sz w:val="22"/>
          <w:szCs w:val="22"/>
        </w:rPr>
        <w:t xml:space="preserve">La Commission ne donnera pas suite sous forme de fiche étant donné que le Commissaire, Mme </w:t>
      </w:r>
      <w:r w:rsidR="00F33EA6" w:rsidRPr="00507AB4">
        <w:rPr>
          <w:sz w:val="22"/>
          <w:szCs w:val="22"/>
        </w:rPr>
        <w:t>Ferrero-Waldner</w:t>
      </w:r>
      <w:r w:rsidR="006F0CB0" w:rsidRPr="00507AB4">
        <w:rPr>
          <w:sz w:val="22"/>
          <w:szCs w:val="22"/>
        </w:rPr>
        <w:t>, a déjà répondu en plénière aux demandes contenues dans la résolution.</w:t>
      </w:r>
    </w:p>
    <w:p w:rsidR="00E632AF" w:rsidRPr="00507AB4" w:rsidRDefault="00E632AF" w:rsidP="00E632AF">
      <w:pPr>
        <w:spacing w:after="0"/>
        <w:rPr>
          <w:sz w:val="22"/>
          <w:szCs w:val="22"/>
        </w:rPr>
      </w:pPr>
    </w:p>
    <w:p w:rsidR="00B37C2F" w:rsidRPr="00507AB4" w:rsidRDefault="00DD286B" w:rsidP="00E632AF">
      <w:pPr>
        <w:spacing w:after="0"/>
        <w:rPr>
          <w:sz w:val="22"/>
          <w:szCs w:val="22"/>
        </w:rPr>
      </w:pPr>
      <w:r w:rsidRPr="00507AB4">
        <w:rPr>
          <w:sz w:val="22"/>
          <w:szCs w:val="22"/>
        </w:rPr>
        <w:br w:type="page"/>
      </w:r>
    </w:p>
    <w:p w:rsidR="00B37C2F" w:rsidRPr="00507AB4" w:rsidRDefault="00B37C2F" w:rsidP="00B37C2F">
      <w:pPr>
        <w:spacing w:after="0"/>
        <w:rPr>
          <w:sz w:val="22"/>
          <w:szCs w:val="22"/>
        </w:rPr>
      </w:pPr>
      <w:r w:rsidRPr="00507AB4">
        <w:rPr>
          <w:sz w:val="22"/>
          <w:szCs w:val="22"/>
        </w:rPr>
        <w:t>-</w:t>
      </w:r>
      <w:r w:rsidRPr="00507AB4">
        <w:rPr>
          <w:sz w:val="22"/>
          <w:szCs w:val="22"/>
        </w:rPr>
        <w:tab/>
        <w:t>Résolution du Parlement européen sur l'action contre la faim et la pauvreté</w:t>
      </w:r>
    </w:p>
    <w:p w:rsidR="00B37C2F" w:rsidRPr="00507AB4" w:rsidRDefault="00B37C2F" w:rsidP="00B37C2F">
      <w:pPr>
        <w:spacing w:after="0"/>
        <w:rPr>
          <w:sz w:val="22"/>
          <w:szCs w:val="22"/>
        </w:rPr>
      </w:pPr>
      <w:r w:rsidRPr="00507AB4">
        <w:rPr>
          <w:sz w:val="22"/>
          <w:szCs w:val="22"/>
        </w:rPr>
        <w:t>(PE : B6-0103/05)</w:t>
      </w:r>
    </w:p>
    <w:p w:rsidR="00B37C2F" w:rsidRPr="00507AB4" w:rsidRDefault="00B37C2F" w:rsidP="00B37C2F">
      <w:pPr>
        <w:spacing w:after="0"/>
        <w:rPr>
          <w:sz w:val="22"/>
          <w:szCs w:val="22"/>
        </w:rPr>
      </w:pPr>
      <w:r w:rsidRPr="00507AB4">
        <w:rPr>
          <w:sz w:val="22"/>
          <w:szCs w:val="22"/>
        </w:rPr>
        <w:t>Procès verbal, 2ème partie, du 24 février 2005</w:t>
      </w:r>
    </w:p>
    <w:p w:rsidR="00B37C2F" w:rsidRPr="00507AB4" w:rsidRDefault="00B37C2F" w:rsidP="00B37C2F">
      <w:pPr>
        <w:spacing w:after="0"/>
        <w:rPr>
          <w:sz w:val="22"/>
          <w:szCs w:val="22"/>
        </w:rPr>
      </w:pPr>
      <w:r w:rsidRPr="00507AB4">
        <w:rPr>
          <w:sz w:val="22"/>
          <w:szCs w:val="22"/>
        </w:rPr>
        <w:t xml:space="preserve">Compétence : </w:t>
      </w:r>
      <w:r w:rsidRPr="00507AB4">
        <w:rPr>
          <w:sz w:val="22"/>
          <w:szCs w:val="22"/>
        </w:rPr>
        <w:tab/>
        <w:t>Louis MICHEL</w:t>
      </w:r>
    </w:p>
    <w:p w:rsidR="00E632AF" w:rsidRPr="00507AB4" w:rsidRDefault="00B37C2F" w:rsidP="00B37C2F">
      <w:pPr>
        <w:spacing w:after="0"/>
        <w:rPr>
          <w:sz w:val="22"/>
          <w:szCs w:val="22"/>
        </w:rPr>
      </w:pPr>
      <w:r w:rsidRPr="00507AB4">
        <w:rPr>
          <w:sz w:val="22"/>
          <w:szCs w:val="22"/>
        </w:rPr>
        <w:tab/>
      </w:r>
      <w:r w:rsidRPr="00507AB4">
        <w:rPr>
          <w:sz w:val="22"/>
          <w:szCs w:val="22"/>
        </w:rPr>
        <w:tab/>
        <w:t>DG Développement</w:t>
      </w:r>
    </w:p>
    <w:p w:rsidR="00B37C2F" w:rsidRPr="00507AB4" w:rsidRDefault="00B37C2F" w:rsidP="00B37C2F">
      <w:pPr>
        <w:spacing w:after="0"/>
        <w:rPr>
          <w:sz w:val="22"/>
          <w:szCs w:val="22"/>
        </w:rPr>
      </w:pPr>
      <w:r w:rsidRPr="00507AB4">
        <w:rPr>
          <w:b/>
          <w:sz w:val="22"/>
          <w:szCs w:val="22"/>
        </w:rPr>
        <w:t>Justification</w:t>
      </w:r>
      <w:r w:rsidRPr="00507AB4">
        <w:rPr>
          <w:sz w:val="22"/>
          <w:szCs w:val="22"/>
        </w:rPr>
        <w:t> :</w:t>
      </w:r>
      <w:r w:rsidRPr="00507AB4">
        <w:rPr>
          <w:sz w:val="22"/>
          <w:szCs w:val="22"/>
        </w:rPr>
        <w:tab/>
        <w:t>La Commission ne donnera pas suite sous forme de fiche étant donné que le Commissaire, Mme Ferrero-Waldner, a déjà répondu en plénière aux demandes contenues dans la résolution.</w:t>
      </w:r>
    </w:p>
    <w:p w:rsidR="00B37C2F" w:rsidRPr="00507AB4" w:rsidRDefault="00B37C2F" w:rsidP="00E632AF">
      <w:pPr>
        <w:spacing w:after="0"/>
        <w:rPr>
          <w:sz w:val="22"/>
          <w:szCs w:val="22"/>
        </w:rPr>
      </w:pPr>
    </w:p>
    <w:p w:rsidR="00B37C2F" w:rsidRPr="00507AB4" w:rsidRDefault="00B37C2F" w:rsidP="00E632AF">
      <w:pPr>
        <w:spacing w:after="0"/>
        <w:rPr>
          <w:sz w:val="22"/>
          <w:szCs w:val="22"/>
        </w:rPr>
      </w:pPr>
    </w:p>
    <w:p w:rsidR="00E632AF" w:rsidRPr="00507AB4" w:rsidRDefault="00E632AF" w:rsidP="00E632AF">
      <w:pPr>
        <w:spacing w:after="0"/>
        <w:rPr>
          <w:sz w:val="22"/>
          <w:szCs w:val="22"/>
        </w:rPr>
      </w:pPr>
      <w:r w:rsidRPr="00507AB4">
        <w:rPr>
          <w:sz w:val="22"/>
          <w:szCs w:val="22"/>
        </w:rPr>
        <w:t>-</w:t>
      </w:r>
      <w:r w:rsidRPr="00507AB4">
        <w:rPr>
          <w:sz w:val="22"/>
          <w:szCs w:val="22"/>
        </w:rPr>
        <w:tab/>
        <w:t>Résolution du Parlement européen sur le partenariat euro-méditerranéen</w:t>
      </w:r>
    </w:p>
    <w:p w:rsidR="00E632AF" w:rsidRPr="00507AB4" w:rsidRDefault="00E632AF" w:rsidP="00E632AF">
      <w:pPr>
        <w:spacing w:after="0"/>
        <w:rPr>
          <w:sz w:val="22"/>
          <w:szCs w:val="22"/>
        </w:rPr>
      </w:pPr>
      <w:r w:rsidRPr="00507AB4">
        <w:rPr>
          <w:sz w:val="22"/>
          <w:szCs w:val="22"/>
        </w:rPr>
        <w:t>(PE : B6-0095/05)</w:t>
      </w:r>
    </w:p>
    <w:p w:rsidR="00E632AF" w:rsidRPr="00507AB4" w:rsidRDefault="00E632AF" w:rsidP="00E632AF">
      <w:pPr>
        <w:spacing w:after="0"/>
        <w:rPr>
          <w:sz w:val="22"/>
          <w:szCs w:val="22"/>
        </w:rPr>
      </w:pPr>
      <w:r w:rsidRPr="00507AB4">
        <w:rPr>
          <w:sz w:val="22"/>
          <w:szCs w:val="22"/>
        </w:rPr>
        <w:t>Procès verbal, 2ème partie, du 23 février 2005</w:t>
      </w:r>
    </w:p>
    <w:p w:rsidR="00E632AF" w:rsidRPr="00507AB4" w:rsidRDefault="00E632AF" w:rsidP="00E632AF">
      <w:pPr>
        <w:spacing w:after="0"/>
        <w:rPr>
          <w:sz w:val="22"/>
          <w:szCs w:val="22"/>
        </w:rPr>
      </w:pPr>
      <w:r w:rsidRPr="00507AB4">
        <w:rPr>
          <w:sz w:val="22"/>
          <w:szCs w:val="22"/>
        </w:rPr>
        <w:t>Compétence :</w:t>
      </w:r>
      <w:r w:rsidRPr="00507AB4">
        <w:rPr>
          <w:sz w:val="22"/>
          <w:szCs w:val="22"/>
        </w:rPr>
        <w:tab/>
        <w:t>Benita FERRERO-WALDNER</w:t>
      </w:r>
    </w:p>
    <w:p w:rsidR="00E632AF" w:rsidRPr="00507AB4" w:rsidRDefault="00E632AF" w:rsidP="00E632AF">
      <w:pPr>
        <w:spacing w:after="0"/>
        <w:rPr>
          <w:sz w:val="22"/>
          <w:szCs w:val="22"/>
        </w:rPr>
      </w:pPr>
      <w:r w:rsidRPr="00507AB4">
        <w:rPr>
          <w:sz w:val="22"/>
          <w:szCs w:val="22"/>
        </w:rPr>
        <w:tab/>
      </w:r>
      <w:r w:rsidRPr="00507AB4">
        <w:rPr>
          <w:sz w:val="22"/>
          <w:szCs w:val="22"/>
        </w:rPr>
        <w:tab/>
        <w:t>DG Relations extérieures</w:t>
      </w:r>
    </w:p>
    <w:p w:rsidR="00E632AF" w:rsidRPr="00507AB4" w:rsidRDefault="00E632AF" w:rsidP="00E632AF">
      <w:pPr>
        <w:spacing w:after="0"/>
        <w:rPr>
          <w:sz w:val="22"/>
          <w:szCs w:val="22"/>
        </w:rPr>
      </w:pPr>
      <w:r w:rsidRPr="00507AB4">
        <w:rPr>
          <w:b/>
          <w:sz w:val="22"/>
          <w:szCs w:val="22"/>
        </w:rPr>
        <w:t>J</w:t>
      </w:r>
      <w:r w:rsidR="006F0CB0" w:rsidRPr="00507AB4">
        <w:rPr>
          <w:b/>
          <w:sz w:val="22"/>
          <w:szCs w:val="22"/>
        </w:rPr>
        <w:t>ustification</w:t>
      </w:r>
      <w:r w:rsidRPr="00507AB4">
        <w:rPr>
          <w:sz w:val="22"/>
          <w:szCs w:val="22"/>
        </w:rPr>
        <w:t> :</w:t>
      </w:r>
      <w:r w:rsidR="006F0CB0" w:rsidRPr="00507AB4">
        <w:rPr>
          <w:sz w:val="22"/>
          <w:szCs w:val="22"/>
        </w:rPr>
        <w:t xml:space="preserve"> La Commission ne donnera pas suite sous forme de fiche étant donné que le Commissaire, Mme Ferrero-Waldner, a déjà répondu en plénière aux demandes contenues dans la résolution.</w:t>
      </w:r>
    </w:p>
    <w:p w:rsidR="006F0CB0" w:rsidRPr="00507AB4" w:rsidRDefault="006F0CB0" w:rsidP="00E632AF">
      <w:pPr>
        <w:spacing w:after="0"/>
        <w:rPr>
          <w:sz w:val="22"/>
          <w:szCs w:val="22"/>
        </w:rPr>
      </w:pPr>
    </w:p>
    <w:p w:rsidR="00E83B32" w:rsidRPr="00507AB4" w:rsidRDefault="00E83B32" w:rsidP="00BE0809">
      <w:pPr>
        <w:spacing w:after="0"/>
        <w:rPr>
          <w:sz w:val="22"/>
          <w:szCs w:val="22"/>
        </w:rPr>
      </w:pPr>
    </w:p>
    <w:p w:rsidR="0063420F" w:rsidRPr="00507AB4" w:rsidRDefault="00E815A8">
      <w:pPr>
        <w:spacing w:after="0"/>
        <w:jc w:val="center"/>
        <w:rPr>
          <w:sz w:val="22"/>
          <w:szCs w:val="22"/>
        </w:rPr>
      </w:pPr>
      <w:r w:rsidRPr="00507AB4">
        <w:rPr>
          <w:sz w:val="22"/>
          <w:szCs w:val="22"/>
        </w:rPr>
        <w:t>-------</w:t>
      </w:r>
      <w:r w:rsidR="0063420F" w:rsidRPr="00507AB4">
        <w:rPr>
          <w:sz w:val="22"/>
          <w:szCs w:val="22"/>
        </w:rPr>
        <w:t>------</w:t>
      </w:r>
    </w:p>
    <w:sectPr w:rsidR="0063420F" w:rsidRPr="00507AB4" w:rsidSect="005174FB">
      <w:footerReference w:type="default" r:id="rId8"/>
      <w:headerReference w:type="first" r:id="rId9"/>
      <w:footerReference w:type="first" r:id="rId10"/>
      <w:pgSz w:w="11906" w:h="16838" w:code="9"/>
      <w:pgMar w:top="1418" w:right="1418" w:bottom="1418"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1656D">
      <w:pPr>
        <w:spacing w:after="0"/>
      </w:pPr>
      <w:r>
        <w:separator/>
      </w:r>
    </w:p>
  </w:endnote>
  <w:endnote w:type="continuationSeparator" w:id="0">
    <w:p w:rsidR="00000000" w:rsidRDefault="003165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14A" w:rsidRPr="004448B4" w:rsidRDefault="00DF014A" w:rsidP="005174FB">
    <w:pPr>
      <w:pStyle w:val="Footer"/>
      <w:jc w:val="center"/>
      <w:rPr>
        <w:szCs w:val="16"/>
      </w:rPr>
    </w:pPr>
    <w:r w:rsidRPr="004448B4">
      <w:rPr>
        <w:szCs w:val="16"/>
      </w:rPr>
      <w:t>-</w:t>
    </w:r>
    <w:r w:rsidRPr="004448B4">
      <w:rPr>
        <w:szCs w:val="16"/>
      </w:rPr>
      <w:fldChar w:fldCharType="begin"/>
    </w:r>
    <w:r w:rsidRPr="004448B4">
      <w:rPr>
        <w:szCs w:val="16"/>
      </w:rPr>
      <w:instrText xml:space="preserve"> PAGE  \* MERGEFORMAT </w:instrText>
    </w:r>
    <w:r w:rsidRPr="004448B4">
      <w:rPr>
        <w:szCs w:val="16"/>
      </w:rPr>
      <w:fldChar w:fldCharType="separate"/>
    </w:r>
    <w:r w:rsidR="0031656D">
      <w:rPr>
        <w:noProof/>
        <w:szCs w:val="16"/>
      </w:rPr>
      <w:t>2</w:t>
    </w:r>
    <w:r w:rsidRPr="004448B4">
      <w:rPr>
        <w:szCs w:val="16"/>
      </w:rPr>
      <w:fldChar w:fldCharType="end"/>
    </w:r>
    <w:r w:rsidRPr="004448B4">
      <w:rPr>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14A" w:rsidRDefault="00DF014A">
    <w:pPr>
      <w:pStyle w:val="Footer"/>
      <w:rPr>
        <w:sz w:val="24"/>
      </w:rPr>
    </w:pPr>
  </w:p>
  <w:p w:rsidR="00DF014A" w:rsidRDefault="00DF014A">
    <w:pPr>
      <w:pStyle w:val="Footer"/>
    </w:pPr>
    <w:r>
      <w:t>Commission européenne, B-1049 Bruxelles – Belgique, Téléphone : (32-2) 299 11 11.</w:t>
    </w:r>
  </w:p>
  <w:p w:rsidR="00DF014A" w:rsidRDefault="00DF014A">
    <w:pPr>
      <w:pStyle w:val="Footer"/>
    </w:pPr>
    <w:r>
      <w:t xml:space="preserve">Bureau: BERL 7/358, Téléphone: ligne directe (32-2) 295 07 46, Télécopieur: 296 59 57.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1656D">
      <w:pPr>
        <w:spacing w:after="0"/>
      </w:pPr>
      <w:r>
        <w:separator/>
      </w:r>
    </w:p>
  </w:footnote>
  <w:footnote w:type="continuationSeparator" w:id="0">
    <w:p w:rsidR="00000000" w:rsidRDefault="003165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14A" w:rsidRDefault="00DF014A">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0AA0FE1"/>
    <w:multiLevelType w:val="hybridMultilevel"/>
    <w:tmpl w:val="BE9877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960"/>
        </w:tabs>
        <w:ind w:left="96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60FD1F3C"/>
    <w:multiLevelType w:val="hybridMultilevel"/>
    <w:tmpl w:val="F3F46C6A"/>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4"/>
  </w:num>
  <w:num w:numId="4">
    <w:abstractNumId w:val="15"/>
  </w:num>
  <w:num w:numId="5">
    <w:abstractNumId w:val="9"/>
  </w:num>
  <w:num w:numId="6">
    <w:abstractNumId w:val="8"/>
  </w:num>
  <w:num w:numId="7">
    <w:abstractNumId w:val="5"/>
  </w:num>
  <w:num w:numId="8">
    <w:abstractNumId w:val="4"/>
  </w:num>
  <w:num w:numId="9">
    <w:abstractNumId w:val="18"/>
  </w:num>
  <w:num w:numId="10">
    <w:abstractNumId w:val="17"/>
  </w:num>
  <w:num w:numId="11">
    <w:abstractNumId w:val="19"/>
  </w:num>
  <w:num w:numId="12">
    <w:abstractNumId w:val="7"/>
  </w:num>
  <w:num w:numId="13">
    <w:abstractNumId w:val="10"/>
  </w:num>
  <w:num w:numId="14">
    <w:abstractNumId w:val="12"/>
  </w:num>
  <w:num w:numId="15">
    <w:abstractNumId w:val="11"/>
  </w:num>
  <w:num w:numId="16">
    <w:abstractNumId w:val="2"/>
  </w:num>
  <w:num w:numId="17">
    <w:abstractNumId w:val="13"/>
  </w:num>
  <w:num w:numId="18">
    <w:abstractNumId w:val="6"/>
  </w:num>
  <w:num w:numId="19">
    <w:abstractNumId w:val="16"/>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Language" w:val="1036"/>
    <w:docVar w:name="LW_DocType" w:val="NOT"/>
    <w:docVar w:name="Stamp" w:val="\\dossiers.dgt.cec.eu.int\Dossiers\SP\SP-2005-01076\SP-2005-01076-00-00-FR-TRA-00.DOC"/>
  </w:docVars>
  <w:rsids>
    <w:rsidRoot w:val="001349AB"/>
    <w:rsid w:val="00003246"/>
    <w:rsid w:val="00003CC7"/>
    <w:rsid w:val="00005D8E"/>
    <w:rsid w:val="0000667C"/>
    <w:rsid w:val="00010419"/>
    <w:rsid w:val="00011606"/>
    <w:rsid w:val="00013033"/>
    <w:rsid w:val="00014B1E"/>
    <w:rsid w:val="00015253"/>
    <w:rsid w:val="00020EAF"/>
    <w:rsid w:val="000220C0"/>
    <w:rsid w:val="0002436D"/>
    <w:rsid w:val="0002480C"/>
    <w:rsid w:val="00027C0D"/>
    <w:rsid w:val="00031F91"/>
    <w:rsid w:val="00032328"/>
    <w:rsid w:val="00040645"/>
    <w:rsid w:val="0005458A"/>
    <w:rsid w:val="00057A61"/>
    <w:rsid w:val="000615D6"/>
    <w:rsid w:val="000750A7"/>
    <w:rsid w:val="00075B85"/>
    <w:rsid w:val="0007606A"/>
    <w:rsid w:val="0007618B"/>
    <w:rsid w:val="000824B1"/>
    <w:rsid w:val="00082834"/>
    <w:rsid w:val="00084252"/>
    <w:rsid w:val="000851F9"/>
    <w:rsid w:val="000852E0"/>
    <w:rsid w:val="000906D0"/>
    <w:rsid w:val="00093C24"/>
    <w:rsid w:val="00095CAB"/>
    <w:rsid w:val="000A05CA"/>
    <w:rsid w:val="000A077B"/>
    <w:rsid w:val="000A302C"/>
    <w:rsid w:val="000B02B4"/>
    <w:rsid w:val="000B3530"/>
    <w:rsid w:val="000B3C53"/>
    <w:rsid w:val="000B51FE"/>
    <w:rsid w:val="000C0530"/>
    <w:rsid w:val="000C1703"/>
    <w:rsid w:val="000C5046"/>
    <w:rsid w:val="000C5DB2"/>
    <w:rsid w:val="000D1F2C"/>
    <w:rsid w:val="000D2864"/>
    <w:rsid w:val="000D43D7"/>
    <w:rsid w:val="000D5A77"/>
    <w:rsid w:val="000D5C5C"/>
    <w:rsid w:val="000D717B"/>
    <w:rsid w:val="000E1D72"/>
    <w:rsid w:val="000E3AC2"/>
    <w:rsid w:val="000E5696"/>
    <w:rsid w:val="000E718D"/>
    <w:rsid w:val="000F2152"/>
    <w:rsid w:val="000F3185"/>
    <w:rsid w:val="000F382A"/>
    <w:rsid w:val="001007C5"/>
    <w:rsid w:val="001022DD"/>
    <w:rsid w:val="001050C6"/>
    <w:rsid w:val="00107E13"/>
    <w:rsid w:val="00107ED1"/>
    <w:rsid w:val="00112673"/>
    <w:rsid w:val="00116919"/>
    <w:rsid w:val="00116AEB"/>
    <w:rsid w:val="00116BA5"/>
    <w:rsid w:val="001207A7"/>
    <w:rsid w:val="00122771"/>
    <w:rsid w:val="0012295B"/>
    <w:rsid w:val="001277A5"/>
    <w:rsid w:val="00132221"/>
    <w:rsid w:val="001324FF"/>
    <w:rsid w:val="001349AB"/>
    <w:rsid w:val="001354D5"/>
    <w:rsid w:val="00135E9E"/>
    <w:rsid w:val="00136AD1"/>
    <w:rsid w:val="0014173C"/>
    <w:rsid w:val="00142430"/>
    <w:rsid w:val="0014269F"/>
    <w:rsid w:val="00142EDF"/>
    <w:rsid w:val="00145833"/>
    <w:rsid w:val="00146EEB"/>
    <w:rsid w:val="0015044B"/>
    <w:rsid w:val="00153009"/>
    <w:rsid w:val="00154C1C"/>
    <w:rsid w:val="001556D4"/>
    <w:rsid w:val="00156FAD"/>
    <w:rsid w:val="001618F9"/>
    <w:rsid w:val="00164179"/>
    <w:rsid w:val="001662D7"/>
    <w:rsid w:val="00167044"/>
    <w:rsid w:val="001748C0"/>
    <w:rsid w:val="00175DFB"/>
    <w:rsid w:val="00175EF9"/>
    <w:rsid w:val="001820A2"/>
    <w:rsid w:val="0019299D"/>
    <w:rsid w:val="0019373F"/>
    <w:rsid w:val="00194526"/>
    <w:rsid w:val="001A6A34"/>
    <w:rsid w:val="001A75CD"/>
    <w:rsid w:val="001B1293"/>
    <w:rsid w:val="001B632E"/>
    <w:rsid w:val="001C64BB"/>
    <w:rsid w:val="001D3C86"/>
    <w:rsid w:val="001D4689"/>
    <w:rsid w:val="001D55E9"/>
    <w:rsid w:val="001D7558"/>
    <w:rsid w:val="001E0576"/>
    <w:rsid w:val="001E11C9"/>
    <w:rsid w:val="001E1D24"/>
    <w:rsid w:val="001E1F96"/>
    <w:rsid w:val="001E3693"/>
    <w:rsid w:val="001E36F5"/>
    <w:rsid w:val="001E3D07"/>
    <w:rsid w:val="001E4A5E"/>
    <w:rsid w:val="001E684C"/>
    <w:rsid w:val="001E7740"/>
    <w:rsid w:val="001F001F"/>
    <w:rsid w:val="001F129E"/>
    <w:rsid w:val="001F1383"/>
    <w:rsid w:val="001F279C"/>
    <w:rsid w:val="001F29DE"/>
    <w:rsid w:val="001F351F"/>
    <w:rsid w:val="001F3923"/>
    <w:rsid w:val="001F4CBB"/>
    <w:rsid w:val="001F52E6"/>
    <w:rsid w:val="001F7346"/>
    <w:rsid w:val="00200C6F"/>
    <w:rsid w:val="00202D6C"/>
    <w:rsid w:val="00205A3B"/>
    <w:rsid w:val="00206CE0"/>
    <w:rsid w:val="002100D7"/>
    <w:rsid w:val="00213823"/>
    <w:rsid w:val="00214AEF"/>
    <w:rsid w:val="00214B28"/>
    <w:rsid w:val="00214FA1"/>
    <w:rsid w:val="00215393"/>
    <w:rsid w:val="002176A6"/>
    <w:rsid w:val="002224A8"/>
    <w:rsid w:val="002225CB"/>
    <w:rsid w:val="002276EF"/>
    <w:rsid w:val="00235499"/>
    <w:rsid w:val="00235AF4"/>
    <w:rsid w:val="00237A4F"/>
    <w:rsid w:val="00237CB9"/>
    <w:rsid w:val="002524F7"/>
    <w:rsid w:val="0025346C"/>
    <w:rsid w:val="002557CF"/>
    <w:rsid w:val="002566F1"/>
    <w:rsid w:val="00274F81"/>
    <w:rsid w:val="002752DC"/>
    <w:rsid w:val="00283FEE"/>
    <w:rsid w:val="002862E0"/>
    <w:rsid w:val="002863DC"/>
    <w:rsid w:val="00290435"/>
    <w:rsid w:val="00290850"/>
    <w:rsid w:val="00293BD1"/>
    <w:rsid w:val="00295FEF"/>
    <w:rsid w:val="002A0400"/>
    <w:rsid w:val="002B1AAB"/>
    <w:rsid w:val="002B3E66"/>
    <w:rsid w:val="002B444A"/>
    <w:rsid w:val="002B48CA"/>
    <w:rsid w:val="002C1FBF"/>
    <w:rsid w:val="002C39AF"/>
    <w:rsid w:val="002C49FF"/>
    <w:rsid w:val="002C6D0D"/>
    <w:rsid w:val="002C708F"/>
    <w:rsid w:val="002D25DE"/>
    <w:rsid w:val="002D2DEB"/>
    <w:rsid w:val="002D3457"/>
    <w:rsid w:val="002D378E"/>
    <w:rsid w:val="002D6E91"/>
    <w:rsid w:val="002E5FEB"/>
    <w:rsid w:val="002E719B"/>
    <w:rsid w:val="002F1C67"/>
    <w:rsid w:val="002F407A"/>
    <w:rsid w:val="002F48B6"/>
    <w:rsid w:val="002F6A5C"/>
    <w:rsid w:val="00301619"/>
    <w:rsid w:val="00302786"/>
    <w:rsid w:val="003046BA"/>
    <w:rsid w:val="00311BA5"/>
    <w:rsid w:val="00312857"/>
    <w:rsid w:val="0031297E"/>
    <w:rsid w:val="003130B1"/>
    <w:rsid w:val="003130C3"/>
    <w:rsid w:val="00314013"/>
    <w:rsid w:val="0031656D"/>
    <w:rsid w:val="00320D12"/>
    <w:rsid w:val="00320D78"/>
    <w:rsid w:val="0032113A"/>
    <w:rsid w:val="003255A2"/>
    <w:rsid w:val="0032746F"/>
    <w:rsid w:val="0033154E"/>
    <w:rsid w:val="003325F5"/>
    <w:rsid w:val="003343BF"/>
    <w:rsid w:val="003346A2"/>
    <w:rsid w:val="00344180"/>
    <w:rsid w:val="00347C3D"/>
    <w:rsid w:val="003525CA"/>
    <w:rsid w:val="0035454A"/>
    <w:rsid w:val="00356D8C"/>
    <w:rsid w:val="00356FAB"/>
    <w:rsid w:val="0036572D"/>
    <w:rsid w:val="00365E6D"/>
    <w:rsid w:val="00366A5A"/>
    <w:rsid w:val="00370DF9"/>
    <w:rsid w:val="00374877"/>
    <w:rsid w:val="00375722"/>
    <w:rsid w:val="0037700B"/>
    <w:rsid w:val="00383C03"/>
    <w:rsid w:val="0038412B"/>
    <w:rsid w:val="00384FCE"/>
    <w:rsid w:val="00386D9E"/>
    <w:rsid w:val="00390AA1"/>
    <w:rsid w:val="00392027"/>
    <w:rsid w:val="0039355D"/>
    <w:rsid w:val="003A4340"/>
    <w:rsid w:val="003A5F16"/>
    <w:rsid w:val="003A6BCE"/>
    <w:rsid w:val="003B0B1E"/>
    <w:rsid w:val="003B1AD7"/>
    <w:rsid w:val="003B5B81"/>
    <w:rsid w:val="003B5D47"/>
    <w:rsid w:val="003B6891"/>
    <w:rsid w:val="003C275D"/>
    <w:rsid w:val="003C41E7"/>
    <w:rsid w:val="003C5C41"/>
    <w:rsid w:val="003C7681"/>
    <w:rsid w:val="003D1339"/>
    <w:rsid w:val="003D210C"/>
    <w:rsid w:val="003D2CBF"/>
    <w:rsid w:val="003D319B"/>
    <w:rsid w:val="003D3ED4"/>
    <w:rsid w:val="003E11BD"/>
    <w:rsid w:val="003E2343"/>
    <w:rsid w:val="003E4E23"/>
    <w:rsid w:val="003F039C"/>
    <w:rsid w:val="003F2BEB"/>
    <w:rsid w:val="003F384B"/>
    <w:rsid w:val="003F4263"/>
    <w:rsid w:val="003F55FC"/>
    <w:rsid w:val="003F79CE"/>
    <w:rsid w:val="0040083A"/>
    <w:rsid w:val="00400CB5"/>
    <w:rsid w:val="00403672"/>
    <w:rsid w:val="00403C06"/>
    <w:rsid w:val="00406812"/>
    <w:rsid w:val="004122AF"/>
    <w:rsid w:val="00412739"/>
    <w:rsid w:val="00413678"/>
    <w:rsid w:val="00415649"/>
    <w:rsid w:val="00415DA7"/>
    <w:rsid w:val="00432680"/>
    <w:rsid w:val="00440612"/>
    <w:rsid w:val="004424D2"/>
    <w:rsid w:val="004439E0"/>
    <w:rsid w:val="00443B16"/>
    <w:rsid w:val="004448B4"/>
    <w:rsid w:val="00444EFE"/>
    <w:rsid w:val="0044781C"/>
    <w:rsid w:val="00454101"/>
    <w:rsid w:val="00455A57"/>
    <w:rsid w:val="00457863"/>
    <w:rsid w:val="00460AFD"/>
    <w:rsid w:val="00462124"/>
    <w:rsid w:val="004705C6"/>
    <w:rsid w:val="0047463C"/>
    <w:rsid w:val="00474BA1"/>
    <w:rsid w:val="00476B0A"/>
    <w:rsid w:val="00477A51"/>
    <w:rsid w:val="00485544"/>
    <w:rsid w:val="00485FE2"/>
    <w:rsid w:val="00494449"/>
    <w:rsid w:val="004A0A8E"/>
    <w:rsid w:val="004A58DF"/>
    <w:rsid w:val="004A61A0"/>
    <w:rsid w:val="004A70B9"/>
    <w:rsid w:val="004B342C"/>
    <w:rsid w:val="004B41D6"/>
    <w:rsid w:val="004D19F0"/>
    <w:rsid w:val="004D797A"/>
    <w:rsid w:val="004D7E15"/>
    <w:rsid w:val="004E631D"/>
    <w:rsid w:val="004F0BE3"/>
    <w:rsid w:val="004F1C83"/>
    <w:rsid w:val="00500D60"/>
    <w:rsid w:val="0050495B"/>
    <w:rsid w:val="00506AC9"/>
    <w:rsid w:val="00507AB4"/>
    <w:rsid w:val="00507E3A"/>
    <w:rsid w:val="00507F2D"/>
    <w:rsid w:val="005174FB"/>
    <w:rsid w:val="00523C54"/>
    <w:rsid w:val="005265A9"/>
    <w:rsid w:val="00527812"/>
    <w:rsid w:val="0053306B"/>
    <w:rsid w:val="00535554"/>
    <w:rsid w:val="00540962"/>
    <w:rsid w:val="005422BE"/>
    <w:rsid w:val="005423D9"/>
    <w:rsid w:val="0054480B"/>
    <w:rsid w:val="00545509"/>
    <w:rsid w:val="00545B84"/>
    <w:rsid w:val="00546E0C"/>
    <w:rsid w:val="00547AE2"/>
    <w:rsid w:val="005504AC"/>
    <w:rsid w:val="00553308"/>
    <w:rsid w:val="00557DE1"/>
    <w:rsid w:val="00565F48"/>
    <w:rsid w:val="00566E47"/>
    <w:rsid w:val="005671D9"/>
    <w:rsid w:val="00567FB7"/>
    <w:rsid w:val="00574375"/>
    <w:rsid w:val="00575474"/>
    <w:rsid w:val="005768CE"/>
    <w:rsid w:val="005772D4"/>
    <w:rsid w:val="005809D6"/>
    <w:rsid w:val="00580C69"/>
    <w:rsid w:val="005819F9"/>
    <w:rsid w:val="005822CF"/>
    <w:rsid w:val="00582919"/>
    <w:rsid w:val="00586ACF"/>
    <w:rsid w:val="00586C9C"/>
    <w:rsid w:val="00586D98"/>
    <w:rsid w:val="00590DBE"/>
    <w:rsid w:val="00595E96"/>
    <w:rsid w:val="0059662D"/>
    <w:rsid w:val="005A2B3D"/>
    <w:rsid w:val="005A3E04"/>
    <w:rsid w:val="005A418A"/>
    <w:rsid w:val="005A5ABF"/>
    <w:rsid w:val="005B2B0F"/>
    <w:rsid w:val="005B2B96"/>
    <w:rsid w:val="005B6CCC"/>
    <w:rsid w:val="005B719C"/>
    <w:rsid w:val="005B77DA"/>
    <w:rsid w:val="005C0B71"/>
    <w:rsid w:val="005C0D9C"/>
    <w:rsid w:val="005C11CF"/>
    <w:rsid w:val="005C25E7"/>
    <w:rsid w:val="005C28A9"/>
    <w:rsid w:val="005C3B7A"/>
    <w:rsid w:val="005C6297"/>
    <w:rsid w:val="005C6A7E"/>
    <w:rsid w:val="005C6CA2"/>
    <w:rsid w:val="005C6D15"/>
    <w:rsid w:val="005D2381"/>
    <w:rsid w:val="005D7FF5"/>
    <w:rsid w:val="005E7E32"/>
    <w:rsid w:val="005F045E"/>
    <w:rsid w:val="005F30D8"/>
    <w:rsid w:val="005F5937"/>
    <w:rsid w:val="00602BF4"/>
    <w:rsid w:val="00604036"/>
    <w:rsid w:val="0060770B"/>
    <w:rsid w:val="006152B2"/>
    <w:rsid w:val="00621E65"/>
    <w:rsid w:val="00622D86"/>
    <w:rsid w:val="00625D15"/>
    <w:rsid w:val="00626B5D"/>
    <w:rsid w:val="00630E25"/>
    <w:rsid w:val="00633D34"/>
    <w:rsid w:val="0063420F"/>
    <w:rsid w:val="00635E7C"/>
    <w:rsid w:val="00636CEE"/>
    <w:rsid w:val="00637F49"/>
    <w:rsid w:val="00641627"/>
    <w:rsid w:val="00645AA6"/>
    <w:rsid w:val="00646CDB"/>
    <w:rsid w:val="00646FA4"/>
    <w:rsid w:val="006477F4"/>
    <w:rsid w:val="00651579"/>
    <w:rsid w:val="006524F1"/>
    <w:rsid w:val="00654626"/>
    <w:rsid w:val="006566A3"/>
    <w:rsid w:val="00657E75"/>
    <w:rsid w:val="006630E1"/>
    <w:rsid w:val="00667177"/>
    <w:rsid w:val="00675B62"/>
    <w:rsid w:val="00676B65"/>
    <w:rsid w:val="00676C10"/>
    <w:rsid w:val="006808A0"/>
    <w:rsid w:val="00683C6D"/>
    <w:rsid w:val="0068414B"/>
    <w:rsid w:val="00686CF4"/>
    <w:rsid w:val="00694FAA"/>
    <w:rsid w:val="00695C86"/>
    <w:rsid w:val="006A269F"/>
    <w:rsid w:val="006A56EE"/>
    <w:rsid w:val="006A5DA8"/>
    <w:rsid w:val="006B01A2"/>
    <w:rsid w:val="006B6642"/>
    <w:rsid w:val="006C4B8C"/>
    <w:rsid w:val="006D0546"/>
    <w:rsid w:val="006D088D"/>
    <w:rsid w:val="006D4531"/>
    <w:rsid w:val="006D5D05"/>
    <w:rsid w:val="006D6A96"/>
    <w:rsid w:val="006D7A86"/>
    <w:rsid w:val="006E252C"/>
    <w:rsid w:val="006E5850"/>
    <w:rsid w:val="006E6014"/>
    <w:rsid w:val="006F0CB0"/>
    <w:rsid w:val="006F14AD"/>
    <w:rsid w:val="006F1CC2"/>
    <w:rsid w:val="006F1F98"/>
    <w:rsid w:val="006F33DA"/>
    <w:rsid w:val="006F5399"/>
    <w:rsid w:val="006F6834"/>
    <w:rsid w:val="006F74F1"/>
    <w:rsid w:val="00701BBD"/>
    <w:rsid w:val="00705F01"/>
    <w:rsid w:val="00706FF2"/>
    <w:rsid w:val="00707E99"/>
    <w:rsid w:val="00710083"/>
    <w:rsid w:val="007102E5"/>
    <w:rsid w:val="007162AA"/>
    <w:rsid w:val="00717E22"/>
    <w:rsid w:val="007234E9"/>
    <w:rsid w:val="0072434A"/>
    <w:rsid w:val="00725CFE"/>
    <w:rsid w:val="00730499"/>
    <w:rsid w:val="0073256C"/>
    <w:rsid w:val="00733657"/>
    <w:rsid w:val="00733D97"/>
    <w:rsid w:val="00733E39"/>
    <w:rsid w:val="00736A0B"/>
    <w:rsid w:val="007371C6"/>
    <w:rsid w:val="007378D8"/>
    <w:rsid w:val="00737E83"/>
    <w:rsid w:val="00743AD7"/>
    <w:rsid w:val="0074436B"/>
    <w:rsid w:val="007503F7"/>
    <w:rsid w:val="00751682"/>
    <w:rsid w:val="00751F13"/>
    <w:rsid w:val="00753CA4"/>
    <w:rsid w:val="00753D4A"/>
    <w:rsid w:val="0075530D"/>
    <w:rsid w:val="00760F58"/>
    <w:rsid w:val="0076601A"/>
    <w:rsid w:val="00771534"/>
    <w:rsid w:val="007722BC"/>
    <w:rsid w:val="0077331E"/>
    <w:rsid w:val="0077480B"/>
    <w:rsid w:val="00783737"/>
    <w:rsid w:val="007838F7"/>
    <w:rsid w:val="0079166B"/>
    <w:rsid w:val="0079487F"/>
    <w:rsid w:val="0079696E"/>
    <w:rsid w:val="00796E41"/>
    <w:rsid w:val="00797538"/>
    <w:rsid w:val="007A2746"/>
    <w:rsid w:val="007A3084"/>
    <w:rsid w:val="007A59B2"/>
    <w:rsid w:val="007A6120"/>
    <w:rsid w:val="007B08F7"/>
    <w:rsid w:val="007B0C4E"/>
    <w:rsid w:val="007B32C0"/>
    <w:rsid w:val="007B38D0"/>
    <w:rsid w:val="007B5CDA"/>
    <w:rsid w:val="007C5198"/>
    <w:rsid w:val="007D37F4"/>
    <w:rsid w:val="007E26BF"/>
    <w:rsid w:val="007E3EF1"/>
    <w:rsid w:val="007E46A3"/>
    <w:rsid w:val="007E6BED"/>
    <w:rsid w:val="007F01CF"/>
    <w:rsid w:val="007F0F70"/>
    <w:rsid w:val="007F1038"/>
    <w:rsid w:val="007F5629"/>
    <w:rsid w:val="007F5E16"/>
    <w:rsid w:val="007F6236"/>
    <w:rsid w:val="00802592"/>
    <w:rsid w:val="008029FE"/>
    <w:rsid w:val="0080352D"/>
    <w:rsid w:val="00803AE3"/>
    <w:rsid w:val="00804DA6"/>
    <w:rsid w:val="00804EA0"/>
    <w:rsid w:val="00806B7E"/>
    <w:rsid w:val="00811567"/>
    <w:rsid w:val="00813192"/>
    <w:rsid w:val="00814199"/>
    <w:rsid w:val="008176CE"/>
    <w:rsid w:val="00820B39"/>
    <w:rsid w:val="0082394F"/>
    <w:rsid w:val="00823FDA"/>
    <w:rsid w:val="0082435E"/>
    <w:rsid w:val="00830E80"/>
    <w:rsid w:val="0083323D"/>
    <w:rsid w:val="00833417"/>
    <w:rsid w:val="00835B17"/>
    <w:rsid w:val="00835DD9"/>
    <w:rsid w:val="00841F7E"/>
    <w:rsid w:val="00845406"/>
    <w:rsid w:val="0085745F"/>
    <w:rsid w:val="00862345"/>
    <w:rsid w:val="00862D47"/>
    <w:rsid w:val="00864D79"/>
    <w:rsid w:val="008707DD"/>
    <w:rsid w:val="00874A6F"/>
    <w:rsid w:val="00874BA2"/>
    <w:rsid w:val="00875AFA"/>
    <w:rsid w:val="00880156"/>
    <w:rsid w:val="008852A3"/>
    <w:rsid w:val="00885372"/>
    <w:rsid w:val="008853D9"/>
    <w:rsid w:val="00890497"/>
    <w:rsid w:val="0089290E"/>
    <w:rsid w:val="008933E8"/>
    <w:rsid w:val="00894376"/>
    <w:rsid w:val="0089577C"/>
    <w:rsid w:val="008A2825"/>
    <w:rsid w:val="008A4EAF"/>
    <w:rsid w:val="008B1A39"/>
    <w:rsid w:val="008B36DD"/>
    <w:rsid w:val="008B5623"/>
    <w:rsid w:val="008B7330"/>
    <w:rsid w:val="008C4BFF"/>
    <w:rsid w:val="008D03EE"/>
    <w:rsid w:val="008D27CC"/>
    <w:rsid w:val="008D2930"/>
    <w:rsid w:val="008D4E7D"/>
    <w:rsid w:val="008D57F0"/>
    <w:rsid w:val="008E050D"/>
    <w:rsid w:val="008E7E6C"/>
    <w:rsid w:val="008F213A"/>
    <w:rsid w:val="00905757"/>
    <w:rsid w:val="00911750"/>
    <w:rsid w:val="009121F0"/>
    <w:rsid w:val="0091324E"/>
    <w:rsid w:val="00915503"/>
    <w:rsid w:val="00917BF0"/>
    <w:rsid w:val="00920172"/>
    <w:rsid w:val="00920DBC"/>
    <w:rsid w:val="00921385"/>
    <w:rsid w:val="009220A3"/>
    <w:rsid w:val="00925856"/>
    <w:rsid w:val="0092760A"/>
    <w:rsid w:val="00933FA5"/>
    <w:rsid w:val="009354AA"/>
    <w:rsid w:val="00941F14"/>
    <w:rsid w:val="009427C0"/>
    <w:rsid w:val="00942FAB"/>
    <w:rsid w:val="00943705"/>
    <w:rsid w:val="0094677C"/>
    <w:rsid w:val="00946ABA"/>
    <w:rsid w:val="00946DFF"/>
    <w:rsid w:val="00947CF6"/>
    <w:rsid w:val="00950394"/>
    <w:rsid w:val="00955F51"/>
    <w:rsid w:val="0095724A"/>
    <w:rsid w:val="0096181E"/>
    <w:rsid w:val="00966A3E"/>
    <w:rsid w:val="00966E91"/>
    <w:rsid w:val="00971860"/>
    <w:rsid w:val="00971FBC"/>
    <w:rsid w:val="009726D6"/>
    <w:rsid w:val="00973B91"/>
    <w:rsid w:val="00975656"/>
    <w:rsid w:val="009766FD"/>
    <w:rsid w:val="00976850"/>
    <w:rsid w:val="00981571"/>
    <w:rsid w:val="00983233"/>
    <w:rsid w:val="0098379D"/>
    <w:rsid w:val="009847DD"/>
    <w:rsid w:val="009858C7"/>
    <w:rsid w:val="00985E6D"/>
    <w:rsid w:val="009915C0"/>
    <w:rsid w:val="00991F58"/>
    <w:rsid w:val="009945BA"/>
    <w:rsid w:val="00994C3F"/>
    <w:rsid w:val="009952B5"/>
    <w:rsid w:val="009961A3"/>
    <w:rsid w:val="0099649F"/>
    <w:rsid w:val="00996BA1"/>
    <w:rsid w:val="009A2677"/>
    <w:rsid w:val="009A37CB"/>
    <w:rsid w:val="009A3F0F"/>
    <w:rsid w:val="009A3FCE"/>
    <w:rsid w:val="009A746F"/>
    <w:rsid w:val="009B44D7"/>
    <w:rsid w:val="009B6889"/>
    <w:rsid w:val="009B6C9C"/>
    <w:rsid w:val="009B788F"/>
    <w:rsid w:val="009C039C"/>
    <w:rsid w:val="009C03AE"/>
    <w:rsid w:val="009C297C"/>
    <w:rsid w:val="009C3EBF"/>
    <w:rsid w:val="009D03A5"/>
    <w:rsid w:val="009D3F0C"/>
    <w:rsid w:val="009D6AAC"/>
    <w:rsid w:val="009E0299"/>
    <w:rsid w:val="009E290E"/>
    <w:rsid w:val="009E2BA7"/>
    <w:rsid w:val="009F040B"/>
    <w:rsid w:val="009F0B22"/>
    <w:rsid w:val="009F45F6"/>
    <w:rsid w:val="009F746A"/>
    <w:rsid w:val="00A00BE5"/>
    <w:rsid w:val="00A07DFF"/>
    <w:rsid w:val="00A10B55"/>
    <w:rsid w:val="00A12696"/>
    <w:rsid w:val="00A12F2B"/>
    <w:rsid w:val="00A16C9F"/>
    <w:rsid w:val="00A22D0E"/>
    <w:rsid w:val="00A25205"/>
    <w:rsid w:val="00A27663"/>
    <w:rsid w:val="00A3180C"/>
    <w:rsid w:val="00A33ECD"/>
    <w:rsid w:val="00A35744"/>
    <w:rsid w:val="00A37C97"/>
    <w:rsid w:val="00A40DD0"/>
    <w:rsid w:val="00A43284"/>
    <w:rsid w:val="00A53DE2"/>
    <w:rsid w:val="00A54FCE"/>
    <w:rsid w:val="00A65A2F"/>
    <w:rsid w:val="00A661B9"/>
    <w:rsid w:val="00A664EE"/>
    <w:rsid w:val="00A677CB"/>
    <w:rsid w:val="00A74531"/>
    <w:rsid w:val="00A81324"/>
    <w:rsid w:val="00A837C1"/>
    <w:rsid w:val="00A850A9"/>
    <w:rsid w:val="00A86312"/>
    <w:rsid w:val="00A907EF"/>
    <w:rsid w:val="00A92D7C"/>
    <w:rsid w:val="00A93428"/>
    <w:rsid w:val="00A935FA"/>
    <w:rsid w:val="00A93F2D"/>
    <w:rsid w:val="00A94225"/>
    <w:rsid w:val="00A95379"/>
    <w:rsid w:val="00A957A6"/>
    <w:rsid w:val="00AA32A1"/>
    <w:rsid w:val="00AA6295"/>
    <w:rsid w:val="00AA7AAA"/>
    <w:rsid w:val="00AB06C8"/>
    <w:rsid w:val="00AC16F6"/>
    <w:rsid w:val="00AC648E"/>
    <w:rsid w:val="00AC6C03"/>
    <w:rsid w:val="00AC6C4E"/>
    <w:rsid w:val="00AC6E35"/>
    <w:rsid w:val="00AC7ABA"/>
    <w:rsid w:val="00AD16BB"/>
    <w:rsid w:val="00AE148C"/>
    <w:rsid w:val="00AE4821"/>
    <w:rsid w:val="00AE6065"/>
    <w:rsid w:val="00AF14E4"/>
    <w:rsid w:val="00AF4F59"/>
    <w:rsid w:val="00AF537D"/>
    <w:rsid w:val="00AF7FA9"/>
    <w:rsid w:val="00B0389B"/>
    <w:rsid w:val="00B12F35"/>
    <w:rsid w:val="00B22A62"/>
    <w:rsid w:val="00B2401E"/>
    <w:rsid w:val="00B24A40"/>
    <w:rsid w:val="00B30423"/>
    <w:rsid w:val="00B33E99"/>
    <w:rsid w:val="00B34AD5"/>
    <w:rsid w:val="00B353E4"/>
    <w:rsid w:val="00B35D39"/>
    <w:rsid w:val="00B37C2F"/>
    <w:rsid w:val="00B424A2"/>
    <w:rsid w:val="00B46203"/>
    <w:rsid w:val="00B542AA"/>
    <w:rsid w:val="00B57D9E"/>
    <w:rsid w:val="00B6689B"/>
    <w:rsid w:val="00B66FBE"/>
    <w:rsid w:val="00B67572"/>
    <w:rsid w:val="00B71968"/>
    <w:rsid w:val="00B72608"/>
    <w:rsid w:val="00B7287D"/>
    <w:rsid w:val="00B730CB"/>
    <w:rsid w:val="00B75012"/>
    <w:rsid w:val="00B806AB"/>
    <w:rsid w:val="00B81E1B"/>
    <w:rsid w:val="00B838AE"/>
    <w:rsid w:val="00B83C28"/>
    <w:rsid w:val="00B84281"/>
    <w:rsid w:val="00B858AE"/>
    <w:rsid w:val="00B87821"/>
    <w:rsid w:val="00B90AEC"/>
    <w:rsid w:val="00B946DD"/>
    <w:rsid w:val="00B9781E"/>
    <w:rsid w:val="00BA28EC"/>
    <w:rsid w:val="00BA2F91"/>
    <w:rsid w:val="00BA3616"/>
    <w:rsid w:val="00BA7C54"/>
    <w:rsid w:val="00BB4300"/>
    <w:rsid w:val="00BB5F59"/>
    <w:rsid w:val="00BC170D"/>
    <w:rsid w:val="00BC17C5"/>
    <w:rsid w:val="00BC2E52"/>
    <w:rsid w:val="00BC49E3"/>
    <w:rsid w:val="00BC74F4"/>
    <w:rsid w:val="00BC7896"/>
    <w:rsid w:val="00BC7F76"/>
    <w:rsid w:val="00BE0809"/>
    <w:rsid w:val="00BE1659"/>
    <w:rsid w:val="00BE3CBC"/>
    <w:rsid w:val="00BE5602"/>
    <w:rsid w:val="00BF340E"/>
    <w:rsid w:val="00BF4F1B"/>
    <w:rsid w:val="00BF6529"/>
    <w:rsid w:val="00BF7309"/>
    <w:rsid w:val="00C00481"/>
    <w:rsid w:val="00C02CBA"/>
    <w:rsid w:val="00C100B0"/>
    <w:rsid w:val="00C13944"/>
    <w:rsid w:val="00C13EEE"/>
    <w:rsid w:val="00C16C5C"/>
    <w:rsid w:val="00C20969"/>
    <w:rsid w:val="00C2097A"/>
    <w:rsid w:val="00C2202D"/>
    <w:rsid w:val="00C22DF9"/>
    <w:rsid w:val="00C250DF"/>
    <w:rsid w:val="00C26E0F"/>
    <w:rsid w:val="00C30A19"/>
    <w:rsid w:val="00C32768"/>
    <w:rsid w:val="00C333C6"/>
    <w:rsid w:val="00C345D1"/>
    <w:rsid w:val="00C347AC"/>
    <w:rsid w:val="00C36783"/>
    <w:rsid w:val="00C3699F"/>
    <w:rsid w:val="00C41268"/>
    <w:rsid w:val="00C41BFE"/>
    <w:rsid w:val="00C43DC7"/>
    <w:rsid w:val="00C50024"/>
    <w:rsid w:val="00C51FA2"/>
    <w:rsid w:val="00C53A48"/>
    <w:rsid w:val="00C576BF"/>
    <w:rsid w:val="00C605F4"/>
    <w:rsid w:val="00C60D14"/>
    <w:rsid w:val="00C61330"/>
    <w:rsid w:val="00C621EB"/>
    <w:rsid w:val="00C63385"/>
    <w:rsid w:val="00C6385B"/>
    <w:rsid w:val="00C656AD"/>
    <w:rsid w:val="00C6652B"/>
    <w:rsid w:val="00C71B8A"/>
    <w:rsid w:val="00C73607"/>
    <w:rsid w:val="00C7422B"/>
    <w:rsid w:val="00C76EC0"/>
    <w:rsid w:val="00C80AE5"/>
    <w:rsid w:val="00C81097"/>
    <w:rsid w:val="00C810A0"/>
    <w:rsid w:val="00C816AA"/>
    <w:rsid w:val="00C831F6"/>
    <w:rsid w:val="00C84DFD"/>
    <w:rsid w:val="00C85204"/>
    <w:rsid w:val="00C86F86"/>
    <w:rsid w:val="00C8770A"/>
    <w:rsid w:val="00CA0125"/>
    <w:rsid w:val="00CA2957"/>
    <w:rsid w:val="00CA7C44"/>
    <w:rsid w:val="00CB0B7B"/>
    <w:rsid w:val="00CB0E97"/>
    <w:rsid w:val="00CB1533"/>
    <w:rsid w:val="00CB34C1"/>
    <w:rsid w:val="00CB486E"/>
    <w:rsid w:val="00CB4A8F"/>
    <w:rsid w:val="00CB4E8B"/>
    <w:rsid w:val="00CB5EBA"/>
    <w:rsid w:val="00CB6982"/>
    <w:rsid w:val="00CC1949"/>
    <w:rsid w:val="00CC2849"/>
    <w:rsid w:val="00CC7214"/>
    <w:rsid w:val="00CC7D01"/>
    <w:rsid w:val="00CD1013"/>
    <w:rsid w:val="00CD1D08"/>
    <w:rsid w:val="00CD232D"/>
    <w:rsid w:val="00CD3267"/>
    <w:rsid w:val="00CD3E64"/>
    <w:rsid w:val="00CD502A"/>
    <w:rsid w:val="00CD7D65"/>
    <w:rsid w:val="00CE0367"/>
    <w:rsid w:val="00CE0BDA"/>
    <w:rsid w:val="00CE19AD"/>
    <w:rsid w:val="00CE2276"/>
    <w:rsid w:val="00CE6E3F"/>
    <w:rsid w:val="00CF2F80"/>
    <w:rsid w:val="00D00063"/>
    <w:rsid w:val="00D0120D"/>
    <w:rsid w:val="00D013E6"/>
    <w:rsid w:val="00D06F57"/>
    <w:rsid w:val="00D07A60"/>
    <w:rsid w:val="00D11D9E"/>
    <w:rsid w:val="00D13A3C"/>
    <w:rsid w:val="00D14B7D"/>
    <w:rsid w:val="00D161A7"/>
    <w:rsid w:val="00D223B1"/>
    <w:rsid w:val="00D23E90"/>
    <w:rsid w:val="00D33A51"/>
    <w:rsid w:val="00D34555"/>
    <w:rsid w:val="00D34773"/>
    <w:rsid w:val="00D357C9"/>
    <w:rsid w:val="00D35D01"/>
    <w:rsid w:val="00D37841"/>
    <w:rsid w:val="00D41DC0"/>
    <w:rsid w:val="00D4347F"/>
    <w:rsid w:val="00D43B31"/>
    <w:rsid w:val="00D4443A"/>
    <w:rsid w:val="00D478B3"/>
    <w:rsid w:val="00D51442"/>
    <w:rsid w:val="00D53390"/>
    <w:rsid w:val="00D5509F"/>
    <w:rsid w:val="00D55771"/>
    <w:rsid w:val="00D5752C"/>
    <w:rsid w:val="00D62297"/>
    <w:rsid w:val="00D6418B"/>
    <w:rsid w:val="00D66908"/>
    <w:rsid w:val="00D72DDE"/>
    <w:rsid w:val="00D7693A"/>
    <w:rsid w:val="00D81B78"/>
    <w:rsid w:val="00D83021"/>
    <w:rsid w:val="00D83AB1"/>
    <w:rsid w:val="00D83DBB"/>
    <w:rsid w:val="00D8475E"/>
    <w:rsid w:val="00D85E9E"/>
    <w:rsid w:val="00D877B5"/>
    <w:rsid w:val="00D9628C"/>
    <w:rsid w:val="00D96FE9"/>
    <w:rsid w:val="00D974F4"/>
    <w:rsid w:val="00DA1469"/>
    <w:rsid w:val="00DA1501"/>
    <w:rsid w:val="00DA152B"/>
    <w:rsid w:val="00DA1CA4"/>
    <w:rsid w:val="00DA2C52"/>
    <w:rsid w:val="00DA5007"/>
    <w:rsid w:val="00DB109E"/>
    <w:rsid w:val="00DB15E0"/>
    <w:rsid w:val="00DB4258"/>
    <w:rsid w:val="00DB5AF6"/>
    <w:rsid w:val="00DC0394"/>
    <w:rsid w:val="00DC0892"/>
    <w:rsid w:val="00DC43F9"/>
    <w:rsid w:val="00DC6B89"/>
    <w:rsid w:val="00DD0A2E"/>
    <w:rsid w:val="00DD286B"/>
    <w:rsid w:val="00DD4452"/>
    <w:rsid w:val="00DD46AA"/>
    <w:rsid w:val="00DE077E"/>
    <w:rsid w:val="00DE15EB"/>
    <w:rsid w:val="00DE4989"/>
    <w:rsid w:val="00DF014A"/>
    <w:rsid w:val="00DF1E34"/>
    <w:rsid w:val="00DF2E37"/>
    <w:rsid w:val="00DF2FC7"/>
    <w:rsid w:val="00DF4C89"/>
    <w:rsid w:val="00DF4D78"/>
    <w:rsid w:val="00DF5EF2"/>
    <w:rsid w:val="00DF6BB7"/>
    <w:rsid w:val="00DF78D3"/>
    <w:rsid w:val="00E00734"/>
    <w:rsid w:val="00E03E46"/>
    <w:rsid w:val="00E05587"/>
    <w:rsid w:val="00E06C80"/>
    <w:rsid w:val="00E07860"/>
    <w:rsid w:val="00E07C66"/>
    <w:rsid w:val="00E103E8"/>
    <w:rsid w:val="00E104A9"/>
    <w:rsid w:val="00E1275A"/>
    <w:rsid w:val="00E14749"/>
    <w:rsid w:val="00E14B3C"/>
    <w:rsid w:val="00E15AF1"/>
    <w:rsid w:val="00E16540"/>
    <w:rsid w:val="00E20AB2"/>
    <w:rsid w:val="00E21EBB"/>
    <w:rsid w:val="00E238B3"/>
    <w:rsid w:val="00E2505E"/>
    <w:rsid w:val="00E314C2"/>
    <w:rsid w:val="00E32636"/>
    <w:rsid w:val="00E330BC"/>
    <w:rsid w:val="00E33508"/>
    <w:rsid w:val="00E346F0"/>
    <w:rsid w:val="00E3617B"/>
    <w:rsid w:val="00E406F8"/>
    <w:rsid w:val="00E40898"/>
    <w:rsid w:val="00E432DD"/>
    <w:rsid w:val="00E43ECD"/>
    <w:rsid w:val="00E4451D"/>
    <w:rsid w:val="00E45042"/>
    <w:rsid w:val="00E45AE6"/>
    <w:rsid w:val="00E464AE"/>
    <w:rsid w:val="00E47FB9"/>
    <w:rsid w:val="00E50C15"/>
    <w:rsid w:val="00E52CF2"/>
    <w:rsid w:val="00E55C5F"/>
    <w:rsid w:val="00E577C6"/>
    <w:rsid w:val="00E6019A"/>
    <w:rsid w:val="00E60CBF"/>
    <w:rsid w:val="00E62760"/>
    <w:rsid w:val="00E632AF"/>
    <w:rsid w:val="00E63E0A"/>
    <w:rsid w:val="00E652FD"/>
    <w:rsid w:val="00E671DC"/>
    <w:rsid w:val="00E67A1D"/>
    <w:rsid w:val="00E70C8A"/>
    <w:rsid w:val="00E7313F"/>
    <w:rsid w:val="00E81164"/>
    <w:rsid w:val="00E815A8"/>
    <w:rsid w:val="00E83B32"/>
    <w:rsid w:val="00E91513"/>
    <w:rsid w:val="00E976BF"/>
    <w:rsid w:val="00EA2329"/>
    <w:rsid w:val="00EA4588"/>
    <w:rsid w:val="00EA4AD3"/>
    <w:rsid w:val="00EA7328"/>
    <w:rsid w:val="00EB0353"/>
    <w:rsid w:val="00EB1E0E"/>
    <w:rsid w:val="00EB2BFF"/>
    <w:rsid w:val="00EB3A99"/>
    <w:rsid w:val="00EC1C29"/>
    <w:rsid w:val="00EC5B35"/>
    <w:rsid w:val="00EC606A"/>
    <w:rsid w:val="00ED1612"/>
    <w:rsid w:val="00ED1D88"/>
    <w:rsid w:val="00ED6706"/>
    <w:rsid w:val="00EE0096"/>
    <w:rsid w:val="00EE0F2D"/>
    <w:rsid w:val="00EE74AA"/>
    <w:rsid w:val="00EF273A"/>
    <w:rsid w:val="00F06A19"/>
    <w:rsid w:val="00F104F1"/>
    <w:rsid w:val="00F12147"/>
    <w:rsid w:val="00F1391A"/>
    <w:rsid w:val="00F15A51"/>
    <w:rsid w:val="00F17099"/>
    <w:rsid w:val="00F218CE"/>
    <w:rsid w:val="00F21F65"/>
    <w:rsid w:val="00F23C34"/>
    <w:rsid w:val="00F26D76"/>
    <w:rsid w:val="00F33EA6"/>
    <w:rsid w:val="00F343D0"/>
    <w:rsid w:val="00F347DD"/>
    <w:rsid w:val="00F35C15"/>
    <w:rsid w:val="00F36320"/>
    <w:rsid w:val="00F367B8"/>
    <w:rsid w:val="00F5153A"/>
    <w:rsid w:val="00F53085"/>
    <w:rsid w:val="00F53A90"/>
    <w:rsid w:val="00F55611"/>
    <w:rsid w:val="00F55C2C"/>
    <w:rsid w:val="00F569D9"/>
    <w:rsid w:val="00F623C4"/>
    <w:rsid w:val="00F65442"/>
    <w:rsid w:val="00F65928"/>
    <w:rsid w:val="00F65A72"/>
    <w:rsid w:val="00F66ADB"/>
    <w:rsid w:val="00F676F9"/>
    <w:rsid w:val="00F67FD7"/>
    <w:rsid w:val="00F70411"/>
    <w:rsid w:val="00F70F00"/>
    <w:rsid w:val="00F71F53"/>
    <w:rsid w:val="00F7267C"/>
    <w:rsid w:val="00F75450"/>
    <w:rsid w:val="00F77D99"/>
    <w:rsid w:val="00F81139"/>
    <w:rsid w:val="00F82C5C"/>
    <w:rsid w:val="00F83CDD"/>
    <w:rsid w:val="00F849A2"/>
    <w:rsid w:val="00F866A1"/>
    <w:rsid w:val="00F91203"/>
    <w:rsid w:val="00F95EE1"/>
    <w:rsid w:val="00F96494"/>
    <w:rsid w:val="00FA3865"/>
    <w:rsid w:val="00FA5E09"/>
    <w:rsid w:val="00FA7B55"/>
    <w:rsid w:val="00FB0143"/>
    <w:rsid w:val="00FB4192"/>
    <w:rsid w:val="00FB6809"/>
    <w:rsid w:val="00FB689E"/>
    <w:rsid w:val="00FB79AE"/>
    <w:rsid w:val="00FC455E"/>
    <w:rsid w:val="00FC779A"/>
    <w:rsid w:val="00FC77CC"/>
    <w:rsid w:val="00FD1F53"/>
    <w:rsid w:val="00FD722C"/>
    <w:rsid w:val="00FE1B06"/>
    <w:rsid w:val="00FE2471"/>
    <w:rsid w:val="00FE503D"/>
    <w:rsid w:val="00FE59C7"/>
    <w:rsid w:val="00FE69E7"/>
    <w:rsid w:val="00FE7844"/>
    <w:rsid w:val="00FF1C96"/>
    <w:rsid w:val="00FF392E"/>
    <w:rsid w:val="00FF473E"/>
    <w:rsid w:val="00FF642E"/>
    <w:rsid w:val="00FF6652"/>
    <w:rsid w:val="00FF7377"/>
    <w:rsid w:val="00FF7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D271C29-BEF2-4703-8CD8-E5860A86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val="fr-FR"/>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5"/>
      </w:numPr>
    </w:pPr>
  </w:style>
  <w:style w:type="paragraph" w:customStyle="1" w:styleId="ListDash">
    <w:name w:val="List Dash"/>
    <w:basedOn w:val="Normal"/>
    <w:pPr>
      <w:numPr>
        <w:numId w:val="19"/>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ZCom">
    <w:name w:val="Z_Com"/>
    <w:basedOn w:val="Normal"/>
    <w:next w:val="ZDGName"/>
    <w:pPr>
      <w:widowControl w:val="0"/>
      <w:spacing w:after="0"/>
      <w:ind w:right="85"/>
    </w:pPr>
    <w:rPr>
      <w:rFonts w:ascii="Arial" w:hAnsi="Arial"/>
      <w:snapToGrid w:val="0"/>
      <w:lang w:eastAsia="en-US"/>
    </w:rPr>
  </w:style>
  <w:style w:type="paragraph" w:customStyle="1" w:styleId="ZDGName">
    <w:name w:val="Z_DGName"/>
    <w:basedOn w:val="Normal"/>
    <w:pPr>
      <w:widowControl w:val="0"/>
      <w:spacing w:after="0"/>
      <w:ind w:right="85"/>
      <w:jc w:val="left"/>
    </w:pPr>
    <w:rPr>
      <w:rFonts w:ascii="Arial" w:hAnsi="Arial"/>
      <w:snapToGrid w:val="0"/>
      <w:sz w:val="16"/>
      <w:lang w:eastAsia="en-US"/>
    </w:rPr>
  </w:style>
  <w:style w:type="paragraph" w:customStyle="1" w:styleId="Disclaimer">
    <w:name w:val="Disclaimer"/>
    <w:basedOn w:val="Normal"/>
    <w:pPr>
      <w:keepLines/>
      <w:pBdr>
        <w:top w:val="single" w:sz="4" w:space="1" w:color="auto"/>
      </w:pBdr>
      <w:spacing w:before="480" w:after="0"/>
    </w:pPr>
    <w:rPr>
      <w:i/>
    </w:rPr>
  </w:style>
  <w:style w:type="character" w:customStyle="1" w:styleId="DefaultMargins">
    <w:name w:val="DefaultMargins"/>
    <w:basedOn w:val="DefaultParagraphFont"/>
    <w:rPr>
      <w:rFonts w:ascii="Courier New" w:hAnsi="Courier New"/>
      <w:noProof w:val="0"/>
      <w:sz w:val="20"/>
      <w:lang w:val="en-US"/>
    </w:rPr>
  </w:style>
  <w:style w:type="paragraph" w:customStyle="1" w:styleId="Initial">
    <w:name w:val="Initial"/>
    <w:pPr>
      <w:tabs>
        <w:tab w:val="left" w:pos="-720"/>
      </w:tabs>
      <w:suppressAutoHyphens/>
      <w:jc w:val="both"/>
    </w:pPr>
    <w:rPr>
      <w:spacing w:val="-3"/>
      <w:sz w:val="24"/>
      <w:lang w:val="en-US"/>
    </w:rPr>
  </w:style>
  <w:style w:type="paragraph" w:customStyle="1" w:styleId="Statut">
    <w:name w:val="Statut"/>
    <w:basedOn w:val="Normal"/>
    <w:next w:val="Normal"/>
    <w:pPr>
      <w:spacing w:before="360" w:after="0"/>
      <w:jc w:val="center"/>
    </w:pPr>
    <w:rPr>
      <w:lang w:val="en-GB"/>
    </w:rPr>
  </w:style>
  <w:style w:type="paragraph" w:customStyle="1" w:styleId="Dput">
    <w:name w:val="Député"/>
    <w:basedOn w:val="Normal"/>
    <w:pPr>
      <w:widowControl w:val="0"/>
      <w:ind w:left="1418"/>
      <w:jc w:val="left"/>
    </w:pPr>
    <w:rPr>
      <w:snapToGrid w:val="0"/>
      <w:lang w:val="en-GB" w:eastAsia="en-US"/>
    </w:rPr>
  </w:style>
  <w:style w:type="paragraph" w:customStyle="1" w:styleId="Rfrencesproposition">
    <w:name w:val="Références proposition"/>
    <w:basedOn w:val="Normal"/>
    <w:next w:val="Normal"/>
    <w:pPr>
      <w:widowControl w:val="0"/>
      <w:spacing w:after="480"/>
      <w:ind w:left="1418"/>
      <w:jc w:val="left"/>
    </w:pPr>
    <w:rPr>
      <w:snapToGrid w:val="0"/>
      <w:lang w:val="en-GB" w:eastAsia="en-US"/>
    </w:rPr>
  </w:style>
  <w:style w:type="paragraph" w:customStyle="1" w:styleId="Typedudocument">
    <w:name w:val="Type du document"/>
    <w:basedOn w:val="Normal"/>
    <w:next w:val="Normal"/>
    <w:pPr>
      <w:spacing w:before="360" w:after="0"/>
      <w:jc w:val="center"/>
    </w:pPr>
    <w:rPr>
      <w:b/>
      <w:lang w:val="en-GB"/>
    </w:rPr>
  </w:style>
  <w:style w:type="paragraph" w:customStyle="1" w:styleId="Titreobjet">
    <w:name w:val="Titre objet"/>
    <w:basedOn w:val="Normal"/>
    <w:next w:val="Normal"/>
    <w:pPr>
      <w:spacing w:before="360" w:after="360"/>
      <w:jc w:val="center"/>
    </w:pPr>
    <w:rPr>
      <w:b/>
      <w:lang w:val="en-GB"/>
    </w:rPr>
  </w:style>
  <w:style w:type="character" w:customStyle="1" w:styleId="Marker">
    <w:name w:val="Marker"/>
    <w:basedOn w:val="DefaultParagraphFont"/>
    <w:rPr>
      <w:noProof w:val="0"/>
      <w:color w:val="0000FF"/>
      <w:lang w:val="en-GB"/>
    </w:rPr>
  </w:style>
  <w:style w:type="paragraph" w:customStyle="1" w:styleId="Rfrenceinstitutionelle">
    <w:name w:val="Référence institutionelle"/>
    <w:basedOn w:val="Normal"/>
    <w:next w:val="Normal"/>
    <w:pPr>
      <w:ind w:left="5103"/>
      <w:jc w:val="left"/>
    </w:pPr>
    <w:rPr>
      <w:lang w:val="en-GB"/>
    </w:rPr>
  </w:style>
  <w:style w:type="paragraph" w:customStyle="1" w:styleId="PointDouble0">
    <w:name w:val="PointDouble 0"/>
    <w:basedOn w:val="Normal"/>
    <w:pPr>
      <w:tabs>
        <w:tab w:val="left" w:pos="851"/>
      </w:tabs>
      <w:spacing w:before="120" w:after="120"/>
      <w:ind w:left="1418" w:hanging="1418"/>
    </w:pPr>
    <w:rPr>
      <w:lang w:val="de-DE"/>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customStyle="1" w:styleId="HideTWBExt">
    <w:name w:val="HideTWBExt"/>
    <w:basedOn w:val="DefaultParagraphFont"/>
    <w:rPr>
      <w:rFonts w:ascii="Arial" w:hAnsi="Arial"/>
      <w:noProof/>
      <w:vanish/>
      <w:color w:val="000080"/>
      <w:sz w:val="16"/>
    </w:rPr>
  </w:style>
  <w:style w:type="paragraph" w:customStyle="1" w:styleId="TextToAmendAM">
    <w:name w:val="Text To Amend AM"/>
    <w:basedOn w:val="Normal"/>
    <w:pPr>
      <w:tabs>
        <w:tab w:val="left" w:pos="-720"/>
      </w:tabs>
      <w:spacing w:after="480"/>
      <w:jc w:val="left"/>
    </w:pPr>
    <w:rPr>
      <w:lang w:val="en-GB"/>
    </w:rPr>
  </w:style>
  <w:style w:type="character" w:customStyle="1" w:styleId="HideTWBInt">
    <w:name w:val="HideTWBInt"/>
    <w:basedOn w:val="DefaultParagraphFont"/>
    <w:rPr>
      <w:vanish/>
      <w:color w:val="808080"/>
    </w:rPr>
  </w:style>
  <w:style w:type="paragraph" w:customStyle="1" w:styleId="ManualHeading2">
    <w:name w:val="Manual Heading 2"/>
    <w:basedOn w:val="Heading2"/>
    <w:next w:val="Text2"/>
    <w:pPr>
      <w:tabs>
        <w:tab w:val="num" w:pos="851"/>
      </w:tabs>
      <w:spacing w:before="120" w:after="120"/>
      <w:ind w:left="851" w:hanging="851"/>
    </w:pPr>
    <w:rPr>
      <w:lang w:val="en-GB"/>
    </w:rPr>
  </w:style>
  <w:style w:type="character" w:styleId="Emphasis">
    <w:name w:val="Emphasis"/>
    <w:basedOn w:val="DefaultParagraphFont"/>
    <w:qFormat/>
    <w:rPr>
      <w:i/>
    </w:rPr>
  </w:style>
  <w:style w:type="paragraph" w:customStyle="1" w:styleId="Tiret0">
    <w:name w:val="Tiret 0"/>
    <w:basedOn w:val="Normal"/>
    <w:pPr>
      <w:spacing w:before="120" w:after="120"/>
      <w:ind w:left="851" w:hanging="851"/>
    </w:pPr>
    <w:rPr>
      <w:lang w:val="en-GB"/>
    </w:rPr>
  </w:style>
  <w:style w:type="paragraph" w:customStyle="1" w:styleId="ATHeading3">
    <w:name w:val="AT Heading 3"/>
    <w:basedOn w:val="Normal"/>
    <w:next w:val="Normal"/>
    <w:pPr>
      <w:keepNext/>
      <w:keepLines/>
      <w:spacing w:before="120" w:after="120"/>
      <w:jc w:val="left"/>
      <w:outlineLvl w:val="2"/>
    </w:pPr>
    <w:rPr>
      <w:b/>
      <w:noProof/>
    </w:rPr>
  </w:style>
  <w:style w:type="paragraph" w:customStyle="1" w:styleId="Prliminairetitre">
    <w:name w:val="Préliminaire titre"/>
    <w:basedOn w:val="Normal"/>
    <w:next w:val="Normal"/>
    <w:pPr>
      <w:spacing w:before="360" w:after="360"/>
      <w:jc w:val="center"/>
    </w:pPr>
    <w:rPr>
      <w:b/>
      <w:lang w:val="en-GB"/>
    </w:rPr>
  </w:style>
  <w:style w:type="paragraph" w:customStyle="1" w:styleId="Par-dash">
    <w:name w:val="Par-dash"/>
    <w:basedOn w:val="Normal"/>
    <w:next w:val="Normal"/>
    <w:pPr>
      <w:widowControl w:val="0"/>
      <w:numPr>
        <w:numId w:val="18"/>
      </w:numPr>
      <w:spacing w:after="0" w:line="360" w:lineRule="auto"/>
      <w:jc w:val="left"/>
    </w:pPr>
    <w:rPr>
      <w:lang w:val="en-GB"/>
    </w:rPr>
  </w:style>
  <w:style w:type="paragraph" w:customStyle="1" w:styleId="Rfrencestatut">
    <w:name w:val="Référence statut"/>
    <w:basedOn w:val="Normal"/>
    <w:next w:val="Normal"/>
    <w:pPr>
      <w:keepNext/>
      <w:keepLines/>
      <w:widowControl w:val="0"/>
      <w:spacing w:after="0"/>
      <w:jc w:val="right"/>
    </w:pPr>
    <w:rPr>
      <w:rFonts w:ascii="Arial" w:hAnsi="Arial"/>
      <w:snapToGrid w:val="0"/>
      <w:lang w:val="en-GB" w:eastAsia="en-US"/>
    </w:rPr>
  </w:style>
  <w:style w:type="character" w:customStyle="1" w:styleId="Point0Char">
    <w:name w:val="Point 0 Char"/>
    <w:basedOn w:val="DefaultParagraphFont"/>
    <w:rPr>
      <w:noProof w:val="0"/>
      <w:sz w:val="24"/>
      <w:lang w:val="fr-FR" w:eastAsia="ko-KR" w:bidi="ar-SA"/>
    </w:rPr>
  </w:style>
  <w:style w:type="paragraph" w:customStyle="1" w:styleId="ManualHeading3">
    <w:name w:val="Manual Heading 3"/>
    <w:basedOn w:val="Heading3"/>
    <w:next w:val="Text3"/>
    <w:pPr>
      <w:tabs>
        <w:tab w:val="num" w:pos="851"/>
      </w:tabs>
      <w:spacing w:before="120" w:after="120"/>
      <w:ind w:left="850" w:hanging="850"/>
    </w:pPr>
    <w:rPr>
      <w:lang w:val="en-GB"/>
    </w:rPr>
  </w:style>
  <w:style w:type="paragraph" w:customStyle="1" w:styleId="titreobjet0">
    <w:name w:val="titreobjet"/>
    <w:basedOn w:val="Normal"/>
    <w:pPr>
      <w:snapToGrid w:val="0"/>
      <w:spacing w:after="0"/>
      <w:ind w:left="1418"/>
      <w:jc w:val="left"/>
    </w:pPr>
    <w:rPr>
      <w:lang w:val="en-GB"/>
    </w:rPr>
  </w:style>
  <w:style w:type="paragraph" w:customStyle="1" w:styleId="text10">
    <w:name w:val="text1"/>
    <w:basedOn w:val="Normal"/>
    <w:pPr>
      <w:ind w:left="482"/>
    </w:pPr>
    <w:rPr>
      <w:lang w:val="en-GB"/>
    </w:rPr>
  </w:style>
  <w:style w:type="paragraph" w:customStyle="1" w:styleId="notehead0">
    <w:name w:val="notehead"/>
    <w:basedOn w:val="Normal"/>
    <w:pPr>
      <w:spacing w:before="720" w:after="720"/>
      <w:jc w:val="center"/>
    </w:pPr>
    <w:rPr>
      <w:b/>
      <w:smallCaps/>
      <w:lang w:val="en-GB"/>
    </w:rPr>
  </w:style>
  <w:style w:type="paragraph" w:customStyle="1" w:styleId="numpar10">
    <w:name w:val="numpar1"/>
    <w:basedOn w:val="Normal"/>
    <w:pPr>
      <w:ind w:left="480" w:hanging="480"/>
    </w:pPr>
    <w:rPr>
      <w:lang w:val="en-GB"/>
    </w:rPr>
  </w:style>
  <w:style w:type="paragraph" w:customStyle="1" w:styleId="Point0">
    <w:name w:val="Point 0"/>
    <w:basedOn w:val="Normal"/>
    <w:rsid w:val="00027C0D"/>
    <w:pPr>
      <w:spacing w:before="120" w:after="120"/>
      <w:ind w:left="850" w:hanging="850"/>
    </w:pPr>
    <w:rPr>
      <w:lang w:val="en-GB"/>
    </w:rPr>
  </w:style>
  <w:style w:type="paragraph" w:customStyle="1" w:styleId="Rfrenceinterinstitutionelle">
    <w:name w:val="Référence interinstitutionelle"/>
    <w:basedOn w:val="Normal"/>
    <w:next w:val="Normal"/>
    <w:rsid w:val="00027C0D"/>
    <w:pPr>
      <w:spacing w:after="0"/>
      <w:ind w:left="5103"/>
      <w:jc w:val="left"/>
    </w:pPr>
    <w:rPr>
      <w:lang w:val="en-GB"/>
    </w:rPr>
  </w:style>
  <w:style w:type="paragraph" w:customStyle="1" w:styleId="5Normal">
    <w:name w:val="5 Normal"/>
    <w:rsid w:val="002B48C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jc w:val="both"/>
    </w:pPr>
    <w:rPr>
      <w:spacing w:val="-2"/>
      <w:sz w:val="24"/>
      <w:szCs w:val="24"/>
    </w:rPr>
  </w:style>
  <w:style w:type="paragraph" w:customStyle="1" w:styleId="normal0">
    <w:name w:val="normal"/>
    <w:rsid w:val="002225CB"/>
    <w:pPr>
      <w:spacing w:after="170"/>
      <w:jc w:val="both"/>
    </w:pPr>
    <w:rPr>
      <w:rFonts w:ascii="Helvetica" w:hAnsi="Helvetica"/>
      <w:snapToGrid w:val="0"/>
      <w:color w:val="000000"/>
      <w:lang w:eastAsia="en-US"/>
    </w:rPr>
  </w:style>
  <w:style w:type="paragraph" w:customStyle="1" w:styleId="paragraphe1">
    <w:name w:val="paragraphe1"/>
    <w:basedOn w:val="normal0"/>
    <w:rsid w:val="002225CB"/>
    <w:pPr>
      <w:tabs>
        <w:tab w:val="left" w:pos="283"/>
      </w:tabs>
      <w:ind w:left="283" w:hanging="283"/>
    </w:pPr>
    <w:rPr>
      <w:color w:val="auto"/>
    </w:rPr>
  </w:style>
  <w:style w:type="paragraph" w:customStyle="1" w:styleId="Normal12Centre">
    <w:name w:val="Normal12Centre"/>
    <w:basedOn w:val="Normal"/>
    <w:rsid w:val="00CB6982"/>
    <w:pPr>
      <w:widowControl w:val="0"/>
      <w:jc w:val="center"/>
    </w:pPr>
    <w:rPr>
      <w:lang w:val="en-GB"/>
    </w:rPr>
  </w:style>
  <w:style w:type="paragraph" w:customStyle="1" w:styleId="Normal12Italic">
    <w:name w:val="Normal12Italic"/>
    <w:basedOn w:val="Normal"/>
    <w:rsid w:val="00CB6982"/>
    <w:pPr>
      <w:widowControl w:val="0"/>
      <w:jc w:val="left"/>
    </w:pPr>
    <w:rPr>
      <w:i/>
      <w:lang w:val="en-GB"/>
    </w:rPr>
  </w:style>
  <w:style w:type="paragraph" w:customStyle="1" w:styleId="Normal12Center">
    <w:name w:val="Normal12Center"/>
    <w:basedOn w:val="Normal"/>
    <w:rsid w:val="00CB6982"/>
    <w:pPr>
      <w:widowControl w:val="0"/>
      <w:jc w:val="center"/>
    </w:pPr>
    <w:rPr>
      <w:lang w:val="en-GB"/>
    </w:rPr>
  </w:style>
  <w:style w:type="table" w:styleId="TableGrid">
    <w:name w:val="Table Grid"/>
    <w:basedOn w:val="TableNormal"/>
    <w:rsid w:val="00D8475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
    <w:name w:val="Manual NumPar 1"/>
    <w:basedOn w:val="Normal"/>
    <w:next w:val="Normal"/>
    <w:rsid w:val="00DF4D78"/>
    <w:pPr>
      <w:spacing w:before="120" w:after="120"/>
      <w:ind w:left="851" w:hanging="851"/>
    </w:pPr>
    <w:rPr>
      <w:lang w:val="en-GB"/>
    </w:rPr>
  </w:style>
  <w:style w:type="paragraph" w:customStyle="1" w:styleId="ManualNumPar2">
    <w:name w:val="Manual NumPar 2"/>
    <w:basedOn w:val="Normal"/>
    <w:next w:val="Normal"/>
    <w:rsid w:val="002862E0"/>
    <w:pPr>
      <w:spacing w:before="120" w:after="120"/>
      <w:ind w:left="851" w:hanging="851"/>
    </w:pPr>
    <w:rPr>
      <w:lang w:val="en-GB"/>
    </w:rPr>
  </w:style>
  <w:style w:type="paragraph" w:customStyle="1" w:styleId="CoverNormal">
    <w:name w:val="CoverNormal"/>
    <w:basedOn w:val="Normal"/>
    <w:rsid w:val="00547AE2"/>
    <w:pPr>
      <w:widowControl w:val="0"/>
      <w:spacing w:after="0"/>
      <w:ind w:left="1418"/>
      <w:jc w:val="left"/>
    </w:pPr>
    <w:rPr>
      <w:lang w:val="en-GB"/>
    </w:rPr>
  </w:style>
  <w:style w:type="paragraph" w:customStyle="1" w:styleId="RefStatus">
    <w:name w:val="RefStatus"/>
    <w:basedOn w:val="Normal"/>
    <w:rsid w:val="005C6CA2"/>
    <w:pPr>
      <w:widowControl w:val="0"/>
      <w:spacing w:after="0"/>
      <w:jc w:val="right"/>
    </w:pPr>
    <w:rPr>
      <w:rFonts w:ascii="Arial" w:hAnsi="Arial"/>
      <w:caps/>
      <w:lang w:val="en-GB"/>
    </w:rPr>
  </w:style>
  <w:style w:type="paragraph" w:styleId="NormalWeb">
    <w:name w:val="Normal (Web)"/>
    <w:basedOn w:val="Normal"/>
    <w:rsid w:val="005C6CA2"/>
    <w:pPr>
      <w:spacing w:before="100" w:beforeAutospacing="1" w:after="100" w:afterAutospacing="1"/>
      <w:jc w:val="left"/>
    </w:pPr>
    <w:rPr>
      <w:szCs w:val="24"/>
      <w:lang w:val="en-GB"/>
    </w:rPr>
  </w:style>
  <w:style w:type="character" w:styleId="CommentReference">
    <w:name w:val="annotation reference"/>
    <w:basedOn w:val="DefaultParagraphFont"/>
    <w:semiHidden/>
    <w:rsid w:val="00E07860"/>
    <w:rPr>
      <w:sz w:val="16"/>
      <w:szCs w:val="16"/>
    </w:rPr>
  </w:style>
  <w:style w:type="paragraph" w:styleId="BalloonText">
    <w:name w:val="Balloon Text"/>
    <w:basedOn w:val="Normal"/>
    <w:semiHidden/>
    <w:rsid w:val="00E07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4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not.dot</Template>
  <TotalTime>0</TotalTime>
  <Pages>28</Pages>
  <Words>5878</Words>
  <Characters>33510</Characters>
  <Application>Microsoft Office Word</Application>
  <DocSecurity>0</DocSecurity>
  <PresentationFormat>Microsoft Word 8.0b</PresentationFormat>
  <Lines>279</Lines>
  <Paragraphs>78</Paragraphs>
  <ScaleCrop>false</ScaleCrop>
  <HeadingPairs>
    <vt:vector size="2" baseType="variant">
      <vt:variant>
        <vt:lpstr>Title</vt:lpstr>
      </vt:variant>
      <vt:variant>
        <vt:i4>1</vt:i4>
      </vt:variant>
    </vt:vector>
  </HeadingPairs>
  <TitlesOfParts>
    <vt:vector size="1" baseType="lpstr">
      <vt:lpstr>SP-2005-01076-00-00-FR-TRA-00 (EN)</vt:lpstr>
    </vt:vector>
  </TitlesOfParts>
  <Company/>
  <LinksUpToDate>false</LinksUpToDate>
  <CharactersWithSpaces>39310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SP-2005-01076-00-00-FR-TRA-00 (EN)</dc:title>
  <dc:subject>communication de la Commission</dc:subject>
  <dc:creator>brecxca</dc:creator>
  <cp:keywords>EL4</cp:keywords>
  <cp:lastModifiedBy>GALLONE Frederic</cp:lastModifiedBy>
  <cp:revision>2</cp:revision>
  <cp:lastPrinted>2005-04-29T14:30:00Z</cp:lastPrinted>
  <dcterms:created xsi:type="dcterms:W3CDTF">2024-06-05T07:42:00Z</dcterms:created>
  <dcterms:modified xsi:type="dcterms:W3CDTF">2024-06-05T07:42:00Z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4.1XL XL [20040326]</vt:lpwstr>
  </property>
  <property fmtid="{D5CDD505-2E9C-101B-9397-08002B2CF9AE}" pid="7" name="EL_Author">
    <vt:lpwstr>M. WERKER</vt:lpwstr>
  </property>
  <property fmtid="{D5CDD505-2E9C-101B-9397-08002B2CF9AE}" pid="8" name="Type">
    <vt:lpwstr>Eurolook Note &amp; Letter</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ies>
</file>