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7655"/>
      </w:tblGrid>
      <w:tr w:rsidR="0063420F" w:rsidRPr="00C36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/>
        </w:trPr>
        <w:tc>
          <w:tcPr>
            <w:tcW w:w="1814" w:type="dxa"/>
          </w:tcPr>
          <w:p w:rsidR="0063420F" w:rsidRPr="00C36A30" w:rsidRDefault="00954F34">
            <w:pPr>
              <w:jc w:val="left"/>
            </w:pPr>
            <w:bookmarkStart w:id="0" w:name="_GoBack"/>
            <w:bookmarkEnd w:id="0"/>
            <w:r w:rsidRPr="00C36A30">
              <w:rPr>
                <w:noProof/>
                <w:sz w:val="20"/>
                <w:lang w:val="en-GB"/>
              </w:rPr>
              <w:drawing>
                <wp:inline distT="0" distB="0" distL="0" distR="0">
                  <wp:extent cx="1009650" cy="6718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3420F" w:rsidRPr="00C36A30" w:rsidRDefault="0063420F">
            <w:pPr>
              <w:pStyle w:val="ZCom"/>
              <w:widowControl/>
            </w:pPr>
            <w:r w:rsidRPr="00C36A30">
              <w:t>COMMISSION EUROPÉENNE</w:t>
            </w:r>
          </w:p>
          <w:p w:rsidR="0063420F" w:rsidRPr="00C36A30" w:rsidRDefault="0063420F">
            <w:pPr>
              <w:pStyle w:val="ZDGName"/>
              <w:widowControl/>
            </w:pPr>
            <w:r w:rsidRPr="00C36A30">
              <w:t>SECRÉTARIAT GÉNÉRAL</w:t>
            </w:r>
          </w:p>
          <w:p w:rsidR="0063420F" w:rsidRPr="00C36A30" w:rsidRDefault="0063420F">
            <w:pPr>
              <w:pStyle w:val="ZDGName"/>
              <w:widowControl/>
            </w:pPr>
            <w:r w:rsidRPr="00C36A30">
              <w:t xml:space="preserve">Direction </w:t>
            </w:r>
            <w:r w:rsidR="00095245">
              <w:t>G</w:t>
            </w:r>
          </w:p>
          <w:p w:rsidR="0063420F" w:rsidRPr="00C36A30" w:rsidRDefault="0063420F">
            <w:pPr>
              <w:pStyle w:val="ZDGName"/>
              <w:widowControl/>
            </w:pPr>
            <w:r w:rsidRPr="00C36A30">
              <w:rPr>
                <w:b/>
              </w:rPr>
              <w:t xml:space="preserve">Relations avec le Parlement européen, le </w:t>
            </w:r>
            <w:r w:rsidR="00095245">
              <w:rPr>
                <w:b/>
              </w:rPr>
              <w:t>M</w:t>
            </w:r>
            <w:r w:rsidRPr="00C36A30">
              <w:rPr>
                <w:b/>
              </w:rPr>
              <w:t>édiateur européen, le Comité économique et social européen</w:t>
            </w:r>
            <w:r w:rsidR="00095245">
              <w:rPr>
                <w:b/>
              </w:rPr>
              <w:t>,</w:t>
            </w:r>
            <w:r w:rsidRPr="00C36A30">
              <w:rPr>
                <w:b/>
              </w:rPr>
              <w:t xml:space="preserve"> </w:t>
            </w:r>
            <w:r w:rsidR="00095245">
              <w:rPr>
                <w:b/>
              </w:rPr>
              <w:t>l</w:t>
            </w:r>
            <w:r w:rsidRPr="00C36A30">
              <w:rPr>
                <w:b/>
              </w:rPr>
              <w:t xml:space="preserve">e Comité des </w:t>
            </w:r>
            <w:r w:rsidR="00095245">
              <w:rPr>
                <w:b/>
              </w:rPr>
              <w:t>R</w:t>
            </w:r>
            <w:r w:rsidRPr="00C36A30">
              <w:rPr>
                <w:b/>
              </w:rPr>
              <w:t>égions</w:t>
            </w:r>
            <w:r w:rsidR="00095245">
              <w:rPr>
                <w:b/>
              </w:rPr>
              <w:t xml:space="preserve"> et les Parlements nationaux</w:t>
            </w:r>
          </w:p>
          <w:p w:rsidR="0063420F" w:rsidRPr="00C36A30" w:rsidRDefault="0063420F">
            <w:pPr>
              <w:spacing w:after="0"/>
            </w:pPr>
          </w:p>
        </w:tc>
      </w:tr>
    </w:tbl>
    <w:p w:rsidR="0063420F" w:rsidRPr="00C36A30" w:rsidRDefault="0063420F">
      <w:pPr>
        <w:pStyle w:val="Date"/>
      </w:pPr>
      <w:r w:rsidRPr="00C36A30">
        <w:t>Bruxelles, le</w:t>
      </w:r>
      <w:r w:rsidR="00E14749" w:rsidRPr="00C36A30">
        <w:t xml:space="preserve"> 19</w:t>
      </w:r>
      <w:r w:rsidR="0084284B" w:rsidRPr="00C36A30">
        <w:t xml:space="preserve"> janvier </w:t>
      </w:r>
      <w:r w:rsidR="00E14749" w:rsidRPr="00C36A30">
        <w:t>2005</w:t>
      </w:r>
    </w:p>
    <w:p w:rsidR="0063420F" w:rsidRPr="00C36A30" w:rsidRDefault="0063420F">
      <w:pPr>
        <w:pStyle w:val="Reference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976"/>
        <w:gridCol w:w="786"/>
      </w:tblGrid>
      <w:tr w:rsidR="0063420F" w:rsidRPr="00C36A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3420F" w:rsidRPr="00C36A30" w:rsidRDefault="0063420F">
            <w:r w:rsidRPr="00C36A30">
              <w:rPr>
                <w:b/>
              </w:rPr>
              <w:t>SP(200</w:t>
            </w:r>
            <w:r w:rsidR="006D5D05" w:rsidRPr="00C36A30">
              <w:rPr>
                <w:b/>
              </w:rPr>
              <w:t>5</w:t>
            </w:r>
            <w:r w:rsidRPr="00C36A30">
              <w:rPr>
                <w:b/>
              </w:rPr>
              <w:t>)</w:t>
            </w:r>
            <w:r w:rsidR="00D13A3C" w:rsidRPr="00C36A30">
              <w:rPr>
                <w:b/>
              </w:rPr>
              <w:t>239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43ECD" w:rsidRPr="00C36A30" w:rsidRDefault="00E43ECD" w:rsidP="008D27CC">
            <w:pPr>
              <w:spacing w:after="0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63420F" w:rsidRPr="00C36A30" w:rsidRDefault="0063420F"/>
        </w:tc>
      </w:tr>
    </w:tbl>
    <w:p w:rsidR="0063420F" w:rsidRPr="00C36A30" w:rsidRDefault="0063420F">
      <w:pPr>
        <w:spacing w:after="120"/>
        <w:rPr>
          <w:sz w:val="48"/>
        </w:rPr>
      </w:pPr>
    </w:p>
    <w:p w:rsidR="0063420F" w:rsidRPr="00C36A30" w:rsidRDefault="0063420F">
      <w:pPr>
        <w:jc w:val="center"/>
        <w:rPr>
          <w:b/>
          <w:sz w:val="48"/>
        </w:rPr>
      </w:pPr>
    </w:p>
    <w:p w:rsidR="0063420F" w:rsidRPr="00C36A30" w:rsidRDefault="0063420F">
      <w:pPr>
        <w:jc w:val="center"/>
        <w:rPr>
          <w:b/>
          <w:sz w:val="48"/>
        </w:rPr>
      </w:pPr>
      <w:r w:rsidRPr="00C36A30">
        <w:rPr>
          <w:b/>
          <w:sz w:val="48"/>
        </w:rPr>
        <w:t>Communication de la Commission</w:t>
      </w:r>
      <w:r w:rsidRPr="00C36A30">
        <w:rPr>
          <w:b/>
          <w:sz w:val="48"/>
        </w:rPr>
        <w:br/>
        <w:t>sur les suites données aux avis et résolutions adoptés par le Parlement européen lors de</w:t>
      </w:r>
      <w:r w:rsidR="00290435" w:rsidRPr="00C36A30">
        <w:rPr>
          <w:b/>
          <w:sz w:val="48"/>
        </w:rPr>
        <w:t>s</w:t>
      </w:r>
      <w:r w:rsidR="0074436B" w:rsidRPr="00C36A30">
        <w:rPr>
          <w:b/>
          <w:sz w:val="48"/>
        </w:rPr>
        <w:t xml:space="preserve"> </w:t>
      </w:r>
      <w:r w:rsidRPr="00C36A30">
        <w:rPr>
          <w:b/>
          <w:sz w:val="48"/>
        </w:rPr>
        <w:t>session</w:t>
      </w:r>
      <w:r w:rsidR="00290435" w:rsidRPr="00C36A30">
        <w:rPr>
          <w:b/>
          <w:sz w:val="48"/>
        </w:rPr>
        <w:t>s</w:t>
      </w:r>
      <w:r w:rsidR="00E07C66" w:rsidRPr="00C36A30">
        <w:rPr>
          <w:b/>
          <w:sz w:val="48"/>
        </w:rPr>
        <w:t xml:space="preserve"> </w:t>
      </w:r>
      <w:r w:rsidR="00290435" w:rsidRPr="00C36A30">
        <w:rPr>
          <w:b/>
          <w:sz w:val="48"/>
        </w:rPr>
        <w:t xml:space="preserve">I et II </w:t>
      </w:r>
      <w:r w:rsidRPr="00C36A30">
        <w:rPr>
          <w:b/>
          <w:sz w:val="48"/>
        </w:rPr>
        <w:t>d</w:t>
      </w:r>
      <w:r w:rsidR="0074436B" w:rsidRPr="00C36A30">
        <w:rPr>
          <w:b/>
          <w:sz w:val="48"/>
        </w:rPr>
        <w:t xml:space="preserve">e </w:t>
      </w:r>
      <w:r w:rsidR="00290435" w:rsidRPr="00C36A30">
        <w:rPr>
          <w:b/>
          <w:sz w:val="48"/>
        </w:rPr>
        <w:t>décembre</w:t>
      </w:r>
      <w:r w:rsidR="0084284B" w:rsidRPr="00C36A30">
        <w:rPr>
          <w:b/>
          <w:sz w:val="48"/>
        </w:rPr>
        <w:t> </w:t>
      </w:r>
      <w:r w:rsidRPr="00C36A30">
        <w:rPr>
          <w:b/>
          <w:sz w:val="48"/>
        </w:rPr>
        <w:t>200</w:t>
      </w:r>
      <w:r w:rsidR="008933E8" w:rsidRPr="00C36A30">
        <w:rPr>
          <w:b/>
          <w:sz w:val="48"/>
        </w:rPr>
        <w:t>4</w:t>
      </w:r>
    </w:p>
    <w:p w:rsidR="0063420F" w:rsidRPr="00C36A30" w:rsidRDefault="0063420F">
      <w:pPr>
        <w:rPr>
          <w:b/>
        </w:rPr>
      </w:pPr>
      <w:r w:rsidRPr="00C36A30">
        <w:br w:type="page"/>
      </w:r>
    </w:p>
    <w:p w:rsidR="0063420F" w:rsidRPr="00685330" w:rsidRDefault="00E0650F">
      <w:pPr>
        <w:rPr>
          <w:b/>
          <w:smallCaps/>
        </w:rPr>
      </w:pPr>
      <w:r w:rsidRPr="00685330">
        <w:rPr>
          <w:b/>
          <w:smallCaps/>
        </w:rPr>
        <w:lastRenderedPageBreak/>
        <w:t>Dans la premi</w:t>
      </w:r>
      <w:r w:rsidR="000A778F">
        <w:rPr>
          <w:b/>
          <w:smallCaps/>
        </w:rPr>
        <w:t>e</w:t>
      </w:r>
      <w:r w:rsidR="008873A7" w:rsidRPr="00685330">
        <w:rPr>
          <w:b/>
          <w:smallCaps/>
        </w:rPr>
        <w:t xml:space="preserve">re partie, </w:t>
      </w:r>
      <w:r w:rsidR="00F04C5D" w:rsidRPr="00685330">
        <w:rPr>
          <w:b/>
          <w:smallCaps/>
        </w:rPr>
        <w:t xml:space="preserve">cette communication </w:t>
      </w:r>
      <w:r w:rsidR="008873A7" w:rsidRPr="00685330">
        <w:rPr>
          <w:b/>
          <w:smallCaps/>
        </w:rPr>
        <w:t>informe le Parlement europ</w:t>
      </w:r>
      <w:r w:rsidR="000A778F">
        <w:rPr>
          <w:b/>
          <w:smallCaps/>
        </w:rPr>
        <w:t>e</w:t>
      </w:r>
      <w:r w:rsidR="0063420F" w:rsidRPr="00685330">
        <w:rPr>
          <w:b/>
          <w:smallCaps/>
        </w:rPr>
        <w:t xml:space="preserve">en </w:t>
      </w:r>
      <w:r w:rsidR="00F04C5D" w:rsidRPr="00685330">
        <w:rPr>
          <w:b/>
          <w:smallCaps/>
        </w:rPr>
        <w:t>sur l</w:t>
      </w:r>
      <w:r w:rsidR="008873A7" w:rsidRPr="00685330">
        <w:rPr>
          <w:b/>
          <w:smallCaps/>
        </w:rPr>
        <w:t>es s</w:t>
      </w:r>
      <w:r w:rsidR="0063420F" w:rsidRPr="00685330">
        <w:rPr>
          <w:b/>
          <w:smallCaps/>
        </w:rPr>
        <w:t xml:space="preserve">uites </w:t>
      </w:r>
      <w:r w:rsidR="008873A7" w:rsidRPr="00685330">
        <w:rPr>
          <w:b/>
          <w:smallCaps/>
        </w:rPr>
        <w:t>qu</w:t>
      </w:r>
      <w:r w:rsidR="00F04C5D" w:rsidRPr="00685330">
        <w:rPr>
          <w:b/>
          <w:smallCaps/>
        </w:rPr>
        <w:t>e la</w:t>
      </w:r>
      <w:r w:rsidR="008873A7" w:rsidRPr="00685330">
        <w:rPr>
          <w:b/>
          <w:smallCaps/>
        </w:rPr>
        <w:t xml:space="preserve"> </w:t>
      </w:r>
      <w:r w:rsidR="00F04C5D" w:rsidRPr="00685330">
        <w:rPr>
          <w:b/>
          <w:smallCaps/>
        </w:rPr>
        <w:t xml:space="preserve">commission </w:t>
      </w:r>
      <w:r w:rsidR="008873A7" w:rsidRPr="00685330">
        <w:rPr>
          <w:b/>
          <w:smallCaps/>
        </w:rPr>
        <w:t>a donn</w:t>
      </w:r>
      <w:r w:rsidR="000A778F">
        <w:rPr>
          <w:b/>
          <w:smallCaps/>
        </w:rPr>
        <w:t>e</w:t>
      </w:r>
      <w:r w:rsidR="008873A7" w:rsidRPr="00685330">
        <w:rPr>
          <w:b/>
          <w:smallCaps/>
        </w:rPr>
        <w:t>es a</w:t>
      </w:r>
      <w:r w:rsidR="0063420F" w:rsidRPr="00685330">
        <w:rPr>
          <w:b/>
          <w:smallCaps/>
        </w:rPr>
        <w:t>ux amendements adopt</w:t>
      </w:r>
      <w:r w:rsidR="000A778F">
        <w:rPr>
          <w:b/>
          <w:smallCaps/>
        </w:rPr>
        <w:t>e</w:t>
      </w:r>
      <w:r w:rsidR="0063420F" w:rsidRPr="00685330">
        <w:rPr>
          <w:b/>
          <w:smallCaps/>
        </w:rPr>
        <w:t>s par celui</w:t>
      </w:r>
      <w:r w:rsidR="000A778F">
        <w:rPr>
          <w:b/>
          <w:smallCaps/>
        </w:rPr>
        <w:t>-ci</w:t>
      </w:r>
      <w:r w:rsidR="0063420F" w:rsidRPr="00685330">
        <w:rPr>
          <w:b/>
          <w:smallCaps/>
        </w:rPr>
        <w:t xml:space="preserve"> </w:t>
      </w:r>
      <w:r w:rsidR="00F04C5D" w:rsidRPr="00685330">
        <w:rPr>
          <w:b/>
          <w:smallCaps/>
        </w:rPr>
        <w:t xml:space="preserve">sur ses propositions </w:t>
      </w:r>
      <w:r w:rsidR="008873A7" w:rsidRPr="00685330">
        <w:rPr>
          <w:b/>
          <w:smallCaps/>
        </w:rPr>
        <w:t>l</w:t>
      </w:r>
      <w:r w:rsidR="000A778F">
        <w:rPr>
          <w:b/>
          <w:smallCaps/>
        </w:rPr>
        <w:t>e</w:t>
      </w:r>
      <w:r w:rsidR="0063420F" w:rsidRPr="00685330">
        <w:rPr>
          <w:b/>
          <w:smallCaps/>
        </w:rPr>
        <w:t>gislatives au cours de</w:t>
      </w:r>
      <w:r w:rsidR="00290435" w:rsidRPr="00685330">
        <w:rPr>
          <w:b/>
          <w:smallCaps/>
        </w:rPr>
        <w:t>s</w:t>
      </w:r>
      <w:r w:rsidR="00E83B32" w:rsidRPr="00685330">
        <w:rPr>
          <w:b/>
          <w:smallCaps/>
        </w:rPr>
        <w:t xml:space="preserve"> </w:t>
      </w:r>
      <w:r w:rsidR="0063420F" w:rsidRPr="00685330">
        <w:rPr>
          <w:b/>
          <w:smallCaps/>
        </w:rPr>
        <w:t>session</w:t>
      </w:r>
      <w:r w:rsidR="00290435" w:rsidRPr="00685330">
        <w:rPr>
          <w:b/>
          <w:smallCaps/>
        </w:rPr>
        <w:t>s</w:t>
      </w:r>
      <w:r w:rsidR="0063420F" w:rsidRPr="00685330">
        <w:rPr>
          <w:b/>
          <w:smallCaps/>
        </w:rPr>
        <w:t xml:space="preserve"> pl</w:t>
      </w:r>
      <w:r w:rsidR="00685330" w:rsidRPr="00685330">
        <w:rPr>
          <w:b/>
          <w:smallCaps/>
        </w:rPr>
        <w:t>e</w:t>
      </w:r>
      <w:r w:rsidR="0063420F" w:rsidRPr="00685330">
        <w:rPr>
          <w:b/>
          <w:smallCaps/>
        </w:rPr>
        <w:t>nière</w:t>
      </w:r>
      <w:r w:rsidR="00290435" w:rsidRPr="00685330">
        <w:rPr>
          <w:b/>
          <w:smallCaps/>
        </w:rPr>
        <w:t>s</w:t>
      </w:r>
      <w:r w:rsidR="0063420F" w:rsidRPr="00685330">
        <w:rPr>
          <w:b/>
          <w:smallCaps/>
        </w:rPr>
        <w:t xml:space="preserve"> </w:t>
      </w:r>
      <w:r w:rsidR="00290435" w:rsidRPr="00685330">
        <w:rPr>
          <w:b/>
          <w:smallCaps/>
        </w:rPr>
        <w:t xml:space="preserve">i et ii </w:t>
      </w:r>
      <w:r w:rsidR="0063420F" w:rsidRPr="00685330">
        <w:rPr>
          <w:b/>
          <w:smallCaps/>
        </w:rPr>
        <w:t>du mois d</w:t>
      </w:r>
      <w:r w:rsidR="00E83B32" w:rsidRPr="00685330">
        <w:rPr>
          <w:b/>
          <w:smallCaps/>
        </w:rPr>
        <w:t xml:space="preserve">e </w:t>
      </w:r>
      <w:r w:rsidR="008873A7" w:rsidRPr="00685330">
        <w:rPr>
          <w:b/>
          <w:smallCaps/>
        </w:rPr>
        <w:t>d</w:t>
      </w:r>
      <w:r w:rsidR="000A778F">
        <w:rPr>
          <w:b/>
          <w:smallCaps/>
        </w:rPr>
        <w:t>e</w:t>
      </w:r>
      <w:r w:rsidR="00290435" w:rsidRPr="00685330">
        <w:rPr>
          <w:b/>
          <w:smallCaps/>
        </w:rPr>
        <w:t>cembre</w:t>
      </w:r>
      <w:r w:rsidR="0063420F" w:rsidRPr="00685330">
        <w:rPr>
          <w:b/>
          <w:smallCaps/>
        </w:rPr>
        <w:t xml:space="preserve"> 200</w:t>
      </w:r>
      <w:r w:rsidR="00814199" w:rsidRPr="00685330">
        <w:rPr>
          <w:b/>
          <w:smallCaps/>
        </w:rPr>
        <w:t>4</w:t>
      </w:r>
      <w:r w:rsidR="0063420F" w:rsidRPr="00685330">
        <w:rPr>
          <w:b/>
          <w:smallCaps/>
        </w:rPr>
        <w:t>.</w:t>
      </w:r>
    </w:p>
    <w:p w:rsidR="0063420F" w:rsidRPr="00685330" w:rsidRDefault="008873A7">
      <w:pPr>
        <w:rPr>
          <w:b/>
          <w:smallCaps/>
        </w:rPr>
      </w:pPr>
      <w:r w:rsidRPr="00685330">
        <w:rPr>
          <w:b/>
          <w:smallCaps/>
        </w:rPr>
        <w:t xml:space="preserve">Dans la </w:t>
      </w:r>
      <w:r w:rsidR="00F04C5D" w:rsidRPr="00685330">
        <w:rPr>
          <w:b/>
          <w:smallCaps/>
        </w:rPr>
        <w:t>deuxi</w:t>
      </w:r>
      <w:r w:rsidR="000A778F">
        <w:rPr>
          <w:b/>
          <w:smallCaps/>
        </w:rPr>
        <w:t>e</w:t>
      </w:r>
      <w:r w:rsidR="00F04C5D" w:rsidRPr="00685330">
        <w:rPr>
          <w:b/>
          <w:smallCaps/>
        </w:rPr>
        <w:t>me</w:t>
      </w:r>
      <w:r w:rsidR="0063420F" w:rsidRPr="00685330">
        <w:rPr>
          <w:b/>
          <w:smallCaps/>
        </w:rPr>
        <w:t xml:space="preserve"> partie, </w:t>
      </w:r>
      <w:r w:rsidR="00685330" w:rsidRPr="00685330">
        <w:rPr>
          <w:b/>
          <w:smallCaps/>
        </w:rPr>
        <w:t>la commission</w:t>
      </w:r>
      <w:r w:rsidRPr="00685330">
        <w:rPr>
          <w:b/>
          <w:smallCaps/>
        </w:rPr>
        <w:t xml:space="preserve"> </w:t>
      </w:r>
      <w:r w:rsidR="0063420F" w:rsidRPr="00685330">
        <w:rPr>
          <w:b/>
          <w:smallCaps/>
        </w:rPr>
        <w:t>dresse la</w:t>
      </w:r>
      <w:r w:rsidRPr="00685330">
        <w:rPr>
          <w:b/>
          <w:smallCaps/>
        </w:rPr>
        <w:t xml:space="preserve"> liste d</w:t>
      </w:r>
      <w:r w:rsidR="00C36A30" w:rsidRPr="00685330">
        <w:rPr>
          <w:b/>
          <w:smallCaps/>
        </w:rPr>
        <w:t>’</w:t>
      </w:r>
      <w:r w:rsidRPr="00685330">
        <w:rPr>
          <w:b/>
          <w:smallCaps/>
        </w:rPr>
        <w:t>un certain nombre de r</w:t>
      </w:r>
      <w:r w:rsidR="000A778F">
        <w:rPr>
          <w:b/>
          <w:smallCaps/>
        </w:rPr>
        <w:t>e</w:t>
      </w:r>
      <w:r w:rsidR="0063420F" w:rsidRPr="00685330">
        <w:rPr>
          <w:b/>
          <w:smallCaps/>
        </w:rPr>
        <w:t xml:space="preserve">solutions </w:t>
      </w:r>
      <w:r w:rsidRPr="00685330">
        <w:rPr>
          <w:b/>
          <w:smallCaps/>
        </w:rPr>
        <w:t>non l</w:t>
      </w:r>
      <w:r w:rsidR="000A778F">
        <w:rPr>
          <w:b/>
          <w:smallCaps/>
        </w:rPr>
        <w:t>e</w:t>
      </w:r>
      <w:r w:rsidR="00D33A51" w:rsidRPr="00685330">
        <w:rPr>
          <w:b/>
          <w:smallCaps/>
        </w:rPr>
        <w:t>gislatives</w:t>
      </w:r>
      <w:r w:rsidR="0063420F" w:rsidRPr="00685330">
        <w:rPr>
          <w:b/>
          <w:smallCaps/>
        </w:rPr>
        <w:t xml:space="preserve"> </w:t>
      </w:r>
      <w:r w:rsidR="00F04C5D" w:rsidRPr="00685330">
        <w:rPr>
          <w:b/>
          <w:smallCaps/>
        </w:rPr>
        <w:t>a</w:t>
      </w:r>
      <w:r w:rsidR="00685330" w:rsidRPr="00685330">
        <w:rPr>
          <w:b/>
          <w:smallCaps/>
        </w:rPr>
        <w:t>d</w:t>
      </w:r>
      <w:r w:rsidR="00F04C5D" w:rsidRPr="00685330">
        <w:rPr>
          <w:b/>
          <w:smallCaps/>
        </w:rPr>
        <w:t>opt</w:t>
      </w:r>
      <w:r w:rsidR="00685330">
        <w:rPr>
          <w:b/>
          <w:smallCaps/>
        </w:rPr>
        <w:t>e</w:t>
      </w:r>
      <w:r w:rsidR="00F04C5D" w:rsidRPr="00685330">
        <w:rPr>
          <w:b/>
          <w:smallCaps/>
        </w:rPr>
        <w:t xml:space="preserve">es par </w:t>
      </w:r>
      <w:r w:rsidR="0063420F" w:rsidRPr="00685330">
        <w:rPr>
          <w:b/>
          <w:smallCaps/>
        </w:rPr>
        <w:t xml:space="preserve">le </w:t>
      </w:r>
      <w:r w:rsidR="005819F9" w:rsidRPr="00685330">
        <w:rPr>
          <w:b/>
          <w:smallCaps/>
        </w:rPr>
        <w:t>p</w:t>
      </w:r>
      <w:r w:rsidR="0063420F" w:rsidRPr="00685330">
        <w:rPr>
          <w:b/>
          <w:smallCaps/>
        </w:rPr>
        <w:t>arlement au cours de</w:t>
      </w:r>
      <w:r w:rsidR="00290435" w:rsidRPr="00685330">
        <w:rPr>
          <w:b/>
          <w:smallCaps/>
        </w:rPr>
        <w:t>s</w:t>
      </w:r>
      <w:r w:rsidRPr="00685330">
        <w:rPr>
          <w:b/>
          <w:smallCaps/>
        </w:rPr>
        <w:t xml:space="preserve"> m</w:t>
      </w:r>
      <w:r w:rsidR="000A778F">
        <w:rPr>
          <w:b/>
          <w:smallCaps/>
        </w:rPr>
        <w:t>e</w:t>
      </w:r>
      <w:r w:rsidR="0063420F" w:rsidRPr="00685330">
        <w:rPr>
          <w:b/>
          <w:smallCaps/>
        </w:rPr>
        <w:t>me</w:t>
      </w:r>
      <w:r w:rsidR="00290435" w:rsidRPr="00685330">
        <w:rPr>
          <w:b/>
          <w:smallCaps/>
        </w:rPr>
        <w:t>s</w:t>
      </w:r>
      <w:r w:rsidR="0063420F" w:rsidRPr="00685330">
        <w:rPr>
          <w:b/>
          <w:smallCaps/>
        </w:rPr>
        <w:t xml:space="preserve"> session</w:t>
      </w:r>
      <w:r w:rsidR="00290435" w:rsidRPr="00685330">
        <w:rPr>
          <w:b/>
          <w:smallCaps/>
        </w:rPr>
        <w:t>s</w:t>
      </w:r>
      <w:r w:rsidR="0063420F" w:rsidRPr="00685330">
        <w:rPr>
          <w:b/>
          <w:smallCaps/>
        </w:rPr>
        <w:t xml:space="preserve"> pl</w:t>
      </w:r>
      <w:r w:rsidR="000A778F">
        <w:rPr>
          <w:b/>
          <w:smallCaps/>
        </w:rPr>
        <w:t>e</w:t>
      </w:r>
      <w:r w:rsidRPr="00685330">
        <w:rPr>
          <w:b/>
          <w:smallCaps/>
        </w:rPr>
        <w:t>ni</w:t>
      </w:r>
      <w:r w:rsidR="000A778F">
        <w:rPr>
          <w:b/>
          <w:smallCaps/>
        </w:rPr>
        <w:t>e</w:t>
      </w:r>
      <w:r w:rsidR="0063420F" w:rsidRPr="00685330">
        <w:rPr>
          <w:b/>
          <w:smallCaps/>
        </w:rPr>
        <w:t>re</w:t>
      </w:r>
      <w:r w:rsidR="00290435" w:rsidRPr="00685330">
        <w:rPr>
          <w:b/>
          <w:smallCaps/>
        </w:rPr>
        <w:t>s</w:t>
      </w:r>
      <w:r w:rsidR="00F04C5D" w:rsidRPr="00685330">
        <w:rPr>
          <w:b/>
          <w:smallCaps/>
        </w:rPr>
        <w:t>,</w:t>
      </w:r>
      <w:r w:rsidRPr="00685330">
        <w:rPr>
          <w:b/>
          <w:smallCaps/>
        </w:rPr>
        <w:t xml:space="preserve"> pour lesquelles elle</w:t>
      </w:r>
      <w:r w:rsidR="0063420F" w:rsidRPr="00685330">
        <w:rPr>
          <w:b/>
          <w:smallCaps/>
        </w:rPr>
        <w:t xml:space="preserve"> </w:t>
      </w:r>
      <w:r w:rsidR="003C5C41" w:rsidRPr="00685330">
        <w:rPr>
          <w:b/>
          <w:smallCaps/>
        </w:rPr>
        <w:t>n</w:t>
      </w:r>
      <w:r w:rsidR="00C36A30" w:rsidRPr="00685330">
        <w:rPr>
          <w:b/>
          <w:smallCaps/>
        </w:rPr>
        <w:t>’</w:t>
      </w:r>
      <w:r w:rsidR="009C03AE" w:rsidRPr="00685330">
        <w:rPr>
          <w:b/>
          <w:smallCaps/>
        </w:rPr>
        <w:t>entend pas</w:t>
      </w:r>
      <w:r w:rsidRPr="00685330">
        <w:rPr>
          <w:b/>
          <w:smallCaps/>
        </w:rPr>
        <w:t xml:space="preserve"> </w:t>
      </w:r>
      <w:r w:rsidR="009C03AE" w:rsidRPr="00685330">
        <w:rPr>
          <w:b/>
          <w:smallCaps/>
        </w:rPr>
        <w:t>donner</w:t>
      </w:r>
      <w:r w:rsidRPr="00685330">
        <w:rPr>
          <w:b/>
          <w:smallCaps/>
        </w:rPr>
        <w:t xml:space="preserve"> suite</w:t>
      </w:r>
      <w:r w:rsidR="00F04C5D" w:rsidRPr="00685330">
        <w:rPr>
          <w:b/>
          <w:smallCaps/>
        </w:rPr>
        <w:t xml:space="preserve"> sous forme de fiche en justifiant les raisons</w:t>
      </w:r>
      <w:r w:rsidR="0063420F" w:rsidRPr="00685330">
        <w:rPr>
          <w:b/>
          <w:smallCaps/>
        </w:rPr>
        <w:t>.</w:t>
      </w:r>
    </w:p>
    <w:p w:rsidR="0063420F" w:rsidRPr="00C36A30" w:rsidRDefault="0063420F">
      <w:pPr>
        <w:spacing w:after="0"/>
        <w:rPr>
          <w:b/>
          <w:smallCaps/>
        </w:rPr>
      </w:pPr>
      <w:r w:rsidRPr="00C36A30">
        <w:rPr>
          <w:b/>
          <w:smallCaps/>
        </w:rPr>
        <w:br w:type="page"/>
      </w:r>
    </w:p>
    <w:p w:rsidR="0063420F" w:rsidRPr="00C36A30" w:rsidRDefault="0063420F">
      <w:pPr>
        <w:spacing w:after="0"/>
        <w:jc w:val="center"/>
        <w:rPr>
          <w:b/>
        </w:rPr>
      </w:pPr>
    </w:p>
    <w:p w:rsidR="0063420F" w:rsidRPr="00C36A30" w:rsidRDefault="0063420F">
      <w:pPr>
        <w:spacing w:after="0"/>
        <w:jc w:val="center"/>
        <w:rPr>
          <w:b/>
        </w:rPr>
      </w:pPr>
      <w:r w:rsidRPr="00C36A30">
        <w:rPr>
          <w:b/>
        </w:rPr>
        <w:t>SOMMAIRE</w:t>
      </w:r>
    </w:p>
    <w:p w:rsidR="0063420F" w:rsidRPr="00C36A30" w:rsidRDefault="0063420F">
      <w:pPr>
        <w:spacing w:after="0"/>
        <w:jc w:val="center"/>
      </w:pPr>
    </w:p>
    <w:p w:rsidR="0063420F" w:rsidRPr="00C36A30" w:rsidRDefault="0063420F">
      <w:pPr>
        <w:spacing w:after="0"/>
        <w:jc w:val="center"/>
      </w:pPr>
    </w:p>
    <w:p w:rsidR="0063420F" w:rsidRPr="00C36A30" w:rsidRDefault="0063420F">
      <w:pPr>
        <w:spacing w:after="0"/>
        <w:jc w:val="center"/>
      </w:pPr>
    </w:p>
    <w:p w:rsidR="0063420F" w:rsidRPr="00C36A30" w:rsidRDefault="0063420F">
      <w:pPr>
        <w:spacing w:after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21"/>
        <w:gridCol w:w="1134"/>
      </w:tblGrid>
      <w:tr w:rsidR="0063420F" w:rsidRPr="00C36A30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D14B7D" w:rsidRPr="00C36A30" w:rsidRDefault="00D14B7D">
            <w:pPr>
              <w:spacing w:after="0"/>
              <w:rPr>
                <w:b/>
              </w:rPr>
            </w:pPr>
          </w:p>
          <w:p w:rsidR="00D14B7D" w:rsidRPr="00C36A30" w:rsidRDefault="00D14B7D">
            <w:pPr>
              <w:spacing w:after="0"/>
              <w:rPr>
                <w:b/>
              </w:rPr>
            </w:pPr>
          </w:p>
          <w:p w:rsidR="0063420F" w:rsidRPr="00C36A30" w:rsidRDefault="0063420F">
            <w:pPr>
              <w:spacing w:after="0"/>
              <w:rPr>
                <w:b/>
                <w:smallCaps/>
              </w:rPr>
            </w:pPr>
            <w:r w:rsidRPr="00C36A30">
              <w:rPr>
                <w:b/>
              </w:rPr>
              <w:t>PREMI</w:t>
            </w:r>
            <w:r w:rsidR="00F62C94">
              <w:rPr>
                <w:b/>
              </w:rPr>
              <w:t>E</w:t>
            </w:r>
            <w:r w:rsidRPr="00C36A30">
              <w:rPr>
                <w:b/>
              </w:rPr>
              <w:t xml:space="preserve">RE PARTIE – </w:t>
            </w:r>
            <w:r w:rsidRPr="00C36A30">
              <w:rPr>
                <w:b/>
                <w:smallCaps/>
              </w:rPr>
              <w:t xml:space="preserve">Avis </w:t>
            </w:r>
            <w:r w:rsidR="00F62C94">
              <w:rPr>
                <w:b/>
                <w:smallCaps/>
              </w:rPr>
              <w:t>legislatifs</w:t>
            </w:r>
          </w:p>
          <w:p w:rsidR="0063420F" w:rsidRPr="00C36A30" w:rsidRDefault="0063420F">
            <w:pPr>
              <w:spacing w:after="0"/>
              <w:rPr>
                <w:b/>
              </w:rPr>
            </w:pPr>
          </w:p>
        </w:tc>
        <w:tc>
          <w:tcPr>
            <w:tcW w:w="1134" w:type="dxa"/>
          </w:tcPr>
          <w:p w:rsidR="00235AF4" w:rsidRPr="00C36A30" w:rsidRDefault="00235AF4">
            <w:pPr>
              <w:spacing w:after="0"/>
              <w:jc w:val="right"/>
              <w:rPr>
                <w:b/>
              </w:rPr>
            </w:pPr>
          </w:p>
          <w:p w:rsidR="00235AF4" w:rsidRPr="00C36A30" w:rsidRDefault="00235AF4">
            <w:pPr>
              <w:spacing w:after="0"/>
              <w:jc w:val="right"/>
              <w:rPr>
                <w:b/>
              </w:rPr>
            </w:pPr>
          </w:p>
          <w:p w:rsidR="0063420F" w:rsidRPr="00C36A30" w:rsidRDefault="00CE0367">
            <w:pPr>
              <w:spacing w:after="0"/>
              <w:jc w:val="right"/>
              <w:rPr>
                <w:b/>
              </w:rPr>
            </w:pPr>
            <w:r w:rsidRPr="00C36A30">
              <w:rPr>
                <w:b/>
              </w:rPr>
              <w:t>4</w:t>
            </w:r>
          </w:p>
        </w:tc>
      </w:tr>
      <w:tr w:rsidR="0063420F" w:rsidRPr="00C36A30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582919" w:rsidRPr="00C36A30" w:rsidRDefault="00582919">
            <w:pPr>
              <w:spacing w:after="0"/>
              <w:rPr>
                <w:b/>
                <w:smallCaps/>
              </w:rPr>
            </w:pPr>
          </w:p>
          <w:p w:rsidR="00582919" w:rsidRPr="00C36A30" w:rsidRDefault="00582919">
            <w:pPr>
              <w:spacing w:after="0"/>
              <w:rPr>
                <w:b/>
                <w:smallCaps/>
              </w:rPr>
            </w:pPr>
          </w:p>
          <w:p w:rsidR="0063420F" w:rsidRPr="00C36A30" w:rsidRDefault="00F62C94">
            <w:pPr>
              <w:spacing w:after="0"/>
              <w:rPr>
                <w:b/>
                <w:smallCaps/>
              </w:rPr>
            </w:pPr>
            <w:r>
              <w:rPr>
                <w:b/>
                <w:smallCaps/>
              </w:rPr>
              <w:t>procedure</w:t>
            </w:r>
            <w:r w:rsidR="0063420F" w:rsidRPr="00C36A30">
              <w:rPr>
                <w:b/>
                <w:smallCaps/>
              </w:rPr>
              <w:t xml:space="preserve"> de </w:t>
            </w:r>
            <w:r>
              <w:rPr>
                <w:b/>
                <w:smallCaps/>
              </w:rPr>
              <w:t>codecision</w:t>
            </w:r>
            <w:r w:rsidR="008873A7" w:rsidRPr="00C36A30">
              <w:rPr>
                <w:b/>
                <w:smallCaps/>
              </w:rPr>
              <w:t xml:space="preserve"> – </w:t>
            </w:r>
            <w:r>
              <w:rPr>
                <w:b/>
                <w:smallCaps/>
              </w:rPr>
              <w:t>1ere</w:t>
            </w:r>
            <w:r w:rsidR="00A43284" w:rsidRPr="00C36A30">
              <w:rPr>
                <w:b/>
                <w:smallCaps/>
              </w:rPr>
              <w:t xml:space="preserve"> lecture</w:t>
            </w:r>
          </w:p>
          <w:p w:rsidR="0063420F" w:rsidRPr="00C36A30" w:rsidRDefault="0063420F">
            <w:pPr>
              <w:spacing w:after="0"/>
              <w:rPr>
                <w:b/>
                <w:smallCaps/>
              </w:rPr>
            </w:pPr>
          </w:p>
        </w:tc>
        <w:tc>
          <w:tcPr>
            <w:tcW w:w="1134" w:type="dxa"/>
          </w:tcPr>
          <w:p w:rsidR="0063420F" w:rsidRPr="00C36A30" w:rsidRDefault="0063420F">
            <w:pPr>
              <w:spacing w:after="0"/>
              <w:jc w:val="right"/>
            </w:pPr>
          </w:p>
        </w:tc>
      </w:tr>
      <w:tr w:rsidR="0002436D" w:rsidRPr="00C36A30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9E290E" w:rsidRPr="00C36A30" w:rsidRDefault="009E290E" w:rsidP="0002436D">
            <w:pPr>
              <w:spacing w:after="0"/>
            </w:pPr>
            <w:r w:rsidRPr="00C36A30">
              <w:t>Utilisation plus sûre de l</w:t>
            </w:r>
            <w:r w:rsidR="00C36A30">
              <w:t>’</w:t>
            </w:r>
            <w:r w:rsidRPr="00C36A30">
              <w:t>Internet et des nouvelles technologies en ligne</w:t>
            </w:r>
          </w:p>
          <w:p w:rsidR="002752DC" w:rsidRPr="00C36A30" w:rsidRDefault="008F213A" w:rsidP="0002436D">
            <w:pPr>
              <w:spacing w:after="0"/>
            </w:pPr>
            <w:r w:rsidRPr="00C36A30">
              <w:t>Edith MASTENBROEK – A6-0033/2004</w:t>
            </w:r>
          </w:p>
          <w:p w:rsidR="0002436D" w:rsidRPr="00C36A30" w:rsidRDefault="0002436D" w:rsidP="0002436D">
            <w:pPr>
              <w:spacing w:after="0"/>
              <w:rPr>
                <w:b/>
                <w:smallCaps/>
              </w:rPr>
            </w:pPr>
          </w:p>
        </w:tc>
        <w:tc>
          <w:tcPr>
            <w:tcW w:w="1134" w:type="dxa"/>
          </w:tcPr>
          <w:p w:rsidR="0002436D" w:rsidRPr="00C36A30" w:rsidRDefault="00DD46AA">
            <w:pPr>
              <w:spacing w:after="0"/>
              <w:jc w:val="right"/>
            </w:pPr>
            <w:r w:rsidRPr="00C36A30">
              <w:t>5</w:t>
            </w:r>
          </w:p>
        </w:tc>
      </w:tr>
      <w:tr w:rsidR="008F213A" w:rsidRPr="00C36A30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8F213A" w:rsidRPr="00C36A30" w:rsidRDefault="008F213A" w:rsidP="0002436D">
            <w:pPr>
              <w:spacing w:after="0"/>
            </w:pPr>
          </w:p>
          <w:p w:rsidR="008F213A" w:rsidRPr="00C36A30" w:rsidRDefault="008F213A" w:rsidP="0002436D">
            <w:pPr>
              <w:spacing w:after="0"/>
            </w:pPr>
          </w:p>
          <w:p w:rsidR="008F213A" w:rsidRPr="00C36A30" w:rsidRDefault="00F62C94" w:rsidP="0002436D">
            <w:pPr>
              <w:spacing w:after="0"/>
              <w:rPr>
                <w:b/>
                <w:smallCaps/>
              </w:rPr>
            </w:pPr>
            <w:r>
              <w:rPr>
                <w:b/>
                <w:smallCaps/>
              </w:rPr>
              <w:t>procedure de codecision</w:t>
            </w:r>
            <w:r w:rsidR="00FB2E4C" w:rsidRPr="00C36A30">
              <w:rPr>
                <w:b/>
                <w:smallCaps/>
              </w:rPr>
              <w:t xml:space="preserve"> – </w:t>
            </w:r>
            <w:r>
              <w:rPr>
                <w:b/>
                <w:smallCaps/>
              </w:rPr>
              <w:t>2eme</w:t>
            </w:r>
            <w:r w:rsidR="008F213A" w:rsidRPr="00C36A30">
              <w:rPr>
                <w:b/>
                <w:smallCaps/>
              </w:rPr>
              <w:t xml:space="preserve"> lecture</w:t>
            </w:r>
          </w:p>
          <w:p w:rsidR="008F213A" w:rsidRPr="00C36A30" w:rsidRDefault="008F213A" w:rsidP="0002436D">
            <w:pPr>
              <w:spacing w:after="0"/>
            </w:pPr>
          </w:p>
        </w:tc>
        <w:tc>
          <w:tcPr>
            <w:tcW w:w="1134" w:type="dxa"/>
          </w:tcPr>
          <w:p w:rsidR="008F213A" w:rsidRPr="00C36A30" w:rsidRDefault="008F213A">
            <w:pPr>
              <w:spacing w:after="0"/>
              <w:jc w:val="right"/>
            </w:pPr>
          </w:p>
        </w:tc>
      </w:tr>
      <w:tr w:rsidR="008F213A" w:rsidRPr="00C36A30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9E290E" w:rsidRPr="00C36A30" w:rsidRDefault="009E290E" w:rsidP="0002436D">
            <w:pPr>
              <w:spacing w:after="0"/>
            </w:pPr>
            <w:r w:rsidRPr="00C36A30">
              <w:t>Résidus de pesticides</w:t>
            </w:r>
          </w:p>
          <w:p w:rsidR="008F213A" w:rsidRPr="00C36A30" w:rsidRDefault="009E290E" w:rsidP="0002436D">
            <w:pPr>
              <w:spacing w:after="0"/>
            </w:pPr>
            <w:r w:rsidRPr="00C36A30">
              <w:t xml:space="preserve">Robert </w:t>
            </w:r>
            <w:r w:rsidR="008F213A" w:rsidRPr="00C36A30">
              <w:t>William STURDY – A6-0049/2004</w:t>
            </w:r>
          </w:p>
          <w:p w:rsidR="008F213A" w:rsidRPr="00C36A30" w:rsidRDefault="008F213A" w:rsidP="0002436D">
            <w:pPr>
              <w:spacing w:after="0"/>
            </w:pPr>
          </w:p>
        </w:tc>
        <w:tc>
          <w:tcPr>
            <w:tcW w:w="1134" w:type="dxa"/>
          </w:tcPr>
          <w:p w:rsidR="008F213A" w:rsidRPr="00C36A30" w:rsidRDefault="00DD46AA">
            <w:pPr>
              <w:spacing w:after="0"/>
              <w:jc w:val="right"/>
            </w:pPr>
            <w:r w:rsidRPr="00C36A30">
              <w:t>6</w:t>
            </w:r>
          </w:p>
        </w:tc>
      </w:tr>
      <w:tr w:rsidR="00950394" w:rsidRPr="00C36A30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950394" w:rsidRPr="00C36A30" w:rsidRDefault="00950394" w:rsidP="0002436D">
            <w:pPr>
              <w:spacing w:after="0"/>
            </w:pPr>
          </w:p>
          <w:p w:rsidR="00FA3865" w:rsidRPr="00C36A30" w:rsidRDefault="00FA3865" w:rsidP="0002436D">
            <w:pPr>
              <w:spacing w:after="0"/>
            </w:pPr>
          </w:p>
          <w:p w:rsidR="00FA3865" w:rsidRPr="00C36A30" w:rsidRDefault="00F62C94" w:rsidP="0002436D">
            <w:pPr>
              <w:spacing w:after="0"/>
              <w:rPr>
                <w:b/>
                <w:smallCaps/>
              </w:rPr>
            </w:pPr>
            <w:r>
              <w:rPr>
                <w:b/>
                <w:smallCaps/>
              </w:rPr>
              <w:t>procedure</w:t>
            </w:r>
            <w:r w:rsidR="00FA3865" w:rsidRPr="00C36A30">
              <w:rPr>
                <w:b/>
                <w:smallCaps/>
              </w:rPr>
              <w:t xml:space="preserve"> de consultation </w:t>
            </w:r>
            <w:r>
              <w:rPr>
                <w:b/>
                <w:smallCaps/>
              </w:rPr>
              <w:t>necessitant</w:t>
            </w:r>
            <w:r w:rsidR="00FA3865" w:rsidRPr="00C36A30">
              <w:rPr>
                <w:b/>
                <w:smallCaps/>
              </w:rPr>
              <w:t xml:space="preserve"> une seule lecture</w:t>
            </w:r>
          </w:p>
          <w:p w:rsidR="00950394" w:rsidRPr="00C36A30" w:rsidRDefault="00950394" w:rsidP="0002436D">
            <w:pPr>
              <w:spacing w:after="0"/>
            </w:pPr>
          </w:p>
        </w:tc>
        <w:tc>
          <w:tcPr>
            <w:tcW w:w="1134" w:type="dxa"/>
          </w:tcPr>
          <w:p w:rsidR="00950394" w:rsidRPr="00C36A30" w:rsidRDefault="00950394">
            <w:pPr>
              <w:spacing w:after="0"/>
              <w:jc w:val="right"/>
            </w:pPr>
          </w:p>
        </w:tc>
      </w:tr>
      <w:tr w:rsidR="00950394" w:rsidRPr="00C36A30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9E290E" w:rsidRPr="00C36A30" w:rsidRDefault="009E290E" w:rsidP="0002436D">
            <w:pPr>
              <w:spacing w:after="0"/>
            </w:pPr>
            <w:r w:rsidRPr="00C36A30">
              <w:t>Passeports des citoyens de l</w:t>
            </w:r>
            <w:r w:rsidR="00C36A30">
              <w:t>’</w:t>
            </w:r>
            <w:r w:rsidRPr="00C36A30">
              <w:t>U</w:t>
            </w:r>
            <w:r w:rsidR="008873A7" w:rsidRPr="00C36A30">
              <w:t>nion européenne</w:t>
            </w:r>
          </w:p>
          <w:p w:rsidR="00FA3865" w:rsidRPr="00C36A30" w:rsidRDefault="008F213A" w:rsidP="0002436D">
            <w:pPr>
              <w:spacing w:after="0"/>
            </w:pPr>
            <w:r w:rsidRPr="00C36A30">
              <w:t>Carlos COELHO – A6-0028/2004</w:t>
            </w:r>
          </w:p>
          <w:p w:rsidR="00950394" w:rsidRPr="00C36A30" w:rsidRDefault="00950394" w:rsidP="0002436D">
            <w:pPr>
              <w:spacing w:after="0"/>
            </w:pPr>
          </w:p>
        </w:tc>
        <w:tc>
          <w:tcPr>
            <w:tcW w:w="1134" w:type="dxa"/>
          </w:tcPr>
          <w:p w:rsidR="00950394" w:rsidRPr="00C36A30" w:rsidRDefault="00DD46AA">
            <w:pPr>
              <w:spacing w:after="0"/>
              <w:jc w:val="right"/>
            </w:pPr>
            <w:r w:rsidRPr="00C36A30">
              <w:t>7</w:t>
            </w:r>
          </w:p>
        </w:tc>
      </w:tr>
      <w:tr w:rsidR="00FA3865" w:rsidRPr="00C36A30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FA3865" w:rsidRPr="00C36A30" w:rsidRDefault="002D3457" w:rsidP="0002436D">
            <w:pPr>
              <w:spacing w:after="0"/>
            </w:pPr>
            <w:r w:rsidRPr="00C36A30">
              <w:t>Garantie de la Communauté à la BEI</w:t>
            </w:r>
          </w:p>
          <w:p w:rsidR="002D3457" w:rsidRPr="00C36A30" w:rsidRDefault="002D3457" w:rsidP="0002436D">
            <w:pPr>
              <w:spacing w:after="0"/>
            </w:pPr>
            <w:r w:rsidRPr="00C36A30">
              <w:t xml:space="preserve">Esko </w:t>
            </w:r>
            <w:r w:rsidR="00711F9B">
              <w:t xml:space="preserve">Olavi </w:t>
            </w:r>
            <w:r w:rsidRPr="00C36A30">
              <w:t>SEPPÄNEN – A6-0066/2004</w:t>
            </w:r>
          </w:p>
          <w:p w:rsidR="00FA3865" w:rsidRPr="00C36A30" w:rsidRDefault="00FA3865" w:rsidP="0002436D">
            <w:pPr>
              <w:spacing w:after="0"/>
            </w:pPr>
          </w:p>
        </w:tc>
        <w:tc>
          <w:tcPr>
            <w:tcW w:w="1134" w:type="dxa"/>
          </w:tcPr>
          <w:p w:rsidR="00FA3865" w:rsidRPr="00C36A30" w:rsidRDefault="00DD46AA">
            <w:pPr>
              <w:spacing w:after="0"/>
              <w:jc w:val="right"/>
            </w:pPr>
            <w:r w:rsidRPr="00C36A30">
              <w:t>8</w:t>
            </w:r>
          </w:p>
        </w:tc>
      </w:tr>
      <w:tr w:rsidR="00FA3865" w:rsidRPr="00C36A30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FA3865" w:rsidRPr="00C36A30" w:rsidRDefault="002D3457" w:rsidP="0002436D">
            <w:pPr>
              <w:spacing w:after="0"/>
            </w:pPr>
            <w:r w:rsidRPr="00C36A30">
              <w:t>Protection de réci</w:t>
            </w:r>
            <w:r w:rsidR="008873A7" w:rsidRPr="00C36A30">
              <w:t>fs coralliens en eau profonde dans</w:t>
            </w:r>
            <w:r w:rsidRPr="00C36A30">
              <w:t xml:space="preserve"> l</w:t>
            </w:r>
            <w:r w:rsidR="00C36A30">
              <w:t>’</w:t>
            </w:r>
            <w:r w:rsidRPr="00C36A30">
              <w:t>océan Atlantique</w:t>
            </w:r>
          </w:p>
          <w:p w:rsidR="002D3457" w:rsidRPr="00C36A30" w:rsidRDefault="002D3457" w:rsidP="0002436D">
            <w:pPr>
              <w:spacing w:after="0"/>
            </w:pPr>
            <w:r w:rsidRPr="00C36A30">
              <w:t>S</w:t>
            </w:r>
            <w:r w:rsidR="00095245">
              <w:t>é</w:t>
            </w:r>
            <w:r w:rsidRPr="00C36A30">
              <w:t>rgio RIBEIRO – A6-0037/2004</w:t>
            </w:r>
          </w:p>
          <w:p w:rsidR="00FA3865" w:rsidRPr="00C36A30" w:rsidRDefault="00FA3865" w:rsidP="0002436D">
            <w:pPr>
              <w:spacing w:after="0"/>
            </w:pPr>
          </w:p>
        </w:tc>
        <w:tc>
          <w:tcPr>
            <w:tcW w:w="1134" w:type="dxa"/>
          </w:tcPr>
          <w:p w:rsidR="00FA3865" w:rsidRPr="00C36A30" w:rsidRDefault="00347C3D">
            <w:pPr>
              <w:spacing w:after="0"/>
              <w:jc w:val="right"/>
            </w:pPr>
            <w:r w:rsidRPr="00C36A30">
              <w:t>1</w:t>
            </w:r>
            <w:r w:rsidR="00095245">
              <w:t>1</w:t>
            </w:r>
          </w:p>
        </w:tc>
      </w:tr>
      <w:tr w:rsidR="002D3457" w:rsidRPr="00C36A30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2D3457" w:rsidRPr="00C36A30" w:rsidRDefault="002D3457" w:rsidP="0002436D">
            <w:pPr>
              <w:spacing w:after="0"/>
            </w:pPr>
            <w:r w:rsidRPr="00C36A30">
              <w:t>Prorogation du protocole de pêche U</w:t>
            </w:r>
            <w:r w:rsidR="008873A7" w:rsidRPr="00C36A30">
              <w:t>nion européenne-</w:t>
            </w:r>
            <w:r w:rsidRPr="00C36A30">
              <w:t>Comores</w:t>
            </w:r>
          </w:p>
          <w:p w:rsidR="002D3457" w:rsidRPr="00C36A30" w:rsidRDefault="002D3457" w:rsidP="0002436D">
            <w:pPr>
              <w:spacing w:after="0"/>
            </w:pPr>
            <w:r w:rsidRPr="00C36A30">
              <w:t>Philippe MORILLON – A6-0040/2004</w:t>
            </w:r>
          </w:p>
          <w:p w:rsidR="002D3457" w:rsidRPr="00C36A30" w:rsidRDefault="002D3457" w:rsidP="0002436D">
            <w:pPr>
              <w:spacing w:after="0"/>
            </w:pPr>
          </w:p>
        </w:tc>
        <w:tc>
          <w:tcPr>
            <w:tcW w:w="1134" w:type="dxa"/>
          </w:tcPr>
          <w:p w:rsidR="002D3457" w:rsidRPr="00C36A30" w:rsidRDefault="00347C3D">
            <w:pPr>
              <w:spacing w:after="0"/>
              <w:jc w:val="right"/>
            </w:pPr>
            <w:r w:rsidRPr="00C36A30">
              <w:t>1</w:t>
            </w:r>
            <w:r w:rsidR="00095245">
              <w:t>3</w:t>
            </w:r>
          </w:p>
        </w:tc>
      </w:tr>
      <w:tr w:rsidR="0063420F" w:rsidRPr="00C36A30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63420F" w:rsidRPr="00C36A30" w:rsidRDefault="0063420F">
            <w:pPr>
              <w:spacing w:after="0"/>
              <w:rPr>
                <w:b/>
              </w:rPr>
            </w:pPr>
          </w:p>
          <w:p w:rsidR="003F2BEB" w:rsidRPr="00C36A30" w:rsidRDefault="003F2BEB">
            <w:pPr>
              <w:spacing w:after="0"/>
              <w:rPr>
                <w:b/>
              </w:rPr>
            </w:pPr>
          </w:p>
          <w:p w:rsidR="0063420F" w:rsidRPr="00C36A30" w:rsidRDefault="0063420F">
            <w:pPr>
              <w:spacing w:after="0"/>
              <w:rPr>
                <w:b/>
                <w:smallCaps/>
              </w:rPr>
            </w:pPr>
            <w:r w:rsidRPr="00C36A30">
              <w:rPr>
                <w:b/>
              </w:rPr>
              <w:t>DEUXI</w:t>
            </w:r>
            <w:r w:rsidR="00F62C94">
              <w:rPr>
                <w:b/>
              </w:rPr>
              <w:t>E</w:t>
            </w:r>
            <w:r w:rsidRPr="00C36A30">
              <w:rPr>
                <w:b/>
              </w:rPr>
              <w:t xml:space="preserve">ME PARTIE – </w:t>
            </w:r>
            <w:r w:rsidR="00F62C94">
              <w:rPr>
                <w:b/>
                <w:smallCaps/>
              </w:rPr>
              <w:t>resolutions non legislatives</w:t>
            </w:r>
          </w:p>
          <w:p w:rsidR="0063420F" w:rsidRPr="00C36A30" w:rsidRDefault="0063420F">
            <w:pPr>
              <w:spacing w:after="0"/>
            </w:pPr>
          </w:p>
        </w:tc>
        <w:tc>
          <w:tcPr>
            <w:tcW w:w="1134" w:type="dxa"/>
          </w:tcPr>
          <w:p w:rsidR="00235AF4" w:rsidRPr="00C36A30" w:rsidRDefault="00235AF4">
            <w:pPr>
              <w:spacing w:after="0"/>
              <w:jc w:val="right"/>
              <w:rPr>
                <w:b/>
              </w:rPr>
            </w:pPr>
          </w:p>
          <w:p w:rsidR="004A70B9" w:rsidRPr="00C36A30" w:rsidRDefault="004A70B9">
            <w:pPr>
              <w:spacing w:after="0"/>
              <w:jc w:val="right"/>
              <w:rPr>
                <w:b/>
              </w:rPr>
            </w:pPr>
          </w:p>
          <w:p w:rsidR="00235AF4" w:rsidRPr="00C36A30" w:rsidRDefault="00347C3D">
            <w:pPr>
              <w:spacing w:after="0"/>
              <w:jc w:val="right"/>
              <w:rPr>
                <w:b/>
              </w:rPr>
            </w:pPr>
            <w:r w:rsidRPr="00C36A30">
              <w:rPr>
                <w:b/>
              </w:rPr>
              <w:t>1</w:t>
            </w:r>
            <w:r w:rsidR="00095245">
              <w:rPr>
                <w:b/>
              </w:rPr>
              <w:t>5</w:t>
            </w:r>
          </w:p>
          <w:p w:rsidR="0063420F" w:rsidRPr="00C36A30" w:rsidRDefault="0063420F">
            <w:pPr>
              <w:spacing w:after="0"/>
              <w:jc w:val="right"/>
              <w:rPr>
                <w:b/>
              </w:rPr>
            </w:pPr>
          </w:p>
        </w:tc>
      </w:tr>
    </w:tbl>
    <w:p w:rsidR="00E0650F" w:rsidRPr="00C36A30" w:rsidRDefault="00E0650F">
      <w:pPr>
        <w:pStyle w:val="Initial"/>
        <w:tabs>
          <w:tab w:val="clear" w:pos="-720"/>
        </w:tabs>
        <w:spacing w:after="240"/>
        <w:rPr>
          <w:b/>
          <w:smallCaps/>
          <w:lang w:val="fr-FR"/>
        </w:rPr>
      </w:pPr>
    </w:p>
    <w:p w:rsidR="0063420F" w:rsidRPr="00C36A30" w:rsidRDefault="00E0650F">
      <w:pPr>
        <w:pStyle w:val="Initial"/>
        <w:tabs>
          <w:tab w:val="clear" w:pos="-720"/>
        </w:tabs>
        <w:spacing w:after="240"/>
        <w:rPr>
          <w:b/>
          <w:smallCaps/>
          <w:lang w:val="fr-FR"/>
        </w:rPr>
      </w:pPr>
      <w:r w:rsidRPr="00C36A30">
        <w:rPr>
          <w:b/>
          <w:smallCaps/>
          <w:lang w:val="fr-FR"/>
        </w:rPr>
        <w:br w:type="page"/>
      </w:r>
    </w:p>
    <w:p w:rsidR="00E0650F" w:rsidRPr="00C36A30" w:rsidRDefault="00E0650F">
      <w:pPr>
        <w:pStyle w:val="Initial"/>
        <w:tabs>
          <w:tab w:val="clear" w:pos="-720"/>
        </w:tabs>
        <w:spacing w:after="240"/>
        <w:rPr>
          <w:b/>
          <w:smallCaps/>
          <w:lang w:val="fr-FR"/>
        </w:rPr>
      </w:pPr>
    </w:p>
    <w:p w:rsidR="00E0650F" w:rsidRPr="00C36A30" w:rsidRDefault="00E0650F">
      <w:pPr>
        <w:pStyle w:val="Initial"/>
        <w:tabs>
          <w:tab w:val="clear" w:pos="-720"/>
        </w:tabs>
        <w:spacing w:after="240"/>
        <w:rPr>
          <w:b/>
          <w:smallCaps/>
          <w:lang w:val="fr-FR"/>
        </w:rPr>
      </w:pPr>
    </w:p>
    <w:p w:rsidR="00E0650F" w:rsidRPr="00C36A30" w:rsidRDefault="00E0650F">
      <w:pPr>
        <w:pStyle w:val="Initial"/>
        <w:tabs>
          <w:tab w:val="clear" w:pos="-720"/>
        </w:tabs>
        <w:spacing w:after="240"/>
        <w:rPr>
          <w:b/>
          <w:smallCaps/>
          <w:lang w:val="fr-FR"/>
        </w:rPr>
      </w:pPr>
    </w:p>
    <w:p w:rsidR="00E0650F" w:rsidRPr="00C36A30" w:rsidRDefault="00E0650F">
      <w:pPr>
        <w:pStyle w:val="Initial"/>
        <w:tabs>
          <w:tab w:val="clear" w:pos="-720"/>
        </w:tabs>
        <w:spacing w:after="240"/>
        <w:rPr>
          <w:b/>
          <w:smallCaps/>
          <w:lang w:val="fr-FR"/>
        </w:rPr>
      </w:pPr>
    </w:p>
    <w:p w:rsidR="00E0650F" w:rsidRPr="00C36A30" w:rsidRDefault="00E0650F">
      <w:pPr>
        <w:pStyle w:val="Initial"/>
        <w:tabs>
          <w:tab w:val="clear" w:pos="-720"/>
        </w:tabs>
        <w:spacing w:after="240"/>
        <w:rPr>
          <w:b/>
          <w:smallCaps/>
          <w:lang w:val="fr-FR"/>
        </w:rPr>
      </w:pPr>
    </w:p>
    <w:p w:rsidR="00E0650F" w:rsidRPr="00C36A30" w:rsidRDefault="00E0650F">
      <w:pPr>
        <w:pStyle w:val="Initial"/>
        <w:tabs>
          <w:tab w:val="clear" w:pos="-720"/>
        </w:tabs>
        <w:spacing w:after="240"/>
        <w:rPr>
          <w:b/>
          <w:smallCaps/>
          <w:lang w:val="fr-FR"/>
        </w:rPr>
      </w:pPr>
    </w:p>
    <w:p w:rsidR="00E0650F" w:rsidRPr="00C36A30" w:rsidRDefault="00E0650F">
      <w:pPr>
        <w:pStyle w:val="Initial"/>
        <w:tabs>
          <w:tab w:val="clear" w:pos="-720"/>
        </w:tabs>
        <w:spacing w:after="240"/>
        <w:rPr>
          <w:b/>
          <w:smallCaps/>
          <w:lang w:val="fr-FR"/>
        </w:rPr>
      </w:pPr>
    </w:p>
    <w:p w:rsidR="00E0650F" w:rsidRPr="00C36A30" w:rsidRDefault="00E0650F">
      <w:pPr>
        <w:pStyle w:val="Initial"/>
        <w:tabs>
          <w:tab w:val="clear" w:pos="-720"/>
        </w:tabs>
        <w:spacing w:after="240"/>
        <w:rPr>
          <w:b/>
          <w:smallCaps/>
          <w:lang w:val="fr-FR"/>
        </w:rPr>
      </w:pPr>
    </w:p>
    <w:p w:rsidR="00E0650F" w:rsidRPr="00C36A30" w:rsidRDefault="00E0650F" w:rsidP="00E0650F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C36A30">
        <w:rPr>
          <w:b/>
          <w:bCs/>
          <w:sz w:val="48"/>
          <w:szCs w:val="48"/>
        </w:rPr>
        <w:t>Première partie</w:t>
      </w:r>
      <w:r w:rsidRPr="00C36A30">
        <w:rPr>
          <w:b/>
          <w:bCs/>
          <w:sz w:val="48"/>
          <w:szCs w:val="48"/>
        </w:rPr>
        <w:br/>
        <w:t>Avis législatifs</w:t>
      </w:r>
    </w:p>
    <w:p w:rsidR="00E0650F" w:rsidRPr="00C36A30" w:rsidRDefault="00E0650F" w:rsidP="00E0650F">
      <w:pPr>
        <w:pStyle w:val="Initial"/>
        <w:tabs>
          <w:tab w:val="clear" w:pos="-720"/>
        </w:tabs>
        <w:spacing w:after="240"/>
        <w:jc w:val="center"/>
        <w:rPr>
          <w:b/>
          <w:smallCaps/>
          <w:sz w:val="32"/>
          <w:szCs w:val="32"/>
          <w:lang w:val="fr-FR"/>
        </w:rPr>
      </w:pPr>
    </w:p>
    <w:p w:rsidR="00D14B7D" w:rsidRPr="00C36A30" w:rsidRDefault="00D14B7D" w:rsidP="00D14B7D"/>
    <w:p w:rsidR="008873A7" w:rsidRPr="00C36A30" w:rsidRDefault="00D14B7D" w:rsidP="008873A7">
      <w:pPr>
        <w:jc w:val="left"/>
        <w:rPr>
          <w:rStyle w:val="DefaultMargins"/>
          <w:rFonts w:ascii="Arial" w:hAnsi="Arial" w:cs="Arial"/>
          <w:spacing w:val="-2"/>
          <w:lang w:val="fr-FR"/>
        </w:rPr>
      </w:pPr>
      <w:r w:rsidRPr="00C36A30">
        <w:br w:type="page"/>
      </w:r>
    </w:p>
    <w:p w:rsidR="008873A7" w:rsidRPr="00121398" w:rsidRDefault="008873A7" w:rsidP="00121398">
      <w:pPr>
        <w:jc w:val="center"/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</w:pPr>
      <w:r w:rsidRPr="00121398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PROC</w:t>
      </w:r>
      <w:r w:rsidR="00F62C94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E</w:t>
      </w:r>
      <w:r w:rsidRPr="00121398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 xml:space="preserve">DURE DE CODECISION </w:t>
      </w:r>
      <w:r w:rsidR="00F62C94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–</w:t>
      </w:r>
      <w:r w:rsidRPr="00121398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 xml:space="preserve"> 1</w:t>
      </w:r>
      <w:r w:rsidR="00F62C94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ère</w:t>
      </w:r>
      <w:r w:rsidRPr="00121398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 xml:space="preserve"> lecture</w:t>
      </w:r>
    </w:p>
    <w:p w:rsidR="008873A7" w:rsidRPr="00C36A30" w:rsidRDefault="008873A7" w:rsidP="008873A7">
      <w:pPr>
        <w:pStyle w:val="Initial"/>
        <w:tabs>
          <w:tab w:val="left" w:pos="-1440"/>
        </w:tabs>
        <w:spacing w:after="240"/>
        <w:jc w:val="center"/>
        <w:rPr>
          <w:rStyle w:val="DefaultMargins"/>
          <w:b/>
          <w:bCs/>
          <w:spacing w:val="-2"/>
          <w:lang w:val="fr-FR"/>
        </w:rPr>
      </w:pPr>
      <w:r w:rsidRPr="00C36A30">
        <w:rPr>
          <w:b/>
          <w:bCs/>
          <w:lang w:val="fr-FR"/>
        </w:rPr>
        <w:t xml:space="preserve">Proposition de décision du Parlement européen et du Conseil relative à un programme communautaire pluriannuel visant à promouvoir </w:t>
      </w:r>
      <w:r w:rsidR="00FB2E4C" w:rsidRPr="00C36A30">
        <w:rPr>
          <w:b/>
          <w:bCs/>
          <w:lang w:val="fr-FR"/>
        </w:rPr>
        <w:t>une utilisation plus sûre de l</w:t>
      </w:r>
      <w:r w:rsidR="00C36A30">
        <w:rPr>
          <w:b/>
          <w:bCs/>
          <w:lang w:val="fr-FR"/>
        </w:rPr>
        <w:t>’</w:t>
      </w:r>
      <w:r w:rsidR="00FB2E4C" w:rsidRPr="00C36A30">
        <w:rPr>
          <w:b/>
          <w:bCs/>
          <w:lang w:val="fr-FR"/>
        </w:rPr>
        <w:t>I</w:t>
      </w:r>
      <w:r w:rsidRPr="00C36A30">
        <w:rPr>
          <w:b/>
          <w:bCs/>
          <w:lang w:val="fr-FR"/>
        </w:rPr>
        <w:t>nternet et des nouvelles technologies en ligne</w:t>
      </w:r>
    </w:p>
    <w:p w:rsidR="008873A7" w:rsidRPr="00095245" w:rsidRDefault="008873A7" w:rsidP="00121398">
      <w:pPr>
        <w:rPr>
          <w:rStyle w:val="DefaultMargins"/>
          <w:rFonts w:ascii="Times New Roman" w:hAnsi="Times New Roman"/>
          <w:spacing w:val="-2"/>
          <w:lang w:val="fr-FR"/>
        </w:rPr>
      </w:pPr>
    </w:p>
    <w:p w:rsidR="008873A7" w:rsidRPr="00095245" w:rsidRDefault="008873A7" w:rsidP="00121398">
      <w:pPr>
        <w:rPr>
          <w:rStyle w:val="DefaultMargins"/>
          <w:rFonts w:ascii="Times New Roman" w:hAnsi="Times New Roman"/>
          <w:spacing w:val="-2"/>
          <w:lang w:val="fr-FR"/>
        </w:rPr>
      </w:pPr>
    </w:p>
    <w:p w:rsidR="008873A7" w:rsidRPr="00095245" w:rsidRDefault="008873A7" w:rsidP="00121398">
      <w:pPr>
        <w:rPr>
          <w:rStyle w:val="DefaultMargins"/>
          <w:rFonts w:ascii="Times New Roman" w:hAnsi="Times New Roman"/>
          <w:spacing w:val="-2"/>
          <w:sz w:val="24"/>
          <w:szCs w:val="24"/>
          <w:lang w:val="en-GB"/>
        </w:rPr>
      </w:pPr>
      <w:r w:rsidRPr="00095245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en-GB"/>
        </w:rPr>
        <w:t>1.</w:t>
      </w:r>
      <w:r w:rsidRPr="00095245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en-GB"/>
        </w:rPr>
        <w:tab/>
        <w:t>Rapporteur</w:t>
      </w:r>
      <w:r w:rsidR="00C36A30" w:rsidRPr="00095245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en-GB"/>
        </w:rPr>
        <w:t> :</w:t>
      </w:r>
      <w:r w:rsidRPr="00095245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en-GB"/>
        </w:rPr>
        <w:t xml:space="preserve"> </w:t>
      </w:r>
      <w:r w:rsidRPr="00095245">
        <w:rPr>
          <w:rStyle w:val="DefaultMargins"/>
          <w:rFonts w:ascii="Times New Roman" w:hAnsi="Times New Roman"/>
          <w:spacing w:val="-2"/>
          <w:sz w:val="24"/>
          <w:szCs w:val="24"/>
          <w:lang w:val="en-GB"/>
        </w:rPr>
        <w:t>Edith Mastenbroek</w:t>
      </w:r>
    </w:p>
    <w:p w:rsidR="008873A7" w:rsidRPr="00095245" w:rsidRDefault="008873A7" w:rsidP="00121398">
      <w:pPr>
        <w:rPr>
          <w:rStyle w:val="DefaultMargins"/>
          <w:rFonts w:ascii="Times New Roman" w:hAnsi="Times New Roman"/>
          <w:spacing w:val="-2"/>
          <w:sz w:val="24"/>
          <w:szCs w:val="24"/>
          <w:lang w:val="en-GB"/>
        </w:rPr>
      </w:pPr>
      <w:r w:rsidRPr="00095245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en-GB"/>
        </w:rPr>
        <w:t>2.</w:t>
      </w:r>
      <w:r w:rsidRPr="00095245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en-GB"/>
        </w:rPr>
        <w:tab/>
      </w:r>
      <w:r w:rsidRPr="00095245">
        <w:rPr>
          <w:b/>
          <w:szCs w:val="24"/>
          <w:lang w:val="en-GB"/>
        </w:rPr>
        <w:t>N° PE</w:t>
      </w:r>
      <w:r w:rsidR="00C36A30" w:rsidRPr="00095245">
        <w:rPr>
          <w:b/>
          <w:szCs w:val="24"/>
          <w:lang w:val="en-GB"/>
        </w:rPr>
        <w:t> :</w:t>
      </w:r>
      <w:r w:rsidR="00B52D2C" w:rsidRPr="00095245">
        <w:rPr>
          <w:szCs w:val="24"/>
          <w:lang w:val="en-GB"/>
        </w:rPr>
        <w:t xml:space="preserve"> A6-</w:t>
      </w:r>
      <w:r w:rsidRPr="00095245">
        <w:rPr>
          <w:szCs w:val="24"/>
          <w:lang w:val="en-GB"/>
        </w:rPr>
        <w:t>0033/2004</w:t>
      </w:r>
    </w:p>
    <w:p w:rsidR="008873A7" w:rsidRPr="00C36A30" w:rsidRDefault="008873A7" w:rsidP="00121398">
      <w:pPr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</w:pP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3.</w:t>
      </w: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ab/>
      </w:r>
      <w:r w:rsidRPr="00C36A30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Date d</w:t>
      </w:r>
      <w:r w:rsidR="00C36A30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’</w:t>
      </w:r>
      <w:r w:rsidRPr="00C36A30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adoption du rapport</w:t>
      </w:r>
      <w:r w:rsidR="00C36A30" w:rsidRPr="00C36A30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 :</w:t>
      </w:r>
      <w:r w:rsidRPr="00C36A30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2</w:t>
      </w:r>
      <w:r w:rsidR="0084284B" w:rsidRPr="00C36A30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 décembre </w:t>
      </w:r>
      <w:r w:rsidRPr="00C36A30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2004</w:t>
      </w:r>
    </w:p>
    <w:p w:rsidR="008873A7" w:rsidRPr="00C36A30" w:rsidRDefault="008873A7" w:rsidP="00121398">
      <w:pPr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</w:pP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4.</w:t>
      </w: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ab/>
        <w:t>Objet</w:t>
      </w:r>
      <w:r w:rsidR="00C36A30"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 :</w:t>
      </w:r>
    </w:p>
    <w:p w:rsidR="008873A7" w:rsidRPr="00095245" w:rsidRDefault="008873A7" w:rsidP="00121398">
      <w:pPr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</w:pPr>
      <w:r w:rsidRPr="00C36A30">
        <w:t xml:space="preserve">Proposition de décision du Parlement européen et du Conseil relative à un programme communautaire pluriannuel visant à promouvoir </w:t>
      </w:r>
      <w:r w:rsidR="00FB2E4C" w:rsidRPr="00C36A30">
        <w:t>une utilisation plus sûre de l</w:t>
      </w:r>
      <w:r w:rsidR="00C36A30">
        <w:t>’</w:t>
      </w:r>
      <w:r w:rsidR="00FB2E4C" w:rsidRPr="00C36A30">
        <w:t>I</w:t>
      </w:r>
      <w:r w:rsidRPr="00C36A30">
        <w:t>nternet et des nouvelles technologies en ligne</w:t>
      </w:r>
    </w:p>
    <w:p w:rsidR="008873A7" w:rsidRPr="00C36A30" w:rsidRDefault="008873A7" w:rsidP="00121398">
      <w:pPr>
        <w:rPr>
          <w:spacing w:val="-2"/>
          <w:szCs w:val="24"/>
        </w:rPr>
      </w:pP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5.</w:t>
      </w: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ab/>
        <w:t>Référence interinstitutionnelle</w:t>
      </w:r>
      <w:r w:rsidR="00C36A30" w:rsidRPr="00C36A30">
        <w:rPr>
          <w:rStyle w:val="DefaultMargins"/>
          <w:rFonts w:ascii="Times New Roman" w:hAnsi="Times New Roman"/>
          <w:b/>
          <w:spacing w:val="-2"/>
          <w:sz w:val="24"/>
          <w:szCs w:val="24"/>
          <w:lang w:val="fr-FR"/>
        </w:rPr>
        <w:t> :</w:t>
      </w:r>
      <w:r w:rsidRPr="00C36A30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</w:t>
      </w:r>
      <w:r w:rsidRPr="00C36A30">
        <w:rPr>
          <w:szCs w:val="24"/>
        </w:rPr>
        <w:t>2004/0023(COD)</w:t>
      </w:r>
    </w:p>
    <w:p w:rsidR="008873A7" w:rsidRPr="00C36A30" w:rsidRDefault="008873A7" w:rsidP="00121398">
      <w:pPr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</w:pP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6.</w:t>
      </w: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ab/>
        <w:t>Base juridique</w:t>
      </w:r>
      <w:r w:rsidR="00C36A30"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 :</w:t>
      </w: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 xml:space="preserve"> </w:t>
      </w:r>
      <w:r w:rsidR="00FB2E4C" w:rsidRPr="00C36A30">
        <w:rPr>
          <w:szCs w:val="24"/>
        </w:rPr>
        <w:t>a</w:t>
      </w:r>
      <w:r w:rsidRPr="00C36A30">
        <w:rPr>
          <w:szCs w:val="24"/>
        </w:rPr>
        <w:t>rticle</w:t>
      </w:r>
      <w:r w:rsidR="0084284B" w:rsidRPr="00C36A30">
        <w:rPr>
          <w:szCs w:val="24"/>
        </w:rPr>
        <w:t> </w:t>
      </w:r>
      <w:r w:rsidRPr="00C36A30">
        <w:rPr>
          <w:szCs w:val="24"/>
        </w:rPr>
        <w:t xml:space="preserve">153(2) </w:t>
      </w:r>
      <w:r w:rsidR="00B52D2C">
        <w:rPr>
          <w:szCs w:val="24"/>
        </w:rPr>
        <w:t xml:space="preserve">du Traité </w:t>
      </w:r>
      <w:r w:rsidRPr="00C36A30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CE</w:t>
      </w:r>
    </w:p>
    <w:p w:rsidR="008873A7" w:rsidRPr="00C36A30" w:rsidRDefault="008873A7" w:rsidP="00121398">
      <w:pPr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</w:pP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7.</w:t>
      </w: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ab/>
        <w:t>Commission parlementaire compétente</w:t>
      </w:r>
      <w:r w:rsidR="00C36A30"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 :</w:t>
      </w:r>
      <w:r w:rsidRPr="00C36A30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 </w:t>
      </w:r>
      <w:r w:rsidR="00C94FFB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c</w:t>
      </w:r>
      <w:r w:rsidR="00FB2E4C" w:rsidRPr="00C36A30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ommission des </w:t>
      </w:r>
      <w:r w:rsidR="008B41CE" w:rsidRPr="00C36A30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libertés </w:t>
      </w:r>
      <w:r w:rsidR="00B52D2C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civiles, </w:t>
      </w:r>
      <w:r w:rsidR="00FB2E4C" w:rsidRPr="00C36A30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de la </w:t>
      </w:r>
      <w:r w:rsidR="008B41CE" w:rsidRPr="00C36A30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justice et </w:t>
      </w:r>
      <w:r w:rsidR="00FB2E4C" w:rsidRPr="00C36A30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des </w:t>
      </w:r>
      <w:r w:rsidR="008B41CE" w:rsidRPr="00C36A30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affaires intérieures</w:t>
      </w:r>
    </w:p>
    <w:p w:rsidR="008B41CE" w:rsidRPr="00C36A30" w:rsidRDefault="008873A7" w:rsidP="00121398">
      <w:pPr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</w:pP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8.</w:t>
      </w: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ab/>
        <w:t>Position de la Commission</w:t>
      </w:r>
      <w:r w:rsidR="00C36A30"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 :</w:t>
      </w: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 xml:space="preserve"> </w:t>
      </w:r>
      <w:r w:rsidR="008B41CE" w:rsidRPr="00C36A30">
        <w:rPr>
          <w:rStyle w:val="DefaultMargins"/>
          <w:rFonts w:ascii="Times New Roman" w:hAnsi="Times New Roman"/>
          <w:bCs/>
          <w:spacing w:val="-2"/>
          <w:sz w:val="24"/>
          <w:szCs w:val="24"/>
          <w:lang w:val="fr-FR"/>
        </w:rPr>
        <w:t>amendements de compromis adoptés par le Parlement européen, le Conseil et la Commission</w:t>
      </w:r>
      <w:r w:rsidR="00C36A30"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 </w:t>
      </w:r>
      <w:r w:rsidR="00C36A30" w:rsidRPr="00C36A30">
        <w:rPr>
          <w:rStyle w:val="DefaultMargins"/>
          <w:rFonts w:ascii="Times New Roman" w:hAnsi="Times New Roman"/>
          <w:bCs/>
          <w:spacing w:val="-2"/>
          <w:sz w:val="24"/>
          <w:szCs w:val="24"/>
          <w:lang w:val="fr-FR"/>
        </w:rPr>
        <w:t>:</w:t>
      </w:r>
      <w:r w:rsidR="008B41CE" w:rsidRPr="00C36A30">
        <w:rPr>
          <w:rStyle w:val="DefaultMargins"/>
          <w:rFonts w:ascii="Times New Roman" w:hAnsi="Times New Roman"/>
          <w:bCs/>
          <w:spacing w:val="-2"/>
          <w:sz w:val="24"/>
          <w:szCs w:val="24"/>
          <w:lang w:val="fr-FR"/>
        </w:rPr>
        <w:t xml:space="preserve"> voir fiche GRI/GAP</w:t>
      </w:r>
      <w:r w:rsidR="00095245">
        <w:rPr>
          <w:rStyle w:val="DefaultMargins"/>
          <w:rFonts w:ascii="Times New Roman" w:hAnsi="Times New Roman"/>
          <w:bCs/>
          <w:spacing w:val="-2"/>
          <w:sz w:val="24"/>
          <w:szCs w:val="24"/>
          <w:lang w:val="fr-FR"/>
        </w:rPr>
        <w:t>.</w:t>
      </w:r>
    </w:p>
    <w:p w:rsidR="008873A7" w:rsidRPr="00C36A30" w:rsidRDefault="008873A7" w:rsidP="00121398">
      <w:pPr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</w:pP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9.</w:t>
      </w: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ab/>
        <w:t>Prévisions quant à la modification de la proposition</w:t>
      </w:r>
      <w:r w:rsidR="00C36A30"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 :</w:t>
      </w: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 xml:space="preserve"> </w:t>
      </w:r>
      <w:r w:rsidR="008B41CE" w:rsidRPr="00C36A30">
        <w:rPr>
          <w:rStyle w:val="DefaultMargins"/>
          <w:rFonts w:ascii="Times New Roman" w:hAnsi="Times New Roman"/>
          <w:bCs/>
          <w:spacing w:val="-2"/>
          <w:sz w:val="24"/>
          <w:szCs w:val="24"/>
          <w:lang w:val="fr-FR"/>
        </w:rPr>
        <w:t>voir point</w:t>
      </w:r>
      <w:r w:rsidR="0084284B"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 </w:t>
      </w:r>
      <w:r w:rsidRPr="00C36A30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8.</w:t>
      </w:r>
    </w:p>
    <w:p w:rsidR="008873A7" w:rsidRPr="00C36A30" w:rsidRDefault="008873A7" w:rsidP="00121398">
      <w:pPr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</w:pP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10.</w:t>
      </w: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ab/>
        <w:t>Prévision</w:t>
      </w:r>
      <w:r w:rsidR="00E0650F"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s</w:t>
      </w: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 xml:space="preserve"> quant à l</w:t>
      </w:r>
      <w:r w:rsid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’</w:t>
      </w: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adoption de la position commune</w:t>
      </w:r>
      <w:r w:rsidR="00C36A30"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> :</w:t>
      </w:r>
      <w:r w:rsidRPr="00C36A30">
        <w:rPr>
          <w:rStyle w:val="DefaultMargins"/>
          <w:rFonts w:ascii="Times New Roman" w:hAnsi="Times New Roman"/>
          <w:b/>
          <w:bCs/>
          <w:spacing w:val="-2"/>
          <w:sz w:val="24"/>
          <w:szCs w:val="24"/>
          <w:lang w:val="fr-FR"/>
        </w:rPr>
        <w:t xml:space="preserve"> </w:t>
      </w:r>
      <w:r w:rsidR="008B41CE" w:rsidRPr="00C36A30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accord politique du Conseil en date du 9</w:t>
      </w:r>
      <w:r w:rsidR="0084284B" w:rsidRPr="00C36A30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 xml:space="preserve"> décembre </w:t>
      </w:r>
      <w:r w:rsidR="00FB2E4C" w:rsidRPr="00C36A30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2004</w:t>
      </w:r>
      <w:r w:rsidR="00095245">
        <w:rPr>
          <w:rStyle w:val="DefaultMargins"/>
          <w:rFonts w:ascii="Times New Roman" w:hAnsi="Times New Roman"/>
          <w:spacing w:val="-2"/>
          <w:sz w:val="24"/>
          <w:szCs w:val="24"/>
          <w:lang w:val="fr-FR"/>
        </w:rPr>
        <w:t>.</w:t>
      </w:r>
    </w:p>
    <w:p w:rsidR="008873A7" w:rsidRPr="00C36A30" w:rsidRDefault="008873A7" w:rsidP="008873A7">
      <w:pPr>
        <w:ind w:left="284" w:hanging="284"/>
        <w:rPr>
          <w:snapToGrid w:val="0"/>
          <w:lang w:eastAsia="en-US"/>
        </w:rPr>
      </w:pPr>
      <w:r w:rsidRPr="00C36A30">
        <w:rPr>
          <w:snapToGrid w:val="0"/>
          <w:lang w:eastAsia="en-US"/>
        </w:rPr>
        <w:br w:type="page"/>
      </w:r>
    </w:p>
    <w:p w:rsidR="008873A7" w:rsidRPr="00C36A30" w:rsidRDefault="008B41CE" w:rsidP="008873A7">
      <w:pPr>
        <w:pStyle w:val="Subject"/>
        <w:spacing w:after="240"/>
        <w:jc w:val="center"/>
      </w:pPr>
      <w:r w:rsidRPr="00C36A30">
        <w:t>PROC</w:t>
      </w:r>
      <w:r w:rsidR="00F62C94">
        <w:t>E</w:t>
      </w:r>
      <w:r w:rsidR="0084284B" w:rsidRPr="00C36A30">
        <w:t>DURE DE COD</w:t>
      </w:r>
      <w:r w:rsidR="00F62C94">
        <w:t>E</w:t>
      </w:r>
      <w:r w:rsidRPr="00C36A30">
        <w:t>CI</w:t>
      </w:r>
      <w:r w:rsidR="00FB2E4C" w:rsidRPr="00C36A30">
        <w:t xml:space="preserve">SION – </w:t>
      </w:r>
      <w:r w:rsidR="00F62C94">
        <w:t>2ème</w:t>
      </w:r>
      <w:r w:rsidR="008873A7" w:rsidRPr="00C36A30">
        <w:rPr>
          <w:szCs w:val="24"/>
          <w:vertAlign w:val="superscript"/>
        </w:rPr>
        <w:t xml:space="preserve"> </w:t>
      </w:r>
      <w:r w:rsidR="008873A7" w:rsidRPr="00C36A30">
        <w:t>lecture</w:t>
      </w:r>
    </w:p>
    <w:p w:rsidR="008873A7" w:rsidRPr="00C36A30" w:rsidRDefault="00FB2E4C" w:rsidP="008873A7">
      <w:pPr>
        <w:jc w:val="center"/>
        <w:rPr>
          <w:b/>
          <w:bCs/>
        </w:rPr>
      </w:pPr>
      <w:r w:rsidRPr="00C36A30">
        <w:rPr>
          <w:b/>
          <w:bCs/>
        </w:rPr>
        <w:t xml:space="preserve">Proposition </w:t>
      </w:r>
      <w:r w:rsidR="008873A7" w:rsidRPr="00C36A30">
        <w:rPr>
          <w:b/>
          <w:bCs/>
        </w:rPr>
        <w:t>de règlement du Parlement européen et du Conseil concernant les limites maximales applicables aux résidus de pesticides présents dans les produits d</w:t>
      </w:r>
      <w:r w:rsidR="00C36A30">
        <w:rPr>
          <w:b/>
          <w:bCs/>
        </w:rPr>
        <w:t>’</w:t>
      </w:r>
      <w:r w:rsidR="008873A7" w:rsidRPr="00C36A30">
        <w:rPr>
          <w:b/>
          <w:bCs/>
        </w:rPr>
        <w:t>origine végétale et animale</w:t>
      </w:r>
    </w:p>
    <w:p w:rsidR="008873A7" w:rsidRPr="00C36A30" w:rsidRDefault="008873A7" w:rsidP="008873A7">
      <w:pPr>
        <w:rPr>
          <w:b/>
          <w:bCs/>
        </w:rPr>
      </w:pPr>
    </w:p>
    <w:p w:rsidR="008873A7" w:rsidRPr="00C36A30" w:rsidRDefault="008873A7" w:rsidP="008873A7">
      <w:pPr>
        <w:rPr>
          <w:bCs/>
        </w:rPr>
      </w:pPr>
    </w:p>
    <w:p w:rsidR="008873A7" w:rsidRPr="00095245" w:rsidRDefault="008873A7" w:rsidP="008873A7">
      <w:pPr>
        <w:rPr>
          <w:lang w:val="en-GB"/>
        </w:rPr>
      </w:pPr>
      <w:r w:rsidRPr="00095245">
        <w:rPr>
          <w:b/>
          <w:bCs/>
          <w:lang w:val="en-GB"/>
        </w:rPr>
        <w:t>1.</w:t>
      </w:r>
      <w:r w:rsidRPr="00095245">
        <w:rPr>
          <w:bCs/>
          <w:lang w:val="en-GB"/>
        </w:rPr>
        <w:tab/>
      </w:r>
      <w:r w:rsidRPr="00095245">
        <w:rPr>
          <w:b/>
          <w:lang w:val="en-GB"/>
        </w:rPr>
        <w:t>Rapporteur</w:t>
      </w:r>
      <w:r w:rsidR="00C36A30" w:rsidRPr="00095245">
        <w:rPr>
          <w:b/>
          <w:lang w:val="en-GB"/>
        </w:rPr>
        <w:t> :</w:t>
      </w:r>
      <w:r w:rsidRPr="00095245">
        <w:rPr>
          <w:lang w:val="en-GB"/>
        </w:rPr>
        <w:t xml:space="preserve"> </w:t>
      </w:r>
      <w:r w:rsidR="00B52D2C" w:rsidRPr="00095245">
        <w:rPr>
          <w:lang w:val="en-GB"/>
        </w:rPr>
        <w:t>Robert</w:t>
      </w:r>
      <w:r w:rsidRPr="00095245">
        <w:rPr>
          <w:lang w:val="en-GB"/>
        </w:rPr>
        <w:t xml:space="preserve"> William S</w:t>
      </w:r>
      <w:r w:rsidR="00B52D2C" w:rsidRPr="00095245">
        <w:rPr>
          <w:lang w:val="en-GB"/>
        </w:rPr>
        <w:t>turdy</w:t>
      </w:r>
    </w:p>
    <w:p w:rsidR="008873A7" w:rsidRPr="00095245" w:rsidRDefault="008873A7" w:rsidP="008873A7">
      <w:pPr>
        <w:rPr>
          <w:lang w:val="en-GB"/>
        </w:rPr>
      </w:pPr>
      <w:r w:rsidRPr="00095245">
        <w:rPr>
          <w:b/>
          <w:bCs/>
          <w:lang w:val="en-GB"/>
        </w:rPr>
        <w:t>2.</w:t>
      </w:r>
      <w:r w:rsidRPr="00095245">
        <w:rPr>
          <w:b/>
          <w:bCs/>
          <w:lang w:val="en-GB"/>
        </w:rPr>
        <w:tab/>
      </w:r>
      <w:r w:rsidRPr="00095245">
        <w:rPr>
          <w:b/>
          <w:lang w:val="en-GB"/>
        </w:rPr>
        <w:t>N° PE</w:t>
      </w:r>
      <w:r w:rsidR="00C36A30" w:rsidRPr="00095245">
        <w:rPr>
          <w:b/>
          <w:lang w:val="en-GB"/>
        </w:rPr>
        <w:t> :</w:t>
      </w:r>
      <w:r w:rsidRPr="00095245">
        <w:rPr>
          <w:lang w:val="en-GB"/>
        </w:rPr>
        <w:t xml:space="preserve"> A6-0049/2004</w:t>
      </w:r>
    </w:p>
    <w:p w:rsidR="008873A7" w:rsidRPr="00C36A30" w:rsidRDefault="008873A7" w:rsidP="008873A7">
      <w:r w:rsidRPr="00C36A30">
        <w:rPr>
          <w:b/>
          <w:bCs/>
        </w:rPr>
        <w:t>3.</w:t>
      </w:r>
      <w:r w:rsidRPr="00C36A30">
        <w:rPr>
          <w:b/>
          <w:bCs/>
        </w:rPr>
        <w:tab/>
      </w:r>
      <w:r w:rsidRPr="00C36A30">
        <w:rPr>
          <w:b/>
        </w:rPr>
        <w:t>Date d</w:t>
      </w:r>
      <w:r w:rsidR="00C36A30">
        <w:rPr>
          <w:b/>
        </w:rPr>
        <w:t>’</w:t>
      </w:r>
      <w:r w:rsidRPr="00C36A30">
        <w:rPr>
          <w:b/>
        </w:rPr>
        <w:t>adoption du rapport</w:t>
      </w:r>
      <w:r w:rsidR="00C36A30" w:rsidRPr="00C36A30">
        <w:rPr>
          <w:b/>
        </w:rPr>
        <w:t> :</w:t>
      </w:r>
      <w:r w:rsidRPr="00C36A30">
        <w:t xml:space="preserve"> 15</w:t>
      </w:r>
      <w:r w:rsidR="0084284B" w:rsidRPr="00C36A30">
        <w:t xml:space="preserve"> décembre </w:t>
      </w:r>
      <w:r w:rsidRPr="00C36A30">
        <w:t>2004</w:t>
      </w:r>
    </w:p>
    <w:p w:rsidR="008873A7" w:rsidRPr="00C36A30" w:rsidRDefault="008873A7" w:rsidP="008873A7">
      <w:pPr>
        <w:rPr>
          <w:b/>
          <w:bCs/>
        </w:rPr>
      </w:pPr>
      <w:r w:rsidRPr="00C36A30">
        <w:rPr>
          <w:b/>
          <w:bCs/>
        </w:rPr>
        <w:t>4.</w:t>
      </w:r>
      <w:r w:rsidRPr="00C36A30">
        <w:rPr>
          <w:b/>
          <w:bCs/>
        </w:rPr>
        <w:tab/>
        <w:t>Objet</w:t>
      </w:r>
      <w:r w:rsidR="00C36A30" w:rsidRPr="00C36A30">
        <w:rPr>
          <w:b/>
          <w:bCs/>
        </w:rPr>
        <w:t> :</w:t>
      </w:r>
    </w:p>
    <w:p w:rsidR="008873A7" w:rsidRPr="00C36A30" w:rsidRDefault="008873A7" w:rsidP="008873A7">
      <w:pPr>
        <w:rPr>
          <w:b/>
          <w:bCs/>
        </w:rPr>
      </w:pPr>
      <w:r w:rsidRPr="00C36A30">
        <w:t>Dénomination de l</w:t>
      </w:r>
      <w:r w:rsidR="00C36A30">
        <w:t>’</w:t>
      </w:r>
      <w:r w:rsidRPr="00C36A30">
        <w:t>action</w:t>
      </w:r>
      <w:r w:rsidR="00C36A30">
        <w:t> :</w:t>
      </w:r>
      <w:r w:rsidRPr="00C36A30">
        <w:t xml:space="preserve"> règlement du Parlement européen et du Conseil concernant les limites maximales applicables aux résidus de pesticides présents dans les produits d</w:t>
      </w:r>
      <w:r w:rsidR="00C36A30">
        <w:t>’</w:t>
      </w:r>
      <w:r w:rsidRPr="00C36A30">
        <w:t>origine végétale et animale</w:t>
      </w:r>
    </w:p>
    <w:p w:rsidR="008873A7" w:rsidRPr="00C36A30" w:rsidRDefault="008873A7" w:rsidP="008873A7">
      <w:r w:rsidRPr="00C36A30">
        <w:rPr>
          <w:b/>
          <w:bCs/>
        </w:rPr>
        <w:t>5.</w:t>
      </w:r>
      <w:r w:rsidRPr="00C36A30">
        <w:rPr>
          <w:b/>
          <w:bCs/>
        </w:rPr>
        <w:tab/>
      </w:r>
      <w:r w:rsidRPr="00C36A30">
        <w:rPr>
          <w:b/>
        </w:rPr>
        <w:t>Référence interinstitutionnelle</w:t>
      </w:r>
      <w:r w:rsidR="00C36A30" w:rsidRPr="00C36A30">
        <w:rPr>
          <w:b/>
        </w:rPr>
        <w:t> :</w:t>
      </w:r>
      <w:r w:rsidRPr="00C36A30">
        <w:t xml:space="preserve"> 2003/0052(COD)</w:t>
      </w:r>
    </w:p>
    <w:p w:rsidR="008873A7" w:rsidRPr="00C36A30" w:rsidRDefault="008873A7" w:rsidP="008873A7">
      <w:r w:rsidRPr="00C36A30">
        <w:rPr>
          <w:b/>
          <w:bCs/>
        </w:rPr>
        <w:t>6.</w:t>
      </w:r>
      <w:r w:rsidRPr="00C36A30">
        <w:rPr>
          <w:b/>
          <w:bCs/>
        </w:rPr>
        <w:tab/>
      </w:r>
      <w:r w:rsidRPr="00C36A30">
        <w:rPr>
          <w:b/>
        </w:rPr>
        <w:t>Base juridique</w:t>
      </w:r>
      <w:r w:rsidR="00C36A30" w:rsidRPr="00C36A30">
        <w:rPr>
          <w:b/>
        </w:rPr>
        <w:t> :</w:t>
      </w:r>
      <w:r w:rsidR="00E0650F" w:rsidRPr="00C36A30">
        <w:t xml:space="preserve"> a</w:t>
      </w:r>
      <w:r w:rsidRPr="00C36A30">
        <w:t>rticles</w:t>
      </w:r>
      <w:r w:rsidR="0084284B" w:rsidRPr="00C36A30">
        <w:t> 37</w:t>
      </w:r>
      <w:r w:rsidR="00095245">
        <w:t xml:space="preserve"> </w:t>
      </w:r>
      <w:r w:rsidR="0084284B" w:rsidRPr="00C36A30">
        <w:t>et </w:t>
      </w:r>
      <w:r w:rsidRPr="00C36A30">
        <w:t>152, paragraphe</w:t>
      </w:r>
      <w:r w:rsidR="0084284B" w:rsidRPr="00C36A30">
        <w:t> </w:t>
      </w:r>
      <w:r w:rsidRPr="00C36A30">
        <w:t xml:space="preserve">4, point b), du </w:t>
      </w:r>
      <w:r w:rsidR="00243EC6" w:rsidRPr="00C36A30">
        <w:t>Traité CE</w:t>
      </w:r>
    </w:p>
    <w:p w:rsidR="008873A7" w:rsidRPr="00C36A30" w:rsidRDefault="008873A7" w:rsidP="008873A7">
      <w:pPr>
        <w:rPr>
          <w:b/>
          <w:bCs/>
        </w:rPr>
      </w:pPr>
      <w:r w:rsidRPr="00C36A30">
        <w:rPr>
          <w:b/>
          <w:bCs/>
        </w:rPr>
        <w:t>7.</w:t>
      </w:r>
      <w:r w:rsidRPr="00C36A30">
        <w:rPr>
          <w:b/>
          <w:bCs/>
        </w:rPr>
        <w:tab/>
      </w:r>
      <w:r w:rsidRPr="00C36A30">
        <w:rPr>
          <w:b/>
        </w:rPr>
        <w:t>Commission parlementaire compétente</w:t>
      </w:r>
      <w:r w:rsidR="00C36A30" w:rsidRPr="00C36A30">
        <w:rPr>
          <w:b/>
        </w:rPr>
        <w:t> :</w:t>
      </w:r>
      <w:r w:rsidR="00FB2E4C" w:rsidRPr="00C36A30">
        <w:t xml:space="preserve"> c</w:t>
      </w:r>
      <w:r w:rsidRPr="00C36A30">
        <w:t>ommission de l</w:t>
      </w:r>
      <w:r w:rsidR="00C36A30">
        <w:t>’</w:t>
      </w:r>
      <w:r w:rsidRPr="00C36A30">
        <w:t xml:space="preserve">environnement, de la santé publique et de la </w:t>
      </w:r>
      <w:r w:rsidR="00B52D2C">
        <w:t>sécurité alimentaire</w:t>
      </w:r>
    </w:p>
    <w:p w:rsidR="008873A7" w:rsidRPr="00C36A30" w:rsidRDefault="008873A7" w:rsidP="008873A7">
      <w:r w:rsidRPr="00C36A30">
        <w:rPr>
          <w:b/>
          <w:bCs/>
        </w:rPr>
        <w:t>8.</w:t>
      </w:r>
      <w:r w:rsidRPr="00C36A30">
        <w:rPr>
          <w:b/>
          <w:bCs/>
        </w:rPr>
        <w:tab/>
      </w:r>
      <w:r w:rsidR="008B41CE" w:rsidRPr="00C36A30">
        <w:rPr>
          <w:b/>
          <w:bCs/>
        </w:rPr>
        <w:t>Position de la Commission</w:t>
      </w:r>
      <w:r w:rsidR="00C36A30" w:rsidRPr="00C36A30">
        <w:rPr>
          <w:b/>
          <w:bCs/>
        </w:rPr>
        <w:t> :</w:t>
      </w:r>
      <w:r w:rsidRPr="00C36A30">
        <w:rPr>
          <w:b/>
          <w:bCs/>
        </w:rPr>
        <w:t xml:space="preserve"> </w:t>
      </w:r>
      <w:r w:rsidR="008B41CE" w:rsidRPr="00C36A30">
        <w:rPr>
          <w:bCs/>
        </w:rPr>
        <w:t xml:space="preserve">la Commission </w:t>
      </w:r>
      <w:r w:rsidRPr="00C36A30">
        <w:rPr>
          <w:u w:val="single"/>
        </w:rPr>
        <w:t>accept</w:t>
      </w:r>
      <w:r w:rsidR="008B41CE" w:rsidRPr="00C36A30">
        <w:rPr>
          <w:u w:val="single"/>
        </w:rPr>
        <w:t>e</w:t>
      </w:r>
      <w:r w:rsidRPr="00C36A30">
        <w:rPr>
          <w:u w:val="single"/>
        </w:rPr>
        <w:t xml:space="preserve"> </w:t>
      </w:r>
      <w:r w:rsidR="008B41CE" w:rsidRPr="00C36A30">
        <w:rPr>
          <w:u w:val="single"/>
        </w:rPr>
        <w:t xml:space="preserve">tous les </w:t>
      </w:r>
      <w:r w:rsidRPr="00C36A30">
        <w:rPr>
          <w:u w:val="single"/>
        </w:rPr>
        <w:t>amend</w:t>
      </w:r>
      <w:r w:rsidR="008B41CE" w:rsidRPr="00C36A30">
        <w:rPr>
          <w:u w:val="single"/>
        </w:rPr>
        <w:t>ements</w:t>
      </w:r>
      <w:r w:rsidR="008B41CE" w:rsidRPr="00C36A30">
        <w:t xml:space="preserve"> adoptés à la session plénière du Parlement européen du 15</w:t>
      </w:r>
      <w:r w:rsidR="0084284B" w:rsidRPr="00C36A30">
        <w:t xml:space="preserve"> décembre </w:t>
      </w:r>
      <w:r w:rsidR="008B41CE" w:rsidRPr="00C36A30">
        <w:t>2004</w:t>
      </w:r>
      <w:r w:rsidRPr="00C36A30">
        <w:t>.</w:t>
      </w:r>
    </w:p>
    <w:p w:rsidR="008873A7" w:rsidRPr="00C36A30" w:rsidRDefault="008873A7" w:rsidP="008873A7">
      <w:pPr>
        <w:ind w:left="284" w:hanging="284"/>
        <w:rPr>
          <w:b/>
          <w:bCs/>
        </w:rPr>
      </w:pPr>
      <w:r w:rsidRPr="00C36A30">
        <w:rPr>
          <w:b/>
          <w:bCs/>
        </w:rPr>
        <w:t>9.</w:t>
      </w:r>
      <w:r w:rsidRPr="00C36A30">
        <w:rPr>
          <w:b/>
          <w:bCs/>
        </w:rPr>
        <w:tab/>
      </w:r>
      <w:r w:rsidR="00D14B87" w:rsidRPr="00C36A30">
        <w:rPr>
          <w:b/>
          <w:bCs/>
        </w:rPr>
        <w:tab/>
      </w:r>
      <w:r w:rsidRPr="00C36A30">
        <w:rPr>
          <w:b/>
        </w:rPr>
        <w:t>Prévision</w:t>
      </w:r>
      <w:r w:rsidR="00D14B87" w:rsidRPr="00C36A30">
        <w:rPr>
          <w:b/>
        </w:rPr>
        <w:t>s</w:t>
      </w:r>
      <w:r w:rsidRPr="00C36A30">
        <w:rPr>
          <w:b/>
        </w:rPr>
        <w:t xml:space="preserve"> quant à l</w:t>
      </w:r>
      <w:r w:rsidR="00C36A30">
        <w:rPr>
          <w:b/>
        </w:rPr>
        <w:t>’</w:t>
      </w:r>
      <w:r w:rsidRPr="00C36A30">
        <w:rPr>
          <w:b/>
        </w:rPr>
        <w:t>avis de la Commission</w:t>
      </w:r>
      <w:r w:rsidR="00C36A30" w:rsidRPr="00C36A30">
        <w:rPr>
          <w:b/>
        </w:rPr>
        <w:t> :</w:t>
      </w:r>
      <w:r w:rsidR="00D14B87" w:rsidRPr="00C36A30">
        <w:t xml:space="preserve"> voir point</w:t>
      </w:r>
      <w:r w:rsidR="0084284B" w:rsidRPr="00C36A30">
        <w:t> </w:t>
      </w:r>
      <w:r w:rsidR="00B52D2C">
        <w:t>8</w:t>
      </w:r>
      <w:r w:rsidR="00095245">
        <w:t>.</w:t>
      </w:r>
    </w:p>
    <w:p w:rsidR="008873A7" w:rsidRPr="00C36A30" w:rsidRDefault="008873A7" w:rsidP="008873A7">
      <w:pPr>
        <w:rPr>
          <w:snapToGrid w:val="0"/>
          <w:lang w:eastAsia="en-US"/>
        </w:rPr>
      </w:pPr>
      <w:r w:rsidRPr="00C36A30">
        <w:rPr>
          <w:b/>
          <w:bCs/>
        </w:rPr>
        <w:t>10.</w:t>
      </w:r>
      <w:r w:rsidRPr="00C36A30">
        <w:rPr>
          <w:b/>
          <w:bCs/>
        </w:rPr>
        <w:tab/>
      </w:r>
      <w:r w:rsidR="008B41CE" w:rsidRPr="00C36A30">
        <w:rPr>
          <w:b/>
          <w:bCs/>
        </w:rPr>
        <w:t>Prévisions quant à l</w:t>
      </w:r>
      <w:r w:rsidR="00C36A30">
        <w:rPr>
          <w:b/>
          <w:bCs/>
        </w:rPr>
        <w:t>’</w:t>
      </w:r>
      <w:r w:rsidR="008B41CE" w:rsidRPr="00C36A30">
        <w:rPr>
          <w:b/>
          <w:bCs/>
        </w:rPr>
        <w:t>adoption de la proposition</w:t>
      </w:r>
      <w:r w:rsidR="00C36A30" w:rsidRPr="00C36A30">
        <w:rPr>
          <w:b/>
          <w:bCs/>
          <w:snapToGrid w:val="0"/>
          <w:lang w:eastAsia="en-US"/>
        </w:rPr>
        <w:t> :</w:t>
      </w:r>
      <w:r w:rsidRPr="00C36A30">
        <w:rPr>
          <w:snapToGrid w:val="0"/>
          <w:lang w:eastAsia="en-US"/>
        </w:rPr>
        <w:t xml:space="preserve"> </w:t>
      </w:r>
      <w:r w:rsidR="008B41CE" w:rsidRPr="00C36A30">
        <w:rPr>
          <w:snapToGrid w:val="0"/>
          <w:lang w:eastAsia="en-US"/>
        </w:rPr>
        <w:t>la proposition sera adoptée dès que toutes les traductions seront disponibles</w:t>
      </w:r>
      <w:r w:rsidRPr="00C36A30">
        <w:t>.</w:t>
      </w:r>
    </w:p>
    <w:p w:rsidR="008873A7" w:rsidRPr="00C36A30" w:rsidRDefault="008873A7" w:rsidP="008873A7">
      <w:r w:rsidRPr="00C36A30">
        <w:br w:type="page"/>
      </w:r>
    </w:p>
    <w:p w:rsidR="008873A7" w:rsidRPr="00C36A30" w:rsidRDefault="008873A7" w:rsidP="008873A7">
      <w:pPr>
        <w:jc w:val="center"/>
        <w:rPr>
          <w:b/>
          <w:bCs/>
          <w:noProof/>
        </w:rPr>
      </w:pPr>
      <w:r w:rsidRPr="00C36A30">
        <w:rPr>
          <w:b/>
          <w:bCs/>
          <w:noProof/>
        </w:rPr>
        <w:t>PROC</w:t>
      </w:r>
      <w:r w:rsidR="00F62C94">
        <w:rPr>
          <w:b/>
          <w:bCs/>
          <w:noProof/>
        </w:rPr>
        <w:t>E</w:t>
      </w:r>
      <w:r w:rsidRPr="00C36A30">
        <w:rPr>
          <w:b/>
          <w:bCs/>
          <w:noProof/>
        </w:rPr>
        <w:t>DURE DE CONSULTATION N</w:t>
      </w:r>
      <w:r w:rsidR="00F62C94">
        <w:rPr>
          <w:b/>
          <w:bCs/>
          <w:noProof/>
        </w:rPr>
        <w:t>E</w:t>
      </w:r>
      <w:r w:rsidRPr="00C36A30">
        <w:rPr>
          <w:b/>
          <w:bCs/>
          <w:noProof/>
        </w:rPr>
        <w:t>CESSITANT UNE SEULE LECTURE</w:t>
      </w:r>
    </w:p>
    <w:p w:rsidR="008873A7" w:rsidRPr="00C36A30" w:rsidRDefault="008B41CE" w:rsidP="008B41CE">
      <w:pPr>
        <w:jc w:val="center"/>
        <w:rPr>
          <w:b/>
          <w:bCs/>
          <w:noProof/>
        </w:rPr>
      </w:pPr>
      <w:r w:rsidRPr="00C36A30">
        <w:rPr>
          <w:b/>
          <w:bCs/>
          <w:noProof/>
        </w:rPr>
        <w:t>Proposition de règlement du Conseil établissant des normes pour les dispositifs de sécurité et les éléments biométriques intégrés dans les passeports des citoyens de l</w:t>
      </w:r>
      <w:r w:rsidR="00C36A30">
        <w:rPr>
          <w:b/>
          <w:bCs/>
          <w:noProof/>
        </w:rPr>
        <w:t>’</w:t>
      </w:r>
      <w:r w:rsidRPr="00C36A30">
        <w:rPr>
          <w:b/>
          <w:bCs/>
          <w:noProof/>
        </w:rPr>
        <w:t>Union européenne</w:t>
      </w:r>
    </w:p>
    <w:p w:rsidR="008873A7" w:rsidRDefault="008873A7" w:rsidP="008873A7">
      <w:pPr>
        <w:rPr>
          <w:noProof/>
        </w:rPr>
      </w:pPr>
    </w:p>
    <w:p w:rsidR="00095245" w:rsidRPr="00C36A30" w:rsidRDefault="00095245" w:rsidP="008873A7">
      <w:pPr>
        <w:rPr>
          <w:noProof/>
        </w:rPr>
      </w:pPr>
    </w:p>
    <w:p w:rsidR="008873A7" w:rsidRPr="00095245" w:rsidRDefault="008873A7" w:rsidP="008873A7">
      <w:pPr>
        <w:rPr>
          <w:noProof/>
          <w:lang w:val="pt-PT"/>
        </w:rPr>
      </w:pPr>
      <w:r w:rsidRPr="00095245">
        <w:rPr>
          <w:b/>
          <w:bCs/>
          <w:noProof/>
          <w:lang w:val="pt-PT"/>
        </w:rPr>
        <w:t>1.</w:t>
      </w:r>
      <w:r w:rsidRPr="00095245">
        <w:rPr>
          <w:b/>
          <w:bCs/>
          <w:noProof/>
          <w:lang w:val="pt-PT"/>
        </w:rPr>
        <w:tab/>
      </w:r>
      <w:r w:rsidRPr="00095245">
        <w:rPr>
          <w:b/>
          <w:noProof/>
          <w:lang w:val="pt-PT"/>
        </w:rPr>
        <w:t>Rapporteur</w:t>
      </w:r>
      <w:r w:rsidR="00C36A30" w:rsidRPr="00095245">
        <w:rPr>
          <w:b/>
          <w:noProof/>
          <w:lang w:val="pt-PT"/>
        </w:rPr>
        <w:t> :</w:t>
      </w:r>
      <w:r w:rsidRPr="00095245">
        <w:rPr>
          <w:noProof/>
          <w:lang w:val="pt-PT"/>
        </w:rPr>
        <w:t xml:space="preserve"> Carlos C</w:t>
      </w:r>
      <w:r w:rsidR="00B52D2C" w:rsidRPr="00095245">
        <w:rPr>
          <w:noProof/>
          <w:lang w:val="pt-PT"/>
        </w:rPr>
        <w:t>oelho</w:t>
      </w:r>
    </w:p>
    <w:p w:rsidR="008873A7" w:rsidRPr="00095245" w:rsidRDefault="008873A7" w:rsidP="008873A7">
      <w:pPr>
        <w:rPr>
          <w:noProof/>
          <w:lang w:val="pt-PT"/>
        </w:rPr>
      </w:pPr>
      <w:r w:rsidRPr="00095245">
        <w:rPr>
          <w:b/>
          <w:bCs/>
          <w:noProof/>
          <w:lang w:val="pt-PT"/>
        </w:rPr>
        <w:t>2.</w:t>
      </w:r>
      <w:r w:rsidRPr="00095245">
        <w:rPr>
          <w:b/>
          <w:bCs/>
          <w:noProof/>
          <w:lang w:val="pt-PT"/>
        </w:rPr>
        <w:tab/>
      </w:r>
      <w:r w:rsidRPr="00095245">
        <w:rPr>
          <w:b/>
          <w:noProof/>
          <w:lang w:val="pt-PT"/>
        </w:rPr>
        <w:t>N°</w:t>
      </w:r>
      <w:r w:rsidR="00FB2E4C" w:rsidRPr="00095245">
        <w:rPr>
          <w:b/>
          <w:noProof/>
          <w:lang w:val="pt-PT"/>
        </w:rPr>
        <w:t xml:space="preserve"> </w:t>
      </w:r>
      <w:r w:rsidRPr="00095245">
        <w:rPr>
          <w:b/>
          <w:noProof/>
          <w:lang w:val="pt-PT"/>
        </w:rPr>
        <w:t>PE</w:t>
      </w:r>
      <w:r w:rsidR="00C36A30" w:rsidRPr="00095245">
        <w:rPr>
          <w:b/>
          <w:noProof/>
          <w:lang w:val="pt-PT"/>
        </w:rPr>
        <w:t> :</w:t>
      </w:r>
      <w:r w:rsidRPr="00095245">
        <w:rPr>
          <w:noProof/>
          <w:lang w:val="pt-PT"/>
        </w:rPr>
        <w:t xml:space="preserve"> A</w:t>
      </w:r>
      <w:r w:rsidR="00B52D2C" w:rsidRPr="00095245">
        <w:rPr>
          <w:noProof/>
          <w:lang w:val="pt-PT"/>
        </w:rPr>
        <w:t>6</w:t>
      </w:r>
      <w:r w:rsidRPr="00095245">
        <w:rPr>
          <w:noProof/>
          <w:lang w:val="pt-PT"/>
        </w:rPr>
        <w:t>-0028/2004</w:t>
      </w:r>
    </w:p>
    <w:p w:rsidR="008873A7" w:rsidRPr="00C36A30" w:rsidRDefault="008873A7" w:rsidP="008873A7">
      <w:pPr>
        <w:rPr>
          <w:noProof/>
        </w:rPr>
      </w:pPr>
      <w:r w:rsidRPr="00C36A30">
        <w:rPr>
          <w:b/>
          <w:bCs/>
          <w:noProof/>
        </w:rPr>
        <w:t>3.</w:t>
      </w:r>
      <w:r w:rsidRPr="00C36A30">
        <w:rPr>
          <w:b/>
          <w:bCs/>
          <w:noProof/>
        </w:rPr>
        <w:tab/>
      </w:r>
      <w:r w:rsidRPr="00C36A30">
        <w:rPr>
          <w:b/>
          <w:noProof/>
        </w:rPr>
        <w:t>Date d</w:t>
      </w:r>
      <w:r w:rsidR="00C36A30">
        <w:rPr>
          <w:b/>
          <w:noProof/>
        </w:rPr>
        <w:t>’</w:t>
      </w:r>
      <w:r w:rsidRPr="00C36A30">
        <w:rPr>
          <w:b/>
          <w:noProof/>
        </w:rPr>
        <w:t xml:space="preserve">adoption </w:t>
      </w:r>
      <w:r w:rsidR="00711F9B">
        <w:rPr>
          <w:b/>
          <w:noProof/>
        </w:rPr>
        <w:t>du rapport</w:t>
      </w:r>
      <w:r w:rsidR="00C36A30" w:rsidRPr="00C36A30">
        <w:rPr>
          <w:b/>
          <w:noProof/>
        </w:rPr>
        <w:t> :</w:t>
      </w:r>
      <w:r w:rsidRPr="00C36A30">
        <w:rPr>
          <w:noProof/>
        </w:rPr>
        <w:t xml:space="preserve"> 2</w:t>
      </w:r>
      <w:r w:rsidR="0084284B" w:rsidRPr="00C36A30">
        <w:rPr>
          <w:noProof/>
        </w:rPr>
        <w:t xml:space="preserve"> décembre </w:t>
      </w:r>
      <w:r w:rsidRPr="00C36A30">
        <w:rPr>
          <w:noProof/>
        </w:rPr>
        <w:t>2004</w:t>
      </w:r>
    </w:p>
    <w:p w:rsidR="008873A7" w:rsidRPr="00C36A30" w:rsidRDefault="008873A7" w:rsidP="008873A7">
      <w:pPr>
        <w:rPr>
          <w:b/>
          <w:bCs/>
          <w:noProof/>
        </w:rPr>
      </w:pPr>
      <w:r w:rsidRPr="00C36A30">
        <w:rPr>
          <w:b/>
          <w:bCs/>
          <w:noProof/>
        </w:rPr>
        <w:t>4.</w:t>
      </w:r>
      <w:r w:rsidRPr="00C36A30">
        <w:rPr>
          <w:b/>
          <w:bCs/>
          <w:noProof/>
        </w:rPr>
        <w:tab/>
        <w:t>Objet</w:t>
      </w:r>
      <w:r w:rsidR="00C36A30" w:rsidRPr="00C36A30">
        <w:rPr>
          <w:b/>
          <w:bCs/>
          <w:noProof/>
        </w:rPr>
        <w:t> :</w:t>
      </w:r>
    </w:p>
    <w:p w:rsidR="008B41CE" w:rsidRPr="00C36A30" w:rsidRDefault="008B41CE" w:rsidP="008B41CE">
      <w:pPr>
        <w:rPr>
          <w:bCs/>
          <w:noProof/>
        </w:rPr>
      </w:pPr>
      <w:r w:rsidRPr="00C36A30">
        <w:rPr>
          <w:bCs/>
          <w:noProof/>
        </w:rPr>
        <w:t>Proposition de règlement du Conseil établissant des normes pour les dispositifs de sécurité et les éléments biométriques intégrés dans les passeports des citoyens de l</w:t>
      </w:r>
      <w:r w:rsidR="00C36A30">
        <w:rPr>
          <w:bCs/>
          <w:noProof/>
        </w:rPr>
        <w:t>’</w:t>
      </w:r>
      <w:r w:rsidRPr="00C36A30">
        <w:rPr>
          <w:bCs/>
          <w:noProof/>
        </w:rPr>
        <w:t>Union européenne</w:t>
      </w:r>
      <w:r w:rsidR="0084284B" w:rsidRPr="00C36A30">
        <w:rPr>
          <w:bCs/>
          <w:noProof/>
        </w:rPr>
        <w:t>.</w:t>
      </w:r>
    </w:p>
    <w:p w:rsidR="008873A7" w:rsidRPr="00C36A30" w:rsidRDefault="008873A7" w:rsidP="008873A7">
      <w:pPr>
        <w:rPr>
          <w:noProof/>
        </w:rPr>
      </w:pPr>
      <w:r w:rsidRPr="00C36A30">
        <w:rPr>
          <w:b/>
          <w:bCs/>
          <w:noProof/>
        </w:rPr>
        <w:t>5.</w:t>
      </w:r>
      <w:r w:rsidRPr="00C36A30">
        <w:rPr>
          <w:b/>
          <w:bCs/>
          <w:noProof/>
        </w:rPr>
        <w:tab/>
      </w:r>
      <w:r w:rsidRPr="00C36A30">
        <w:rPr>
          <w:b/>
          <w:noProof/>
        </w:rPr>
        <w:t>Référence interinstitutionnelle</w:t>
      </w:r>
      <w:r w:rsidR="00C36A30" w:rsidRPr="00C36A30">
        <w:rPr>
          <w:b/>
          <w:noProof/>
        </w:rPr>
        <w:t> :</w:t>
      </w:r>
      <w:r w:rsidRPr="00C36A30">
        <w:rPr>
          <w:noProof/>
        </w:rPr>
        <w:t xml:space="preserve"> 2004/0039(CNS)</w:t>
      </w:r>
    </w:p>
    <w:p w:rsidR="008873A7" w:rsidRPr="00C36A30" w:rsidRDefault="008873A7" w:rsidP="008873A7">
      <w:pPr>
        <w:rPr>
          <w:noProof/>
        </w:rPr>
      </w:pPr>
      <w:r w:rsidRPr="00C36A30">
        <w:rPr>
          <w:b/>
          <w:bCs/>
          <w:noProof/>
        </w:rPr>
        <w:t>6.</w:t>
      </w:r>
      <w:r w:rsidRPr="00C36A30">
        <w:rPr>
          <w:b/>
          <w:bCs/>
          <w:noProof/>
        </w:rPr>
        <w:tab/>
      </w:r>
      <w:r w:rsidRPr="00C36A30">
        <w:rPr>
          <w:b/>
          <w:noProof/>
        </w:rPr>
        <w:t>Base juridique</w:t>
      </w:r>
      <w:r w:rsidR="00C36A30" w:rsidRPr="00C36A30">
        <w:rPr>
          <w:b/>
          <w:noProof/>
        </w:rPr>
        <w:t> :</w:t>
      </w:r>
      <w:r w:rsidRPr="00C36A30">
        <w:rPr>
          <w:noProof/>
        </w:rPr>
        <w:t xml:space="preserve"> article</w:t>
      </w:r>
      <w:r w:rsidR="0084284B" w:rsidRPr="00C36A30">
        <w:rPr>
          <w:noProof/>
        </w:rPr>
        <w:t> </w:t>
      </w:r>
      <w:r w:rsidR="00B52D2C">
        <w:rPr>
          <w:noProof/>
        </w:rPr>
        <w:t>62</w:t>
      </w:r>
      <w:r w:rsidRPr="00C36A30">
        <w:rPr>
          <w:noProof/>
        </w:rPr>
        <w:t>, paragraphe</w:t>
      </w:r>
      <w:r w:rsidR="0084284B" w:rsidRPr="00C36A30">
        <w:rPr>
          <w:noProof/>
        </w:rPr>
        <w:t> </w:t>
      </w:r>
      <w:r w:rsidR="00B52D2C">
        <w:rPr>
          <w:noProof/>
        </w:rPr>
        <w:t>2</w:t>
      </w:r>
      <w:r w:rsidRPr="00C36A30">
        <w:rPr>
          <w:noProof/>
        </w:rPr>
        <w:t xml:space="preserve">, du </w:t>
      </w:r>
      <w:r w:rsidR="00243EC6" w:rsidRPr="00C36A30">
        <w:rPr>
          <w:noProof/>
        </w:rPr>
        <w:t>Traité CE</w:t>
      </w:r>
    </w:p>
    <w:p w:rsidR="008873A7" w:rsidRPr="00C36A30" w:rsidRDefault="008873A7" w:rsidP="008873A7">
      <w:pPr>
        <w:rPr>
          <w:noProof/>
          <w:u w:val="single"/>
        </w:rPr>
      </w:pPr>
      <w:r w:rsidRPr="00C36A30">
        <w:rPr>
          <w:b/>
          <w:bCs/>
          <w:noProof/>
        </w:rPr>
        <w:t>7.</w:t>
      </w:r>
      <w:r w:rsidRPr="00C36A30">
        <w:rPr>
          <w:b/>
          <w:bCs/>
          <w:noProof/>
        </w:rPr>
        <w:tab/>
      </w:r>
      <w:r w:rsidRPr="00C36A30">
        <w:rPr>
          <w:b/>
          <w:noProof/>
        </w:rPr>
        <w:t>Commission parlementaire compétente</w:t>
      </w:r>
      <w:r w:rsidR="00C36A30" w:rsidRPr="00C36A30">
        <w:rPr>
          <w:b/>
          <w:noProof/>
        </w:rPr>
        <w:t> :</w:t>
      </w:r>
      <w:r w:rsidRPr="00C36A30">
        <w:rPr>
          <w:noProof/>
        </w:rPr>
        <w:t xml:space="preserve"> </w:t>
      </w:r>
      <w:r w:rsidR="00FB2E4C" w:rsidRPr="00C36A30">
        <w:rPr>
          <w:noProof/>
        </w:rPr>
        <w:t>c</w:t>
      </w:r>
      <w:r w:rsidRPr="00C36A30">
        <w:rPr>
          <w:noProof/>
        </w:rPr>
        <w:t>ommission des libertés</w:t>
      </w:r>
      <w:r w:rsidR="00B52D2C">
        <w:rPr>
          <w:noProof/>
        </w:rPr>
        <w:t xml:space="preserve"> civiles</w:t>
      </w:r>
      <w:r w:rsidRPr="00C36A30">
        <w:rPr>
          <w:noProof/>
        </w:rPr>
        <w:t>, de la justice et des affaires intérieures</w:t>
      </w:r>
    </w:p>
    <w:p w:rsidR="008873A7" w:rsidRPr="00C36A30" w:rsidRDefault="008873A7" w:rsidP="008873A7">
      <w:pPr>
        <w:rPr>
          <w:b/>
          <w:bCs/>
          <w:noProof/>
        </w:rPr>
      </w:pPr>
      <w:r w:rsidRPr="00C36A30">
        <w:rPr>
          <w:b/>
          <w:bCs/>
          <w:noProof/>
        </w:rPr>
        <w:t>8.</w:t>
      </w:r>
      <w:r w:rsidRPr="00C36A30">
        <w:rPr>
          <w:b/>
          <w:bCs/>
          <w:noProof/>
        </w:rPr>
        <w:tab/>
        <w:t>Position de la Commission</w:t>
      </w:r>
      <w:r w:rsidR="00C36A30" w:rsidRPr="00C36A30">
        <w:rPr>
          <w:b/>
          <w:bCs/>
          <w:noProof/>
        </w:rPr>
        <w:t> :</w:t>
      </w:r>
    </w:p>
    <w:p w:rsidR="008B41CE" w:rsidRPr="00C36A30" w:rsidRDefault="00FB2E4C" w:rsidP="008873A7">
      <w:pPr>
        <w:rPr>
          <w:noProof/>
        </w:rPr>
      </w:pPr>
      <w:r w:rsidRPr="00C36A30">
        <w:rPr>
          <w:noProof/>
        </w:rPr>
        <w:t xml:space="preserve">La </w:t>
      </w:r>
      <w:r w:rsidR="008B41CE" w:rsidRPr="00C36A30">
        <w:rPr>
          <w:noProof/>
        </w:rPr>
        <w:t xml:space="preserve">Commission </w:t>
      </w:r>
      <w:r w:rsidR="008B41CE" w:rsidRPr="00C36A30">
        <w:rPr>
          <w:noProof/>
          <w:u w:val="single"/>
        </w:rPr>
        <w:t>rejette tous les amendements</w:t>
      </w:r>
      <w:r w:rsidR="008B41CE" w:rsidRPr="00C36A30">
        <w:rPr>
          <w:noProof/>
        </w:rPr>
        <w:t>,</w:t>
      </w:r>
      <w:r w:rsidR="008873A7" w:rsidRPr="00C36A30">
        <w:rPr>
          <w:noProof/>
        </w:rPr>
        <w:t xml:space="preserve"> </w:t>
      </w:r>
      <w:r w:rsidR="008B41CE" w:rsidRPr="00C36A30">
        <w:rPr>
          <w:noProof/>
        </w:rPr>
        <w:t>dès lors qu</w:t>
      </w:r>
      <w:r w:rsidR="00C36A30">
        <w:rPr>
          <w:noProof/>
        </w:rPr>
        <w:t>’</w:t>
      </w:r>
      <w:r w:rsidR="008B41CE" w:rsidRPr="00C36A30">
        <w:rPr>
          <w:noProof/>
        </w:rPr>
        <w:t xml:space="preserve">ils figuraient déjà – du moins en partie – dans la proposition du Conseil qui </w:t>
      </w:r>
      <w:r w:rsidR="00D14B87" w:rsidRPr="00C36A30">
        <w:rPr>
          <w:noProof/>
        </w:rPr>
        <w:t>a suivi l</w:t>
      </w:r>
      <w:r w:rsidR="00C36A30">
        <w:rPr>
          <w:noProof/>
        </w:rPr>
        <w:t>’</w:t>
      </w:r>
      <w:r w:rsidR="00D14B87" w:rsidRPr="00C36A30">
        <w:rPr>
          <w:noProof/>
        </w:rPr>
        <w:t>avis du groupe de travail sur l</w:t>
      </w:r>
      <w:r w:rsidR="00C36A30">
        <w:rPr>
          <w:noProof/>
        </w:rPr>
        <w:t>’</w:t>
      </w:r>
      <w:r w:rsidR="00D14B87" w:rsidRPr="00C36A30">
        <w:rPr>
          <w:noProof/>
        </w:rPr>
        <w:t>article</w:t>
      </w:r>
      <w:r w:rsidR="0084284B" w:rsidRPr="00C36A30">
        <w:rPr>
          <w:noProof/>
        </w:rPr>
        <w:t> </w:t>
      </w:r>
      <w:r w:rsidR="00D14B87" w:rsidRPr="00C36A30">
        <w:rPr>
          <w:noProof/>
        </w:rPr>
        <w:t>29 (protection des données) ou qu</w:t>
      </w:r>
      <w:r w:rsidR="00C36A30">
        <w:rPr>
          <w:noProof/>
        </w:rPr>
        <w:t>’</w:t>
      </w:r>
      <w:r w:rsidR="00D14B87" w:rsidRPr="00C36A30">
        <w:rPr>
          <w:noProof/>
        </w:rPr>
        <w:t>ils n</w:t>
      </w:r>
      <w:r w:rsidR="00C36A30">
        <w:rPr>
          <w:noProof/>
        </w:rPr>
        <w:t>’</w:t>
      </w:r>
      <w:r w:rsidR="00D14B87" w:rsidRPr="00C36A30">
        <w:rPr>
          <w:noProof/>
        </w:rPr>
        <w:t>étaient pas couverts par la base juridique.</w:t>
      </w:r>
    </w:p>
    <w:p w:rsidR="008873A7" w:rsidRPr="00C36A30" w:rsidRDefault="00D14B87" w:rsidP="008873A7">
      <w:pPr>
        <w:rPr>
          <w:noProof/>
        </w:rPr>
      </w:pPr>
      <w:r w:rsidRPr="00C36A30">
        <w:rPr>
          <w:b/>
          <w:bCs/>
          <w:noProof/>
        </w:rPr>
        <w:t>9.</w:t>
      </w:r>
      <w:r w:rsidRPr="00C36A30">
        <w:rPr>
          <w:b/>
          <w:bCs/>
          <w:noProof/>
        </w:rPr>
        <w:tab/>
        <w:t>Prévisions quant à la modification de la proposition</w:t>
      </w:r>
      <w:r w:rsidR="00C36A30" w:rsidRPr="00C36A30">
        <w:rPr>
          <w:b/>
          <w:bCs/>
          <w:noProof/>
        </w:rPr>
        <w:t> :</w:t>
      </w:r>
      <w:r w:rsidRPr="00C36A30">
        <w:rPr>
          <w:b/>
          <w:bCs/>
          <w:noProof/>
        </w:rPr>
        <w:t xml:space="preserve"> </w:t>
      </w:r>
      <w:r w:rsidRPr="00C36A30">
        <w:rPr>
          <w:bCs/>
          <w:noProof/>
        </w:rPr>
        <w:t>sans objet (tous les amendements ont été rejetés)</w:t>
      </w:r>
      <w:r w:rsidR="00095245">
        <w:rPr>
          <w:bCs/>
          <w:noProof/>
        </w:rPr>
        <w:t>.</w:t>
      </w:r>
    </w:p>
    <w:p w:rsidR="008873A7" w:rsidRPr="00C36A30" w:rsidRDefault="008873A7" w:rsidP="008873A7">
      <w:pPr>
        <w:rPr>
          <w:noProof/>
        </w:rPr>
      </w:pPr>
      <w:r w:rsidRPr="00C36A30">
        <w:rPr>
          <w:b/>
          <w:bCs/>
          <w:noProof/>
        </w:rPr>
        <w:t>10.</w:t>
      </w:r>
      <w:r w:rsidRPr="00C36A30">
        <w:rPr>
          <w:b/>
          <w:bCs/>
          <w:noProof/>
        </w:rPr>
        <w:tab/>
      </w:r>
      <w:r w:rsidR="00FB2E4C" w:rsidRPr="00C36A30">
        <w:rPr>
          <w:b/>
          <w:bCs/>
          <w:noProof/>
        </w:rPr>
        <w:t>Prévisions q</w:t>
      </w:r>
      <w:r w:rsidR="00D14B87" w:rsidRPr="00C36A30">
        <w:rPr>
          <w:b/>
          <w:bCs/>
          <w:noProof/>
        </w:rPr>
        <w:t>uant à l</w:t>
      </w:r>
      <w:r w:rsidR="00C36A30">
        <w:rPr>
          <w:b/>
          <w:bCs/>
          <w:noProof/>
        </w:rPr>
        <w:t>’</w:t>
      </w:r>
      <w:r w:rsidR="00D14B87" w:rsidRPr="00C36A30">
        <w:rPr>
          <w:b/>
          <w:bCs/>
          <w:noProof/>
        </w:rPr>
        <w:t>adoption de la proposition</w:t>
      </w:r>
      <w:r w:rsidR="00C36A30" w:rsidRPr="00C36A30">
        <w:rPr>
          <w:b/>
          <w:bCs/>
          <w:noProof/>
        </w:rPr>
        <w:t> :</w:t>
      </w:r>
      <w:r w:rsidRPr="00C36A30">
        <w:rPr>
          <w:b/>
          <w:bCs/>
          <w:noProof/>
        </w:rPr>
        <w:t xml:space="preserve"> </w:t>
      </w:r>
      <w:r w:rsidR="00D14B87" w:rsidRPr="00C36A30">
        <w:rPr>
          <w:bCs/>
          <w:noProof/>
        </w:rPr>
        <w:t>proposition adoptée par le Conseil le 13</w:t>
      </w:r>
      <w:r w:rsidR="0084284B" w:rsidRPr="00C36A30">
        <w:rPr>
          <w:bCs/>
          <w:noProof/>
        </w:rPr>
        <w:t xml:space="preserve"> décembre </w:t>
      </w:r>
      <w:r w:rsidR="00D14B87" w:rsidRPr="00C36A30">
        <w:rPr>
          <w:bCs/>
          <w:noProof/>
        </w:rPr>
        <w:t>2004</w:t>
      </w:r>
      <w:r w:rsidRPr="00C36A30">
        <w:rPr>
          <w:noProof/>
        </w:rPr>
        <w:t>.</w:t>
      </w:r>
    </w:p>
    <w:p w:rsidR="008873A7" w:rsidRPr="00C36A30" w:rsidRDefault="008873A7" w:rsidP="008873A7">
      <w:pPr>
        <w:jc w:val="left"/>
        <w:rPr>
          <w:b/>
          <w:bCs/>
        </w:rPr>
      </w:pPr>
      <w:r w:rsidRPr="00C36A30">
        <w:rPr>
          <w:b/>
          <w:bCs/>
        </w:rPr>
        <w:br w:type="page"/>
      </w:r>
    </w:p>
    <w:p w:rsidR="008873A7" w:rsidRPr="00C36A30" w:rsidRDefault="008873A7" w:rsidP="008873A7">
      <w:pPr>
        <w:jc w:val="center"/>
        <w:rPr>
          <w:b/>
          <w:bCs/>
        </w:rPr>
      </w:pPr>
      <w:r w:rsidRPr="00C36A30">
        <w:rPr>
          <w:b/>
          <w:bCs/>
        </w:rPr>
        <w:t>PROC</w:t>
      </w:r>
      <w:r w:rsidR="00F62C94">
        <w:rPr>
          <w:b/>
          <w:bCs/>
        </w:rPr>
        <w:t>E</w:t>
      </w:r>
      <w:r w:rsidRPr="00C36A30">
        <w:rPr>
          <w:b/>
          <w:bCs/>
        </w:rPr>
        <w:t>DURE DE CONSULTATION N</w:t>
      </w:r>
      <w:r w:rsidR="00F62C94">
        <w:rPr>
          <w:b/>
          <w:bCs/>
        </w:rPr>
        <w:t>E</w:t>
      </w:r>
      <w:r w:rsidRPr="00C36A30">
        <w:rPr>
          <w:b/>
          <w:bCs/>
        </w:rPr>
        <w:t>CESSITANT UNE SEULE LECTURE</w:t>
      </w:r>
    </w:p>
    <w:p w:rsidR="008873A7" w:rsidRPr="00C36A30" w:rsidRDefault="008873A7" w:rsidP="008873A7">
      <w:pPr>
        <w:jc w:val="center"/>
        <w:rPr>
          <w:b/>
          <w:bCs/>
        </w:rPr>
      </w:pPr>
      <w:r w:rsidRPr="00C36A30">
        <w:rPr>
          <w:b/>
          <w:bCs/>
        </w:rPr>
        <w:t>Proposition de décision du Conseil accordant une garantie de la Communauté à la Banque européenne d</w:t>
      </w:r>
      <w:r w:rsidR="00C36A30">
        <w:rPr>
          <w:b/>
          <w:bCs/>
        </w:rPr>
        <w:t>’</w:t>
      </w:r>
      <w:r w:rsidRPr="00C36A30">
        <w:rPr>
          <w:b/>
          <w:bCs/>
        </w:rPr>
        <w:t xml:space="preserve">investissement pour les pertes résultant des prêts consentis pour certains types de projets en Russie et dans les nouveaux </w:t>
      </w:r>
      <w:r w:rsidR="0084284B" w:rsidRPr="00C36A30">
        <w:rPr>
          <w:b/>
          <w:bCs/>
        </w:rPr>
        <w:t>É</w:t>
      </w:r>
      <w:r w:rsidRPr="00C36A30">
        <w:rPr>
          <w:b/>
          <w:bCs/>
        </w:rPr>
        <w:t>tats indépendants occidentaux (NEI occidentaux)</w:t>
      </w:r>
    </w:p>
    <w:p w:rsidR="008873A7" w:rsidRPr="00C36A30" w:rsidRDefault="008873A7" w:rsidP="008873A7">
      <w:pPr>
        <w:rPr>
          <w:b/>
          <w:bCs/>
        </w:rPr>
      </w:pPr>
    </w:p>
    <w:p w:rsidR="008873A7" w:rsidRPr="00C36A30" w:rsidRDefault="008873A7" w:rsidP="008873A7">
      <w:pPr>
        <w:rPr>
          <w:b/>
          <w:bCs/>
        </w:rPr>
      </w:pPr>
    </w:p>
    <w:p w:rsidR="008873A7" w:rsidRPr="00C36A30" w:rsidRDefault="008873A7" w:rsidP="008873A7">
      <w:pPr>
        <w:jc w:val="left"/>
        <w:rPr>
          <w:b/>
          <w:bCs/>
        </w:rPr>
      </w:pPr>
      <w:r w:rsidRPr="00C36A30">
        <w:rPr>
          <w:b/>
          <w:bCs/>
        </w:rPr>
        <w:t>1.</w:t>
      </w:r>
      <w:r w:rsidRPr="00C36A30">
        <w:rPr>
          <w:b/>
          <w:bCs/>
        </w:rPr>
        <w:tab/>
        <w:t>Rapporteur</w:t>
      </w:r>
      <w:r w:rsidR="00C36A30" w:rsidRPr="00C36A30">
        <w:rPr>
          <w:b/>
          <w:bCs/>
        </w:rPr>
        <w:t> :</w:t>
      </w:r>
      <w:r w:rsidRPr="00C36A30">
        <w:t xml:space="preserve"> Esko Olavi Sepp</w:t>
      </w:r>
      <w:r w:rsidR="00B52D2C">
        <w:t>ä</w:t>
      </w:r>
      <w:r w:rsidRPr="00C36A30">
        <w:t>nen</w:t>
      </w:r>
    </w:p>
    <w:p w:rsidR="008873A7" w:rsidRPr="00C36A30" w:rsidRDefault="008873A7" w:rsidP="008873A7">
      <w:pPr>
        <w:jc w:val="left"/>
      </w:pPr>
      <w:r w:rsidRPr="00C36A30">
        <w:rPr>
          <w:b/>
          <w:bCs/>
        </w:rPr>
        <w:t>2.</w:t>
      </w:r>
      <w:r w:rsidRPr="00C36A30">
        <w:rPr>
          <w:b/>
          <w:bCs/>
        </w:rPr>
        <w:tab/>
      </w:r>
      <w:r w:rsidRPr="00C36A30">
        <w:rPr>
          <w:b/>
        </w:rPr>
        <w:t>N° PE</w:t>
      </w:r>
      <w:r w:rsidR="00C36A30" w:rsidRPr="00C36A30">
        <w:rPr>
          <w:b/>
        </w:rPr>
        <w:t> :</w:t>
      </w:r>
      <w:r w:rsidRPr="00C36A30">
        <w:t xml:space="preserve"> A6-0066/2004</w:t>
      </w:r>
    </w:p>
    <w:p w:rsidR="008873A7" w:rsidRPr="00C36A30" w:rsidRDefault="008873A7" w:rsidP="008873A7">
      <w:pPr>
        <w:jc w:val="left"/>
        <w:rPr>
          <w:b/>
          <w:bCs/>
        </w:rPr>
      </w:pPr>
      <w:r w:rsidRPr="00C36A30">
        <w:rPr>
          <w:b/>
          <w:bCs/>
        </w:rPr>
        <w:t>3.</w:t>
      </w:r>
      <w:r w:rsidRPr="00C36A30">
        <w:rPr>
          <w:b/>
          <w:bCs/>
        </w:rPr>
        <w:tab/>
      </w:r>
      <w:r w:rsidRPr="00C36A30">
        <w:rPr>
          <w:b/>
        </w:rPr>
        <w:t>Date d</w:t>
      </w:r>
      <w:r w:rsidR="00C36A30">
        <w:rPr>
          <w:b/>
        </w:rPr>
        <w:t>’</w:t>
      </w:r>
      <w:r w:rsidRPr="00C36A30">
        <w:rPr>
          <w:b/>
        </w:rPr>
        <w:t>adoption</w:t>
      </w:r>
      <w:r w:rsidR="00C36A30" w:rsidRPr="00C36A30">
        <w:rPr>
          <w:b/>
        </w:rPr>
        <w:t> :</w:t>
      </w:r>
      <w:r w:rsidRPr="00C36A30">
        <w:t xml:space="preserve"> 14</w:t>
      </w:r>
      <w:r w:rsidR="0084284B" w:rsidRPr="00C36A30">
        <w:t xml:space="preserve"> décembre </w:t>
      </w:r>
      <w:r w:rsidRPr="00C36A30">
        <w:t>2004</w:t>
      </w:r>
    </w:p>
    <w:p w:rsidR="008873A7" w:rsidRPr="00C36A30" w:rsidRDefault="008873A7" w:rsidP="008873A7">
      <w:r w:rsidRPr="00C36A30">
        <w:rPr>
          <w:b/>
          <w:bCs/>
        </w:rPr>
        <w:t>4.</w:t>
      </w:r>
      <w:r w:rsidRPr="00C36A30">
        <w:rPr>
          <w:b/>
          <w:bCs/>
        </w:rPr>
        <w:tab/>
      </w:r>
      <w:r w:rsidR="00E0650F" w:rsidRPr="00C36A30">
        <w:rPr>
          <w:b/>
          <w:bCs/>
        </w:rPr>
        <w:t xml:space="preserve">Objet : </w:t>
      </w:r>
      <w:r w:rsidRPr="00C36A30">
        <w:t>Proposition de décision du Conseil accordant une garantie de la Communauté à la Banque européenne d</w:t>
      </w:r>
      <w:r w:rsidR="00C36A30">
        <w:t>’</w:t>
      </w:r>
      <w:r w:rsidRPr="00C36A30">
        <w:t xml:space="preserve">investissement pour les pertes résultant des prêts consentis pour certains types de projets en Russie et dans les nouveaux </w:t>
      </w:r>
      <w:r w:rsidR="0084284B" w:rsidRPr="00C36A30">
        <w:t>É</w:t>
      </w:r>
      <w:r w:rsidRPr="00C36A30">
        <w:t>tats indépendants occidentaux (NEI occidentaux).</w:t>
      </w:r>
    </w:p>
    <w:p w:rsidR="008873A7" w:rsidRPr="00C36A30" w:rsidRDefault="008873A7" w:rsidP="008873A7">
      <w:pPr>
        <w:jc w:val="left"/>
      </w:pPr>
      <w:r w:rsidRPr="00C36A30">
        <w:rPr>
          <w:b/>
          <w:bCs/>
        </w:rPr>
        <w:t>5.</w:t>
      </w:r>
      <w:r w:rsidRPr="00C36A30">
        <w:rPr>
          <w:b/>
          <w:bCs/>
        </w:rPr>
        <w:tab/>
      </w:r>
      <w:r w:rsidRPr="00C36A30">
        <w:rPr>
          <w:b/>
        </w:rPr>
        <w:t>Référence interinstitutionnelle</w:t>
      </w:r>
      <w:r w:rsidR="00C36A30" w:rsidRPr="00C36A30">
        <w:rPr>
          <w:b/>
        </w:rPr>
        <w:t> :</w:t>
      </w:r>
      <w:r w:rsidRPr="00C36A30">
        <w:t xml:space="preserve"> 2004/</w:t>
      </w:r>
      <w:r w:rsidR="009142EC">
        <w:t>0</w:t>
      </w:r>
      <w:r w:rsidRPr="00C36A30">
        <w:t>121(CNS)</w:t>
      </w:r>
    </w:p>
    <w:p w:rsidR="008873A7" w:rsidRPr="00C36A30" w:rsidRDefault="008873A7" w:rsidP="008873A7">
      <w:pPr>
        <w:jc w:val="left"/>
        <w:rPr>
          <w:b/>
          <w:bCs/>
        </w:rPr>
      </w:pPr>
      <w:r w:rsidRPr="00C36A30">
        <w:rPr>
          <w:b/>
          <w:bCs/>
        </w:rPr>
        <w:t>6.</w:t>
      </w:r>
      <w:r w:rsidRPr="00C36A30">
        <w:rPr>
          <w:b/>
          <w:bCs/>
        </w:rPr>
        <w:tab/>
      </w:r>
      <w:r w:rsidRPr="00C36A30">
        <w:rPr>
          <w:b/>
        </w:rPr>
        <w:t>Base juridique</w:t>
      </w:r>
      <w:r w:rsidR="00C36A30" w:rsidRPr="00C36A30">
        <w:rPr>
          <w:b/>
        </w:rPr>
        <w:t> :</w:t>
      </w:r>
      <w:r w:rsidRPr="00C36A30">
        <w:t xml:space="preserve"> article</w:t>
      </w:r>
      <w:r w:rsidR="0084284B" w:rsidRPr="00C36A30">
        <w:t> </w:t>
      </w:r>
      <w:r w:rsidRPr="00C36A30">
        <w:t>1</w:t>
      </w:r>
      <w:r w:rsidR="00B52D2C">
        <w:t>8</w:t>
      </w:r>
      <w:r w:rsidRPr="00C36A30">
        <w:t>1</w:t>
      </w:r>
      <w:r w:rsidR="00B52D2C">
        <w:t> A</w:t>
      </w:r>
      <w:r w:rsidRPr="00C36A30">
        <w:t xml:space="preserve"> du Traité</w:t>
      </w:r>
      <w:r w:rsidR="00B52D2C">
        <w:t xml:space="preserve"> CE</w:t>
      </w:r>
    </w:p>
    <w:p w:rsidR="008873A7" w:rsidRPr="00C36A30" w:rsidRDefault="008873A7" w:rsidP="008873A7">
      <w:pPr>
        <w:jc w:val="left"/>
      </w:pPr>
      <w:r w:rsidRPr="00C36A30">
        <w:rPr>
          <w:b/>
          <w:bCs/>
        </w:rPr>
        <w:t>7.</w:t>
      </w:r>
      <w:r w:rsidRPr="00C36A30">
        <w:rPr>
          <w:b/>
          <w:bCs/>
        </w:rPr>
        <w:tab/>
      </w:r>
      <w:r w:rsidRPr="00C36A30">
        <w:rPr>
          <w:b/>
        </w:rPr>
        <w:t>Commission parlementaire compétente</w:t>
      </w:r>
      <w:r w:rsidR="00C36A30" w:rsidRPr="00C36A30">
        <w:rPr>
          <w:b/>
        </w:rPr>
        <w:t> :</w:t>
      </w:r>
      <w:r w:rsidR="0084284B" w:rsidRPr="00C36A30">
        <w:t xml:space="preserve"> </w:t>
      </w:r>
      <w:r w:rsidR="00FB2E4C" w:rsidRPr="00C36A30">
        <w:t>c</w:t>
      </w:r>
      <w:r w:rsidRPr="00C36A30">
        <w:t xml:space="preserve">ommission </w:t>
      </w:r>
      <w:r w:rsidR="00B52D2C">
        <w:t xml:space="preserve">des affaires </w:t>
      </w:r>
      <w:r w:rsidRPr="00C36A30">
        <w:t>économique</w:t>
      </w:r>
      <w:r w:rsidR="00B52D2C">
        <w:t>s</w:t>
      </w:r>
      <w:r w:rsidRPr="00C36A30">
        <w:t xml:space="preserve"> et monétaire</w:t>
      </w:r>
      <w:r w:rsidR="00B52D2C">
        <w:t>s</w:t>
      </w:r>
    </w:p>
    <w:p w:rsidR="008873A7" w:rsidRPr="00C36A30" w:rsidRDefault="008873A7" w:rsidP="008873A7">
      <w:pPr>
        <w:jc w:val="left"/>
        <w:rPr>
          <w:b/>
          <w:bCs/>
        </w:rPr>
      </w:pPr>
      <w:r w:rsidRPr="00C36A30">
        <w:rPr>
          <w:b/>
          <w:bCs/>
        </w:rPr>
        <w:t>8.</w:t>
      </w:r>
      <w:r w:rsidRPr="00C36A30">
        <w:rPr>
          <w:b/>
          <w:bCs/>
        </w:rPr>
        <w:tab/>
        <w:t>Position de la Commission</w:t>
      </w:r>
      <w:r w:rsidR="00C36A30" w:rsidRPr="00C36A30">
        <w:rPr>
          <w:b/>
          <w:bCs/>
        </w:rPr>
        <w:t> :</w:t>
      </w:r>
    </w:p>
    <w:p w:rsidR="008873A7" w:rsidRPr="00C36A30" w:rsidRDefault="008873A7" w:rsidP="008873A7">
      <w:r w:rsidRPr="00C36A30">
        <w:t xml:space="preserve">La Commission </w:t>
      </w:r>
      <w:r w:rsidRPr="00C36A30">
        <w:rPr>
          <w:u w:val="single"/>
        </w:rPr>
        <w:t>peut accepter</w:t>
      </w:r>
      <w:r w:rsidR="00FB2E4C" w:rsidRPr="00B52D2C">
        <w:rPr>
          <w:u w:val="single"/>
        </w:rPr>
        <w:t xml:space="preserve"> certains amendements</w:t>
      </w:r>
      <w:r w:rsidRPr="00C36A30">
        <w:t>.</w:t>
      </w:r>
    </w:p>
    <w:p w:rsidR="008873A7" w:rsidRPr="00C36A30" w:rsidRDefault="00D14B87" w:rsidP="008873A7">
      <w:pPr>
        <w:pStyle w:val="ListNumber"/>
        <w:tabs>
          <w:tab w:val="num" w:pos="360"/>
        </w:tabs>
        <w:ind w:left="360" w:hanging="360"/>
      </w:pPr>
      <w:r w:rsidRPr="00C36A30">
        <w:t xml:space="preserve">La Commission </w:t>
      </w:r>
      <w:r w:rsidRPr="00C36A30">
        <w:rPr>
          <w:u w:val="single"/>
        </w:rPr>
        <w:t>peut accepter</w:t>
      </w:r>
      <w:r w:rsidRPr="00C94FFB">
        <w:t xml:space="preserve"> </w:t>
      </w:r>
      <w:r w:rsidRPr="00C36A30">
        <w:t>le nouveau titre</w:t>
      </w:r>
      <w:r w:rsidR="00C36A30">
        <w:t> :</w:t>
      </w:r>
      <w:r w:rsidR="00FB2E4C" w:rsidRPr="00C36A30">
        <w:t xml:space="preserve"> </w:t>
      </w:r>
      <w:r w:rsidR="00EA053C">
        <w:t>« </w:t>
      </w:r>
      <w:r w:rsidR="00FB2E4C" w:rsidRPr="008D6286">
        <w:rPr>
          <w:i/>
        </w:rPr>
        <w:t>P</w:t>
      </w:r>
      <w:r w:rsidRPr="008D6286">
        <w:rPr>
          <w:i/>
        </w:rPr>
        <w:t>roposition de décision du Conseil accordant une garantie de la Communauté à la Banque européenne d</w:t>
      </w:r>
      <w:r w:rsidR="00C36A30" w:rsidRPr="008D6286">
        <w:rPr>
          <w:i/>
        </w:rPr>
        <w:t>’</w:t>
      </w:r>
      <w:r w:rsidRPr="008D6286">
        <w:rPr>
          <w:i/>
        </w:rPr>
        <w:t>investissement pour les pertes résultant de prêts consentis pour certains types de projets en Russie,</w:t>
      </w:r>
      <w:r w:rsidR="00FB2E4C" w:rsidRPr="008D6286">
        <w:rPr>
          <w:i/>
        </w:rPr>
        <w:t xml:space="preserve"> </w:t>
      </w:r>
      <w:r w:rsidR="00FB2E4C" w:rsidRPr="008D6286">
        <w:rPr>
          <w:b/>
          <w:i/>
        </w:rPr>
        <w:t>en Ukraine, en Moldova et au Bé</w:t>
      </w:r>
      <w:r w:rsidRPr="008D6286">
        <w:rPr>
          <w:b/>
          <w:i/>
        </w:rPr>
        <w:t>larus</w:t>
      </w:r>
      <w:r w:rsidR="00EA053C">
        <w:t> »</w:t>
      </w:r>
      <w:r w:rsidR="0084284B" w:rsidRPr="00C36A30">
        <w:t xml:space="preserve"> </w:t>
      </w:r>
      <w:r w:rsidRPr="00C36A30">
        <w:t>(</w:t>
      </w:r>
      <w:r w:rsidR="00FB2E4C" w:rsidRPr="00C36A30">
        <w:t>cette modification s</w:t>
      </w:r>
      <w:r w:rsidR="00C36A30">
        <w:t>’</w:t>
      </w:r>
      <w:r w:rsidR="00FB2E4C" w:rsidRPr="00C36A30">
        <w:t>applique à</w:t>
      </w:r>
      <w:r w:rsidRPr="00C36A30">
        <w:t xml:space="preserve"> tout le texte). C</w:t>
      </w:r>
      <w:r w:rsidR="008873A7" w:rsidRPr="00C36A30">
        <w:t xml:space="preserve">et amendement est </w:t>
      </w:r>
      <w:r w:rsidR="00FB2E4C" w:rsidRPr="00C36A30">
        <w:t xml:space="preserve">également </w:t>
      </w:r>
      <w:r w:rsidR="008873A7" w:rsidRPr="00C36A30">
        <w:t>accepté par l</w:t>
      </w:r>
      <w:r w:rsidR="00FB2E4C" w:rsidRPr="00C36A30">
        <w:t>e Conseil</w:t>
      </w:r>
      <w:r w:rsidR="008873A7" w:rsidRPr="00C36A30">
        <w:t>.</w:t>
      </w:r>
    </w:p>
    <w:p w:rsidR="008873A7" w:rsidRPr="00C36A30" w:rsidRDefault="00D14B87" w:rsidP="008873A7">
      <w:pPr>
        <w:pStyle w:val="ListNumber"/>
        <w:tabs>
          <w:tab w:val="num" w:pos="360"/>
        </w:tabs>
        <w:ind w:left="360" w:hanging="360"/>
      </w:pPr>
      <w:r w:rsidRPr="00C36A30">
        <w:t>La Commission</w:t>
      </w:r>
      <w:r w:rsidR="00C94FFB">
        <w:t xml:space="preserve"> – comme son Service juridique –</w:t>
      </w:r>
      <w:r w:rsidR="00FB2E4C" w:rsidRPr="00C36A30">
        <w:t xml:space="preserve"> </w:t>
      </w:r>
      <w:r w:rsidRPr="00C36A30">
        <w:rPr>
          <w:u w:val="single"/>
        </w:rPr>
        <w:t>peut accepter</w:t>
      </w:r>
      <w:r w:rsidRPr="00C36A30">
        <w:t xml:space="preserve"> la modification de la base juridique </w:t>
      </w:r>
      <w:r w:rsidR="00FB2E4C" w:rsidRPr="00C36A30">
        <w:t>(</w:t>
      </w:r>
      <w:r w:rsidRPr="00C36A30">
        <w:t>passage à l</w:t>
      </w:r>
      <w:r w:rsidR="00C36A30">
        <w:t>’</w:t>
      </w:r>
      <w:r w:rsidRPr="00C36A30">
        <w:t>article</w:t>
      </w:r>
      <w:r w:rsidR="0084284B" w:rsidRPr="00C36A30">
        <w:t> </w:t>
      </w:r>
      <w:r w:rsidRPr="00C36A30">
        <w:t>308 à l</w:t>
      </w:r>
      <w:r w:rsidR="00C36A30">
        <w:t>’</w:t>
      </w:r>
      <w:r w:rsidRPr="00C36A30">
        <w:t>article 181</w:t>
      </w:r>
      <w:r w:rsidR="00C94FFB">
        <w:t> </w:t>
      </w:r>
      <w:r w:rsidRPr="00C36A30">
        <w:t>A</w:t>
      </w:r>
      <w:r w:rsidR="00FB2E4C" w:rsidRPr="00C36A30">
        <w:t>)</w:t>
      </w:r>
      <w:r w:rsidR="00C36A30">
        <w:t> :</w:t>
      </w:r>
      <w:r w:rsidRPr="00C36A30">
        <w:t xml:space="preserve"> premier visa de la décision</w:t>
      </w:r>
      <w:r w:rsidR="00C36A30">
        <w:t> :</w:t>
      </w:r>
      <w:r w:rsidR="00EA053C">
        <w:t xml:space="preserve"> « </w:t>
      </w:r>
      <w:r w:rsidRPr="008D6286">
        <w:rPr>
          <w:i/>
        </w:rPr>
        <w:t>vu le traité instituant la Communauté européenne</w:t>
      </w:r>
      <w:r w:rsidR="00FB2E4C" w:rsidRPr="008D6286">
        <w:rPr>
          <w:i/>
        </w:rPr>
        <w:t>,</w:t>
      </w:r>
      <w:r w:rsidRPr="008D6286">
        <w:rPr>
          <w:i/>
        </w:rPr>
        <w:t xml:space="preserve"> et</w:t>
      </w:r>
      <w:r w:rsidR="00FB2E4C" w:rsidRPr="008D6286">
        <w:rPr>
          <w:i/>
        </w:rPr>
        <w:t xml:space="preserve"> notamment</w:t>
      </w:r>
      <w:r w:rsidRPr="008D6286">
        <w:rPr>
          <w:i/>
        </w:rPr>
        <w:t xml:space="preserve">, son </w:t>
      </w:r>
      <w:r w:rsidRPr="008D6286">
        <w:rPr>
          <w:b/>
          <w:i/>
        </w:rPr>
        <w:t>article 181</w:t>
      </w:r>
      <w:r w:rsidR="00C94FFB" w:rsidRPr="008D6286">
        <w:rPr>
          <w:b/>
          <w:i/>
        </w:rPr>
        <w:t> </w:t>
      </w:r>
      <w:r w:rsidRPr="008D6286">
        <w:rPr>
          <w:b/>
          <w:i/>
        </w:rPr>
        <w:t>A</w:t>
      </w:r>
      <w:r w:rsidRPr="008D6286">
        <w:rPr>
          <w:i/>
        </w:rPr>
        <w:t>,</w:t>
      </w:r>
      <w:r w:rsidR="00EA053C">
        <w:t> »</w:t>
      </w:r>
      <w:r w:rsidRPr="00C36A30">
        <w:t>. C</w:t>
      </w:r>
      <w:r w:rsidR="008873A7" w:rsidRPr="00C36A30">
        <w:t xml:space="preserve">et amendement est </w:t>
      </w:r>
      <w:r w:rsidR="00FB2E4C" w:rsidRPr="00C36A30">
        <w:t>également accepté par le Conseil.</w:t>
      </w:r>
    </w:p>
    <w:p w:rsidR="00ED7CE0" w:rsidRPr="00C36A30" w:rsidRDefault="00ED7CE0" w:rsidP="008873A7">
      <w:pPr>
        <w:pStyle w:val="ListNumber"/>
        <w:tabs>
          <w:tab w:val="num" w:pos="360"/>
        </w:tabs>
        <w:ind w:left="360" w:hanging="360"/>
      </w:pPr>
      <w:r w:rsidRPr="00C36A30">
        <w:t>La Commission ne peut qu</w:t>
      </w:r>
      <w:r w:rsidR="00C36A30">
        <w:t>’</w:t>
      </w:r>
      <w:r w:rsidRPr="00C36A30">
        <w:rPr>
          <w:u w:val="single"/>
        </w:rPr>
        <w:t>accepter partiellement</w:t>
      </w:r>
      <w:r w:rsidRPr="00C36A30">
        <w:t xml:space="preserve"> l</w:t>
      </w:r>
      <w:r w:rsidR="00C36A30">
        <w:t>’</w:t>
      </w:r>
      <w:r w:rsidRPr="00C36A30">
        <w:t>amendement au point</w:t>
      </w:r>
      <w:r w:rsidR="0084284B" w:rsidRPr="00C36A30">
        <w:t> </w:t>
      </w:r>
      <w:r w:rsidRPr="00C36A30">
        <w:t>5</w:t>
      </w:r>
      <w:r w:rsidR="00FB2E4C" w:rsidRPr="00C36A30">
        <w:t xml:space="preserve"> ci-après </w:t>
      </w:r>
      <w:r w:rsidR="0084284B" w:rsidRPr="00C36A30">
        <w:t>:</w:t>
      </w:r>
      <w:r w:rsidR="00EA053C">
        <w:t xml:space="preserve"> « </w:t>
      </w:r>
      <w:r w:rsidR="00FB2E4C" w:rsidRPr="000D13A7">
        <w:rPr>
          <w:i/>
        </w:rPr>
        <w:t>C</w:t>
      </w:r>
      <w:r w:rsidRPr="000D13A7">
        <w:rPr>
          <w:i/>
        </w:rPr>
        <w:t>e mandat de prêt sera soumis, d</w:t>
      </w:r>
      <w:r w:rsidR="00C36A30" w:rsidRPr="000D13A7">
        <w:rPr>
          <w:i/>
        </w:rPr>
        <w:t>’</w:t>
      </w:r>
      <w:r w:rsidRPr="000D13A7">
        <w:rPr>
          <w:i/>
        </w:rPr>
        <w:t xml:space="preserve">une part, à des conditions appropriées conformes </w:t>
      </w:r>
      <w:r w:rsidRPr="000D13A7">
        <w:rPr>
          <w:b/>
          <w:i/>
        </w:rPr>
        <w:t>aux politiques</w:t>
      </w:r>
      <w:r w:rsidR="00FB2E4C" w:rsidRPr="000D13A7">
        <w:rPr>
          <w:b/>
          <w:i/>
        </w:rPr>
        <w:t xml:space="preserve"> de l</w:t>
      </w:r>
      <w:r w:rsidR="00C36A30" w:rsidRPr="000D13A7">
        <w:rPr>
          <w:b/>
          <w:i/>
        </w:rPr>
        <w:t>’</w:t>
      </w:r>
      <w:r w:rsidR="00FB2E4C" w:rsidRPr="000D13A7">
        <w:rPr>
          <w:b/>
          <w:i/>
        </w:rPr>
        <w:t xml:space="preserve">Union européenne </w:t>
      </w:r>
      <w:r w:rsidRPr="000D13A7">
        <w:rPr>
          <w:b/>
          <w:i/>
        </w:rPr>
        <w:t xml:space="preserve">et </w:t>
      </w:r>
      <w:r w:rsidR="00FB2E4C" w:rsidRPr="000D13A7">
        <w:rPr>
          <w:i/>
        </w:rPr>
        <w:t>aux accords à</w:t>
      </w:r>
      <w:r w:rsidRPr="000D13A7">
        <w:rPr>
          <w:i/>
        </w:rPr>
        <w:t xml:space="preserve"> haut niveau de l</w:t>
      </w:r>
      <w:r w:rsidR="00C36A30" w:rsidRPr="000D13A7">
        <w:rPr>
          <w:i/>
        </w:rPr>
        <w:t>’</w:t>
      </w:r>
      <w:r w:rsidRPr="000D13A7">
        <w:rPr>
          <w:i/>
        </w:rPr>
        <w:t>U</w:t>
      </w:r>
      <w:r w:rsidR="00FB2E4C" w:rsidRPr="000D13A7">
        <w:rPr>
          <w:i/>
        </w:rPr>
        <w:t>E</w:t>
      </w:r>
      <w:r w:rsidRPr="000D13A7">
        <w:rPr>
          <w:i/>
        </w:rPr>
        <w:t xml:space="preserve"> sur les aspects politiques et macroéconomiques. </w:t>
      </w:r>
      <w:r w:rsidRPr="000D13A7">
        <w:rPr>
          <w:b/>
          <w:i/>
        </w:rPr>
        <w:t>La BEI et la Commission assurer</w:t>
      </w:r>
      <w:r w:rsidR="00FB2E4C" w:rsidRPr="000D13A7">
        <w:rPr>
          <w:b/>
          <w:i/>
        </w:rPr>
        <w:t>ont</w:t>
      </w:r>
      <w:r w:rsidRPr="000D13A7">
        <w:rPr>
          <w:b/>
          <w:i/>
        </w:rPr>
        <w:t xml:space="preserve"> la </w:t>
      </w:r>
      <w:r w:rsidR="00FB2E4C" w:rsidRPr="000D13A7">
        <w:rPr>
          <w:b/>
          <w:i/>
        </w:rPr>
        <w:t xml:space="preserve">nécessaire </w:t>
      </w:r>
      <w:r w:rsidRPr="000D13A7">
        <w:rPr>
          <w:b/>
          <w:i/>
        </w:rPr>
        <w:t xml:space="preserve">coordination </w:t>
      </w:r>
      <w:r w:rsidRPr="000D13A7">
        <w:rPr>
          <w:i/>
        </w:rPr>
        <w:t>avec d</w:t>
      </w:r>
      <w:r w:rsidR="00C36A30" w:rsidRPr="000D13A7">
        <w:rPr>
          <w:i/>
        </w:rPr>
        <w:t>’</w:t>
      </w:r>
      <w:r w:rsidRPr="000D13A7">
        <w:rPr>
          <w:i/>
        </w:rPr>
        <w:t>autres institutions financières internationales sur les as</w:t>
      </w:r>
      <w:r w:rsidR="00FB2E4C" w:rsidRPr="000D13A7">
        <w:rPr>
          <w:i/>
        </w:rPr>
        <w:t xml:space="preserve">pects </w:t>
      </w:r>
      <w:r w:rsidR="00FB2E4C" w:rsidRPr="000D13A7">
        <w:rPr>
          <w:i/>
        </w:rPr>
        <w:lastRenderedPageBreak/>
        <w:t>sectoriels et relatifs au projet</w:t>
      </w:r>
      <w:r w:rsidRPr="000D13A7">
        <w:rPr>
          <w:i/>
        </w:rPr>
        <w:t xml:space="preserve">. </w:t>
      </w:r>
      <w:r w:rsidRPr="000D13A7">
        <w:rPr>
          <w:b/>
          <w:i/>
        </w:rPr>
        <w:t>Ce</w:t>
      </w:r>
      <w:r w:rsidR="00FB2E4C" w:rsidRPr="000D13A7">
        <w:rPr>
          <w:b/>
          <w:i/>
        </w:rPr>
        <w:t>ci</w:t>
      </w:r>
      <w:r w:rsidRPr="000D13A7">
        <w:rPr>
          <w:b/>
          <w:i/>
        </w:rPr>
        <w:t xml:space="preserve"> peut </w:t>
      </w:r>
      <w:r w:rsidR="00FB2E4C" w:rsidRPr="000D13A7">
        <w:rPr>
          <w:b/>
          <w:i/>
        </w:rPr>
        <w:t>comport</w:t>
      </w:r>
      <w:r w:rsidRPr="000D13A7">
        <w:rPr>
          <w:b/>
          <w:i/>
        </w:rPr>
        <w:t xml:space="preserve">er, en particulier, </w:t>
      </w:r>
      <w:r w:rsidRPr="000D13A7">
        <w:rPr>
          <w:i/>
        </w:rPr>
        <w:t>un juste partage des tâches entre la BEI</w:t>
      </w:r>
      <w:r w:rsidR="00FB2E4C" w:rsidRPr="000D13A7">
        <w:rPr>
          <w:b/>
          <w:i/>
        </w:rPr>
        <w:t>,</w:t>
      </w:r>
      <w:r w:rsidRPr="000D13A7">
        <w:rPr>
          <w:i/>
        </w:rPr>
        <w:t xml:space="preserve"> </w:t>
      </w:r>
      <w:r w:rsidRPr="000D13A7">
        <w:rPr>
          <w:b/>
          <w:i/>
        </w:rPr>
        <w:t>en tant qu</w:t>
      </w:r>
      <w:r w:rsidR="00C36A30" w:rsidRPr="000D13A7">
        <w:rPr>
          <w:b/>
          <w:i/>
        </w:rPr>
        <w:t>’</w:t>
      </w:r>
      <w:r w:rsidRPr="000D13A7">
        <w:rPr>
          <w:b/>
          <w:i/>
        </w:rPr>
        <w:t>institution de l</w:t>
      </w:r>
      <w:r w:rsidR="00C36A30" w:rsidRPr="000D13A7">
        <w:rPr>
          <w:b/>
          <w:i/>
        </w:rPr>
        <w:t>’</w:t>
      </w:r>
      <w:r w:rsidRPr="000D13A7">
        <w:rPr>
          <w:b/>
          <w:i/>
        </w:rPr>
        <w:t xml:space="preserve">Union européenne et de ses États membres, </w:t>
      </w:r>
      <w:r w:rsidRPr="000D13A7">
        <w:rPr>
          <w:i/>
        </w:rPr>
        <w:t>et la Banque européenne pour la reconstruction et le développement (BERD)</w:t>
      </w:r>
      <w:r w:rsidRPr="00C36A30">
        <w:t>.</w:t>
      </w:r>
      <w:r w:rsidR="00EA053C">
        <w:t> »</w:t>
      </w:r>
    </w:p>
    <w:p w:rsidR="008873A7" w:rsidRPr="00C36A30" w:rsidRDefault="00ED7CE0" w:rsidP="008873A7">
      <w:pPr>
        <w:pStyle w:val="Text1"/>
      </w:pPr>
      <w:r w:rsidRPr="00C36A30">
        <w:t>Pour ce qui est de l</w:t>
      </w:r>
      <w:r w:rsidR="00C36A30">
        <w:t>’</w:t>
      </w:r>
      <w:r w:rsidRPr="00C36A30">
        <w:t>amendement li</w:t>
      </w:r>
      <w:r w:rsidR="00C36A30">
        <w:t>bellé comme suit :</w:t>
      </w:r>
      <w:r w:rsidR="00EA053C">
        <w:t xml:space="preserve"> « </w:t>
      </w:r>
      <w:r w:rsidR="00FB2E4C" w:rsidRPr="000D13A7">
        <w:rPr>
          <w:i/>
        </w:rPr>
        <w:t>(…</w:t>
      </w:r>
      <w:r w:rsidRPr="000D13A7">
        <w:rPr>
          <w:i/>
        </w:rPr>
        <w:t>) la BEI</w:t>
      </w:r>
      <w:r w:rsidRPr="000D13A7">
        <w:rPr>
          <w:b/>
          <w:i/>
        </w:rPr>
        <w:t>, en tant qu</w:t>
      </w:r>
      <w:r w:rsidR="00C36A30" w:rsidRPr="000D13A7">
        <w:rPr>
          <w:b/>
          <w:i/>
        </w:rPr>
        <w:t>’</w:t>
      </w:r>
      <w:r w:rsidRPr="000D13A7">
        <w:rPr>
          <w:b/>
          <w:i/>
        </w:rPr>
        <w:t>institution de l</w:t>
      </w:r>
      <w:r w:rsidR="00C36A30" w:rsidRPr="000D13A7">
        <w:rPr>
          <w:b/>
          <w:i/>
        </w:rPr>
        <w:t>’</w:t>
      </w:r>
      <w:r w:rsidRPr="000D13A7">
        <w:rPr>
          <w:b/>
          <w:i/>
        </w:rPr>
        <w:t>Union européenne et de ses États membres</w:t>
      </w:r>
      <w:r w:rsidR="00FB2E4C" w:rsidRPr="000D13A7">
        <w:rPr>
          <w:b/>
          <w:i/>
        </w:rPr>
        <w:t>,</w:t>
      </w:r>
      <w:r w:rsidR="00EA053C">
        <w:rPr>
          <w:b/>
        </w:rPr>
        <w:t> »</w:t>
      </w:r>
      <w:r w:rsidRPr="00C36A30">
        <w:t>, la Commission n</w:t>
      </w:r>
      <w:r w:rsidR="00C36A30">
        <w:t>’</w:t>
      </w:r>
      <w:r w:rsidRPr="00C36A30">
        <w:t xml:space="preserve">ajouterait pas cette précision, </w:t>
      </w:r>
      <w:r w:rsidR="00FB2E4C" w:rsidRPr="00C36A30">
        <w:t>qui</w:t>
      </w:r>
      <w:r w:rsidRPr="00C36A30">
        <w:t xml:space="preserve"> n</w:t>
      </w:r>
      <w:r w:rsidR="00C36A30">
        <w:t>’</w:t>
      </w:r>
      <w:r w:rsidRPr="00C36A30">
        <w:t xml:space="preserve">apporte aucune valeur législative </w:t>
      </w:r>
      <w:r w:rsidR="00FB2E4C" w:rsidRPr="00C36A30">
        <w:t xml:space="preserve">ajoutée </w:t>
      </w:r>
      <w:r w:rsidRPr="00C36A30">
        <w:t>au texte.</w:t>
      </w:r>
      <w:r w:rsidRPr="00C36A30">
        <w:rPr>
          <w:color w:val="008000"/>
        </w:rPr>
        <w:t xml:space="preserve"> </w:t>
      </w:r>
      <w:r w:rsidRPr="00C36A30">
        <w:t>L</w:t>
      </w:r>
      <w:r w:rsidR="008873A7" w:rsidRPr="00C36A30">
        <w:t xml:space="preserve">a Commission </w:t>
      </w:r>
      <w:r w:rsidRPr="00C36A30">
        <w:t xml:space="preserve">peut </w:t>
      </w:r>
      <w:r w:rsidR="008873A7" w:rsidRPr="00C36A30">
        <w:t>accepte</w:t>
      </w:r>
      <w:r w:rsidRPr="00C36A30">
        <w:t>r d</w:t>
      </w:r>
      <w:r w:rsidR="00C36A30">
        <w:t>’</w:t>
      </w:r>
      <w:r w:rsidRPr="00C36A30">
        <w:t>autres</w:t>
      </w:r>
      <w:r w:rsidR="008873A7" w:rsidRPr="00C36A30">
        <w:t xml:space="preserve"> modifications. </w:t>
      </w:r>
      <w:r w:rsidR="00FB2E4C" w:rsidRPr="00C36A30">
        <w:t xml:space="preserve">Le Conseil </w:t>
      </w:r>
      <w:r w:rsidR="008873A7" w:rsidRPr="00C36A30">
        <w:t>n</w:t>
      </w:r>
      <w:r w:rsidR="00C36A30">
        <w:t>’</w:t>
      </w:r>
      <w:r w:rsidR="008873A7" w:rsidRPr="00C36A30">
        <w:t>a pas accepté ces amendements.</w:t>
      </w:r>
    </w:p>
    <w:p w:rsidR="00ED7CE0" w:rsidRPr="00C36A30" w:rsidRDefault="00ED7CE0" w:rsidP="008873A7">
      <w:pPr>
        <w:pStyle w:val="ListNumber"/>
        <w:tabs>
          <w:tab w:val="num" w:pos="360"/>
        </w:tabs>
        <w:ind w:left="360" w:hanging="360"/>
      </w:pPr>
      <w:r w:rsidRPr="00C36A30">
        <w:t xml:space="preserve">La Commission </w:t>
      </w:r>
      <w:r w:rsidRPr="00C36A30">
        <w:rPr>
          <w:u w:val="single"/>
        </w:rPr>
        <w:t>peut accepter</w:t>
      </w:r>
      <w:r w:rsidRPr="00C36A30">
        <w:t xml:space="preserve"> l</w:t>
      </w:r>
      <w:r w:rsidR="00C36A30">
        <w:t>’</w:t>
      </w:r>
      <w:r w:rsidRPr="00C36A30">
        <w:t>amendement au point</w:t>
      </w:r>
      <w:r w:rsidR="0084284B" w:rsidRPr="00C36A30">
        <w:t> </w:t>
      </w:r>
      <w:r w:rsidRPr="00C36A30">
        <w:t>7 : « </w:t>
      </w:r>
      <w:r w:rsidRPr="00D858AD">
        <w:rPr>
          <w:i/>
        </w:rPr>
        <w:t>la Russie</w:t>
      </w:r>
      <w:r w:rsidR="00FB2E4C" w:rsidRPr="00D858AD">
        <w:rPr>
          <w:b/>
          <w:i/>
        </w:rPr>
        <w:t>, l</w:t>
      </w:r>
      <w:r w:rsidR="00C36A30" w:rsidRPr="00D858AD">
        <w:rPr>
          <w:b/>
          <w:i/>
        </w:rPr>
        <w:t>’</w:t>
      </w:r>
      <w:r w:rsidR="00FB2E4C" w:rsidRPr="00D858AD">
        <w:rPr>
          <w:b/>
          <w:i/>
        </w:rPr>
        <w:t>Ukraine, la Moldova et le</w:t>
      </w:r>
      <w:r w:rsidRPr="00D858AD">
        <w:rPr>
          <w:b/>
          <w:i/>
        </w:rPr>
        <w:t xml:space="preserve"> B</w:t>
      </w:r>
      <w:r w:rsidR="00FB2E4C" w:rsidRPr="00D858AD">
        <w:rPr>
          <w:b/>
          <w:i/>
        </w:rPr>
        <w:t>é</w:t>
      </w:r>
      <w:r w:rsidRPr="00D858AD">
        <w:rPr>
          <w:b/>
          <w:i/>
        </w:rPr>
        <w:t>larus</w:t>
      </w:r>
      <w:r w:rsidRPr="00D858AD">
        <w:rPr>
          <w:i/>
        </w:rPr>
        <w:t xml:space="preserve"> devront être </w:t>
      </w:r>
      <w:r w:rsidR="00FB2E4C" w:rsidRPr="00D858AD">
        <w:rPr>
          <w:i/>
        </w:rPr>
        <w:t xml:space="preserve">pleinement </w:t>
      </w:r>
      <w:r w:rsidRPr="00D858AD">
        <w:rPr>
          <w:i/>
        </w:rPr>
        <w:t>pris en compte dans l</w:t>
      </w:r>
      <w:r w:rsidR="00C36A30" w:rsidRPr="00D858AD">
        <w:rPr>
          <w:i/>
        </w:rPr>
        <w:t>’</w:t>
      </w:r>
      <w:r w:rsidRPr="00D858AD">
        <w:rPr>
          <w:i/>
        </w:rPr>
        <w:t>examen 2006 du mandat général de la BEI en application de la décision</w:t>
      </w:r>
      <w:r w:rsidR="0084284B" w:rsidRPr="00D858AD">
        <w:rPr>
          <w:i/>
        </w:rPr>
        <w:t> 24/2000</w:t>
      </w:r>
      <w:r w:rsidRPr="00D858AD">
        <w:rPr>
          <w:i/>
        </w:rPr>
        <w:t>/CE du Conseil du 22</w:t>
      </w:r>
      <w:r w:rsidR="0084284B" w:rsidRPr="00D858AD">
        <w:rPr>
          <w:i/>
        </w:rPr>
        <w:t> décembre</w:t>
      </w:r>
      <w:r w:rsidR="00FB2E4C" w:rsidRPr="00D858AD">
        <w:rPr>
          <w:i/>
        </w:rPr>
        <w:t> 1</w:t>
      </w:r>
      <w:r w:rsidRPr="00D858AD">
        <w:rPr>
          <w:i/>
        </w:rPr>
        <w:t>999 accordant une garantie de la Communauté à la Banque européenne d</w:t>
      </w:r>
      <w:r w:rsidR="00C36A30" w:rsidRPr="00D858AD">
        <w:rPr>
          <w:i/>
        </w:rPr>
        <w:t>’</w:t>
      </w:r>
      <w:r w:rsidRPr="00D858AD">
        <w:rPr>
          <w:i/>
        </w:rPr>
        <w:t xml:space="preserve">investissement au cas de pertes résultant de prêts </w:t>
      </w:r>
      <w:r w:rsidR="0079422E" w:rsidRPr="00D858AD">
        <w:rPr>
          <w:i/>
        </w:rPr>
        <w:t>en faveur de projets réalisés à l</w:t>
      </w:r>
      <w:r w:rsidR="00C36A30" w:rsidRPr="00D858AD">
        <w:rPr>
          <w:i/>
        </w:rPr>
        <w:t>’</w:t>
      </w:r>
      <w:r w:rsidR="0079422E" w:rsidRPr="00D858AD">
        <w:rPr>
          <w:i/>
        </w:rPr>
        <w:t>extérieur de la Communauté (Europe centrale et orientale, pays méditerranéens, Amérique latine et Asie, République d</w:t>
      </w:r>
      <w:r w:rsidR="00C36A30" w:rsidRPr="00D858AD">
        <w:rPr>
          <w:i/>
        </w:rPr>
        <w:t>’</w:t>
      </w:r>
      <w:r w:rsidR="0079422E" w:rsidRPr="00D858AD">
        <w:rPr>
          <w:i/>
        </w:rPr>
        <w:t xml:space="preserve">Afrique du Sud). </w:t>
      </w:r>
      <w:r w:rsidR="0079422E" w:rsidRPr="00D858AD">
        <w:rPr>
          <w:b/>
          <w:i/>
        </w:rPr>
        <w:t>Il conviendrait d</w:t>
      </w:r>
      <w:r w:rsidR="00C36A30" w:rsidRPr="00D858AD">
        <w:rPr>
          <w:b/>
          <w:i/>
        </w:rPr>
        <w:t>’</w:t>
      </w:r>
      <w:r w:rsidR="0079422E" w:rsidRPr="00D858AD">
        <w:rPr>
          <w:b/>
          <w:i/>
        </w:rPr>
        <w:t>envisager aussi, au moment de l</w:t>
      </w:r>
      <w:r w:rsidR="00C36A30" w:rsidRPr="00D858AD">
        <w:rPr>
          <w:b/>
          <w:i/>
        </w:rPr>
        <w:t>’</w:t>
      </w:r>
      <w:r w:rsidR="0079422E" w:rsidRPr="00D858AD">
        <w:rPr>
          <w:b/>
          <w:i/>
        </w:rPr>
        <w:t>examen en question, d</w:t>
      </w:r>
      <w:r w:rsidR="00C36A30" w:rsidRPr="00D858AD">
        <w:rPr>
          <w:b/>
          <w:i/>
        </w:rPr>
        <w:t>’</w:t>
      </w:r>
      <w:r w:rsidR="00243EC6" w:rsidRPr="00D858AD">
        <w:rPr>
          <w:b/>
          <w:i/>
        </w:rPr>
        <w:t>inclure des pays du Caucase du S</w:t>
      </w:r>
      <w:r w:rsidR="0079422E" w:rsidRPr="00D858AD">
        <w:rPr>
          <w:b/>
          <w:i/>
        </w:rPr>
        <w:t>ud et d</w:t>
      </w:r>
      <w:r w:rsidR="00C36A30" w:rsidRPr="00D858AD">
        <w:rPr>
          <w:b/>
          <w:i/>
        </w:rPr>
        <w:t>’</w:t>
      </w:r>
      <w:r w:rsidR="0079422E" w:rsidRPr="00D858AD">
        <w:rPr>
          <w:b/>
          <w:i/>
        </w:rPr>
        <w:t>Asie centrale.</w:t>
      </w:r>
      <w:r w:rsidR="00EA053C">
        <w:t> »</w:t>
      </w:r>
      <w:r w:rsidR="0079422E" w:rsidRPr="00C36A30">
        <w:t xml:space="preserve"> Le Conseil n</w:t>
      </w:r>
      <w:r w:rsidR="00C36A30">
        <w:t>’</w:t>
      </w:r>
      <w:r w:rsidR="0079422E" w:rsidRPr="00C36A30">
        <w:t xml:space="preserve">a pas accepté </w:t>
      </w:r>
      <w:r w:rsidR="00FB2E4C" w:rsidRPr="00C36A30">
        <w:t>c</w:t>
      </w:r>
      <w:r w:rsidR="0079422E" w:rsidRPr="00C36A30">
        <w:t>es amendements.</w:t>
      </w:r>
    </w:p>
    <w:p w:rsidR="0079422E" w:rsidRPr="00C36A30" w:rsidRDefault="0079422E" w:rsidP="008535BE">
      <w:pPr>
        <w:pStyle w:val="ListNumber"/>
        <w:tabs>
          <w:tab w:val="clear" w:pos="993"/>
        </w:tabs>
        <w:ind w:left="426" w:hanging="426"/>
      </w:pPr>
      <w:r w:rsidRPr="00C36A30">
        <w:t xml:space="preserve">La Commission </w:t>
      </w:r>
      <w:r w:rsidRPr="00C36A30">
        <w:rPr>
          <w:u w:val="single"/>
        </w:rPr>
        <w:t>accepte</w:t>
      </w:r>
      <w:r w:rsidRPr="00C36A30">
        <w:t xml:space="preserve"> l</w:t>
      </w:r>
      <w:r w:rsidR="00C36A30">
        <w:t>’</w:t>
      </w:r>
      <w:r w:rsidRPr="00C36A30">
        <w:t>amendement à l</w:t>
      </w:r>
      <w:r w:rsidR="00C36A30">
        <w:t>’</w:t>
      </w:r>
      <w:r w:rsidRPr="00C36A30">
        <w:t>article</w:t>
      </w:r>
      <w:r w:rsidR="0084284B" w:rsidRPr="00C36A30">
        <w:t> </w:t>
      </w:r>
      <w:r w:rsidRPr="00C36A30">
        <w:t xml:space="preserve">2 </w:t>
      </w:r>
      <w:r w:rsidR="0093444D" w:rsidRPr="00C36A30">
        <w:t>ci-après</w:t>
      </w:r>
      <w:r w:rsidR="00C36A30">
        <w:t> :</w:t>
      </w:r>
      <w:r w:rsidR="0093444D" w:rsidRPr="00C36A30">
        <w:t xml:space="preserve"> «</w:t>
      </w:r>
      <w:r w:rsidR="00C94FFB">
        <w:t> </w:t>
      </w:r>
      <w:r w:rsidR="0093444D" w:rsidRPr="00D858AD">
        <w:rPr>
          <w:i/>
        </w:rPr>
        <w:t>L</w:t>
      </w:r>
      <w:r w:rsidRPr="00D858AD">
        <w:rPr>
          <w:i/>
        </w:rPr>
        <w:t>es projets éligibles doivent être éco</w:t>
      </w:r>
      <w:r w:rsidR="0093444D" w:rsidRPr="00D858AD">
        <w:rPr>
          <w:i/>
        </w:rPr>
        <w:t>nomiquement viables et présenter</w:t>
      </w:r>
      <w:r w:rsidRPr="00D858AD">
        <w:rPr>
          <w:i/>
        </w:rPr>
        <w:t xml:space="preserve"> un intérêt certain pour l</w:t>
      </w:r>
      <w:r w:rsidR="00C36A30" w:rsidRPr="00D858AD">
        <w:rPr>
          <w:i/>
        </w:rPr>
        <w:t>’</w:t>
      </w:r>
      <w:r w:rsidRPr="00D858AD">
        <w:rPr>
          <w:i/>
        </w:rPr>
        <w:t>Union européenne</w:t>
      </w:r>
      <w:r w:rsidR="00243EC6" w:rsidRPr="00D858AD">
        <w:rPr>
          <w:i/>
        </w:rPr>
        <w:t>.</w:t>
      </w:r>
      <w:r w:rsidRPr="00D858AD">
        <w:rPr>
          <w:i/>
        </w:rPr>
        <w:t> Les secteurs éligibles sont l</w:t>
      </w:r>
      <w:r w:rsidR="00C36A30" w:rsidRPr="00D858AD">
        <w:rPr>
          <w:i/>
        </w:rPr>
        <w:t>’</w:t>
      </w:r>
      <w:r w:rsidRPr="00D858AD">
        <w:rPr>
          <w:i/>
        </w:rPr>
        <w:t>environnement et les infrastructures énergétiques, de transport et de télécommunications</w:t>
      </w:r>
      <w:r w:rsidR="00C94FFB" w:rsidRPr="00D858AD">
        <w:rPr>
          <w:i/>
        </w:rPr>
        <w:t>,</w:t>
      </w:r>
      <w:r w:rsidRPr="00D858AD">
        <w:rPr>
          <w:i/>
        </w:rPr>
        <w:t xml:space="preserve"> </w:t>
      </w:r>
      <w:r w:rsidRPr="00D858AD">
        <w:rPr>
          <w:b/>
          <w:i/>
        </w:rPr>
        <w:t>en ce compris la sûreté nucléaire</w:t>
      </w:r>
      <w:r w:rsidR="00C94FFB" w:rsidRPr="00D858AD">
        <w:rPr>
          <w:i/>
        </w:rPr>
        <w:t>,</w:t>
      </w:r>
      <w:r w:rsidRPr="00D858AD">
        <w:rPr>
          <w:i/>
        </w:rPr>
        <w:t xml:space="preserve"> située</w:t>
      </w:r>
      <w:r w:rsidR="0093444D" w:rsidRPr="00D858AD">
        <w:rPr>
          <w:i/>
        </w:rPr>
        <w:t>s</w:t>
      </w:r>
      <w:r w:rsidRPr="00D858AD">
        <w:rPr>
          <w:i/>
        </w:rPr>
        <w:t xml:space="preserve"> sur les axes prioritai</w:t>
      </w:r>
      <w:r w:rsidR="0093444D" w:rsidRPr="00D858AD">
        <w:rPr>
          <w:i/>
        </w:rPr>
        <w:t>res du réseau transeuropéen (RTE</w:t>
      </w:r>
      <w:r w:rsidRPr="00D858AD">
        <w:rPr>
          <w:i/>
        </w:rPr>
        <w:t>) ayant des implications transfrontalières pour un Ét</w:t>
      </w:r>
      <w:r w:rsidR="0093444D" w:rsidRPr="00D858AD">
        <w:rPr>
          <w:i/>
        </w:rPr>
        <w:t>at membre.</w:t>
      </w:r>
      <w:r w:rsidR="00C94FFB">
        <w:t> </w:t>
      </w:r>
      <w:r w:rsidR="0093444D" w:rsidRPr="00C36A30">
        <w:t>» La Commission voudr</w:t>
      </w:r>
      <w:r w:rsidRPr="00C36A30">
        <w:t>ait faire observer que le règlement d</w:t>
      </w:r>
      <w:r w:rsidR="00C36A30">
        <w:t>’</w:t>
      </w:r>
      <w:r w:rsidRPr="00C36A30">
        <w:t>Euratom autorise déjà des prêts communautaires à des pays comme la Russie ou l</w:t>
      </w:r>
      <w:r w:rsidR="00C36A30">
        <w:t>’</w:t>
      </w:r>
      <w:r w:rsidRPr="00C36A30">
        <w:t>Ukraine. Le Conseil n</w:t>
      </w:r>
      <w:r w:rsidR="00C36A30">
        <w:t>’</w:t>
      </w:r>
      <w:r w:rsidRPr="00C36A30">
        <w:t>a pas accepté cet amendement.</w:t>
      </w:r>
    </w:p>
    <w:p w:rsidR="008873A7" w:rsidRPr="00C36A30" w:rsidRDefault="00963519" w:rsidP="008535BE">
      <w:pPr>
        <w:pStyle w:val="ListNumber"/>
        <w:tabs>
          <w:tab w:val="clear" w:pos="993"/>
        </w:tabs>
        <w:ind w:left="426" w:hanging="426"/>
      </w:pPr>
      <w:r w:rsidRPr="00C36A30">
        <w:t>La Commission ne peut qu</w:t>
      </w:r>
      <w:r w:rsidR="00C36A30">
        <w:t>’</w:t>
      </w:r>
      <w:r w:rsidRPr="00C36A30">
        <w:rPr>
          <w:u w:val="single"/>
        </w:rPr>
        <w:t>accepter partiellement</w:t>
      </w:r>
      <w:r w:rsidRPr="00C36A30">
        <w:t xml:space="preserve"> les amendements proposés à l</w:t>
      </w:r>
      <w:r w:rsidR="00C36A30">
        <w:t>’</w:t>
      </w:r>
      <w:r w:rsidRPr="00C36A30">
        <w:t>article</w:t>
      </w:r>
      <w:r w:rsidR="0084284B" w:rsidRPr="00C36A30">
        <w:t> </w:t>
      </w:r>
      <w:r w:rsidR="00EA053C">
        <w:t>3 («</w:t>
      </w:r>
      <w:r w:rsidR="00EA053C" w:rsidRPr="00D858AD">
        <w:rPr>
          <w:i/>
        </w:rPr>
        <w:t> </w:t>
      </w:r>
      <w:r w:rsidR="0093444D" w:rsidRPr="00D858AD">
        <w:rPr>
          <w:i/>
        </w:rPr>
        <w:t>(</w:t>
      </w:r>
      <w:r w:rsidRPr="00D858AD">
        <w:rPr>
          <w:i/>
        </w:rPr>
        <w:t>…</w:t>
      </w:r>
      <w:r w:rsidR="0093444D" w:rsidRPr="00D858AD">
        <w:rPr>
          <w:i/>
        </w:rPr>
        <w:t>)</w:t>
      </w:r>
      <w:r w:rsidRPr="00D858AD">
        <w:rPr>
          <w:i/>
        </w:rPr>
        <w:t> la BEI</w:t>
      </w:r>
      <w:r w:rsidRPr="00D858AD">
        <w:rPr>
          <w:b/>
          <w:i/>
        </w:rPr>
        <w:t>, en tant qu</w:t>
      </w:r>
      <w:r w:rsidR="00C36A30" w:rsidRPr="00D858AD">
        <w:rPr>
          <w:b/>
          <w:i/>
        </w:rPr>
        <w:t>’</w:t>
      </w:r>
      <w:r w:rsidRPr="00D858AD">
        <w:rPr>
          <w:b/>
          <w:i/>
        </w:rPr>
        <w:t>institution de l</w:t>
      </w:r>
      <w:r w:rsidR="00C36A30" w:rsidRPr="00D858AD">
        <w:rPr>
          <w:b/>
          <w:i/>
        </w:rPr>
        <w:t>’</w:t>
      </w:r>
      <w:r w:rsidRPr="00D858AD">
        <w:rPr>
          <w:b/>
          <w:i/>
        </w:rPr>
        <w:t>Union européenne et de ses États membres,</w:t>
      </w:r>
      <w:r w:rsidRPr="00C36A30">
        <w:t> </w:t>
      </w:r>
      <w:r w:rsidR="00EA053C">
        <w:t>»).</w:t>
      </w:r>
      <w:r w:rsidRPr="00C36A30">
        <w:t xml:space="preserve"> Comme indiqué précédemment, la Commission n</w:t>
      </w:r>
      <w:r w:rsidR="00C36A30">
        <w:t>’</w:t>
      </w:r>
      <w:r w:rsidRPr="00C36A30">
        <w:t>ajou</w:t>
      </w:r>
      <w:r w:rsidR="0093444D" w:rsidRPr="00C36A30">
        <w:t xml:space="preserve">terait pas cette précision, qui </w:t>
      </w:r>
      <w:r w:rsidRPr="00C36A30">
        <w:t>n</w:t>
      </w:r>
      <w:r w:rsidR="00C36A30">
        <w:t>’</w:t>
      </w:r>
      <w:r w:rsidRPr="00C36A30">
        <w:t>app</w:t>
      </w:r>
      <w:r w:rsidR="0093444D" w:rsidRPr="00C36A30">
        <w:t>orte aucune valeur législative ajoutée</w:t>
      </w:r>
      <w:r w:rsidRPr="00C36A30">
        <w:t xml:space="preserve"> au texte. Le Conseil n</w:t>
      </w:r>
      <w:r w:rsidR="00C36A30">
        <w:t>’</w:t>
      </w:r>
      <w:r w:rsidRPr="00C36A30">
        <w:t>a pas accepté ces amendements.</w:t>
      </w:r>
    </w:p>
    <w:p w:rsidR="008873A7" w:rsidRPr="00C36A30" w:rsidRDefault="00963519" w:rsidP="008873A7">
      <w:pPr>
        <w:pStyle w:val="ListNumber"/>
        <w:tabs>
          <w:tab w:val="num" w:pos="360"/>
        </w:tabs>
        <w:ind w:left="360" w:hanging="360"/>
      </w:pPr>
      <w:r w:rsidRPr="00C36A30">
        <w:t>Amendement à l</w:t>
      </w:r>
      <w:r w:rsidR="00C36A30">
        <w:t>’</w:t>
      </w:r>
      <w:r w:rsidRPr="00C36A30">
        <w:t>article</w:t>
      </w:r>
      <w:r w:rsidR="0084284B" w:rsidRPr="00C36A30">
        <w:t> </w:t>
      </w:r>
      <w:r w:rsidR="00C36A30">
        <w:t>4 :</w:t>
      </w:r>
      <w:r w:rsidR="00EA053C">
        <w:t xml:space="preserve"> « </w:t>
      </w:r>
      <w:r w:rsidR="0093444D" w:rsidRPr="00D858AD">
        <w:rPr>
          <w:i/>
        </w:rPr>
        <w:t>L</w:t>
      </w:r>
      <w:r w:rsidRPr="00D858AD">
        <w:rPr>
          <w:i/>
        </w:rPr>
        <w:t xml:space="preserve">es pays visés deviennent </w:t>
      </w:r>
      <w:r w:rsidR="00243EC6" w:rsidRPr="00D858AD">
        <w:rPr>
          <w:i/>
        </w:rPr>
        <w:t>éligibles</w:t>
      </w:r>
      <w:r w:rsidRPr="00D858AD">
        <w:rPr>
          <w:i/>
        </w:rPr>
        <w:t xml:space="preserve"> dans les limites du plafond au fur et à mesure qu</w:t>
      </w:r>
      <w:r w:rsidR="00C36A30" w:rsidRPr="00D858AD">
        <w:rPr>
          <w:i/>
        </w:rPr>
        <w:t>’</w:t>
      </w:r>
      <w:r w:rsidRPr="00D858AD">
        <w:rPr>
          <w:i/>
        </w:rPr>
        <w:t xml:space="preserve">ils remplissent les conditions spécifiques conformes aux </w:t>
      </w:r>
      <w:r w:rsidRPr="00D858AD">
        <w:rPr>
          <w:b/>
          <w:i/>
        </w:rPr>
        <w:t>politiques de l</w:t>
      </w:r>
      <w:r w:rsidR="00C36A30" w:rsidRPr="00D858AD">
        <w:rPr>
          <w:b/>
          <w:i/>
        </w:rPr>
        <w:t>’</w:t>
      </w:r>
      <w:r w:rsidRPr="00D858AD">
        <w:rPr>
          <w:b/>
          <w:i/>
        </w:rPr>
        <w:t xml:space="preserve">Union européenne et </w:t>
      </w:r>
      <w:r w:rsidRPr="00D858AD">
        <w:rPr>
          <w:i/>
        </w:rPr>
        <w:t>aux accords à haut niveau que l</w:t>
      </w:r>
      <w:r w:rsidR="00C36A30" w:rsidRPr="00D858AD">
        <w:rPr>
          <w:i/>
        </w:rPr>
        <w:t>’</w:t>
      </w:r>
      <w:r w:rsidRPr="00D858AD">
        <w:rPr>
          <w:i/>
        </w:rPr>
        <w:t>Union européenne a conclu avec le pays concerné sur les aspects politiques et macroéconomiques. La Commission détermine lorsqu</w:t>
      </w:r>
      <w:r w:rsidR="00C36A30" w:rsidRPr="00D858AD">
        <w:rPr>
          <w:i/>
        </w:rPr>
        <w:t>’</w:t>
      </w:r>
      <w:r w:rsidRPr="00D858AD">
        <w:rPr>
          <w:i/>
        </w:rPr>
        <w:t>un pays donné satisfait aux conditions spécifiques et en informe la BEI</w:t>
      </w:r>
      <w:r w:rsidRPr="00D858AD">
        <w:rPr>
          <w:b/>
          <w:i/>
        </w:rPr>
        <w:t>, et cela après avoir communiqué ses motifs au Parlement européen et au Conseil</w:t>
      </w:r>
      <w:r w:rsidRPr="00D858AD">
        <w:rPr>
          <w:i/>
        </w:rPr>
        <w:t>.</w:t>
      </w:r>
      <w:r w:rsidRPr="00C36A30">
        <w:t xml:space="preserve"> » La Commission </w:t>
      </w:r>
      <w:r w:rsidRPr="00C36A30">
        <w:rPr>
          <w:u w:val="single"/>
        </w:rPr>
        <w:t>pourrait accepter</w:t>
      </w:r>
      <w:r w:rsidRPr="00C36A30">
        <w:t xml:space="preserve"> d</w:t>
      </w:r>
      <w:r w:rsidR="00C36A30">
        <w:t>’</w:t>
      </w:r>
      <w:r w:rsidRPr="00C36A30">
        <w:t>informer le Parlement européen et le Conseil au titre des dispositions interinstitutionnelles en vigueur. Le Conseil n</w:t>
      </w:r>
      <w:r w:rsidR="00C36A30">
        <w:t>’</w:t>
      </w:r>
      <w:r w:rsidRPr="00C36A30">
        <w:t>a pas accepté cet amendement.</w:t>
      </w:r>
    </w:p>
    <w:p w:rsidR="008873A7" w:rsidRPr="00C36A30" w:rsidRDefault="00963519" w:rsidP="008873A7">
      <w:pPr>
        <w:pStyle w:val="ListNumber"/>
        <w:tabs>
          <w:tab w:val="num" w:pos="360"/>
        </w:tabs>
        <w:ind w:left="360" w:hanging="360"/>
      </w:pPr>
      <w:r w:rsidRPr="00C36A30">
        <w:t>Le Parlement souhaitait inclure un nouvel article</w:t>
      </w:r>
      <w:r w:rsidR="0084284B" w:rsidRPr="00C36A30">
        <w:t> </w:t>
      </w:r>
      <w:r w:rsidRPr="00C36A30">
        <w:t>4 bis</w:t>
      </w:r>
      <w:r w:rsidR="0093444D" w:rsidRPr="00C36A30">
        <w:t xml:space="preserve">, </w:t>
      </w:r>
      <w:r w:rsidRPr="00C36A30">
        <w:rPr>
          <w:u w:val="single"/>
        </w:rPr>
        <w:t xml:space="preserve">que la Commission ne peut </w:t>
      </w:r>
      <w:r w:rsidR="0093444D" w:rsidRPr="00C36A30">
        <w:rPr>
          <w:u w:val="single"/>
        </w:rPr>
        <w:t>accepter</w:t>
      </w:r>
      <w:r w:rsidRPr="00C36A30">
        <w:t xml:space="preserve">. Selon cette dernière, il est certes recommandé de se préparer dans </w:t>
      </w:r>
      <w:r w:rsidR="0093444D" w:rsidRPr="00C36A30">
        <w:t>d</w:t>
      </w:r>
      <w:r w:rsidRPr="00C36A30">
        <w:t xml:space="preserve">es délais suffisants à tout élargissement du mandat, mais </w:t>
      </w:r>
      <w:r w:rsidR="0093444D" w:rsidRPr="00C36A30">
        <w:t xml:space="preserve">une telle démarche ne </w:t>
      </w:r>
      <w:r w:rsidRPr="00C36A30">
        <w:t>saurait préjuger de la décision proprement dite. L</w:t>
      </w:r>
      <w:r w:rsidR="00C36A30">
        <w:t>’</w:t>
      </w:r>
      <w:r w:rsidRPr="00C36A30">
        <w:t>amendement proposé est libellé comme suit</w:t>
      </w:r>
      <w:r w:rsidR="00C36A30">
        <w:t> :</w:t>
      </w:r>
      <w:r w:rsidRPr="00C36A30">
        <w:t xml:space="preserve"> </w:t>
      </w:r>
      <w:r w:rsidR="00EA053C">
        <w:t>« </w:t>
      </w:r>
      <w:r w:rsidR="0093444D" w:rsidRPr="001754F3">
        <w:rPr>
          <w:b/>
          <w:i/>
        </w:rPr>
        <w:t>L</w:t>
      </w:r>
      <w:r w:rsidRPr="001754F3">
        <w:rPr>
          <w:b/>
          <w:i/>
        </w:rPr>
        <w:t>a BEI est invitée à élaborer des études de faisabilité concernant l</w:t>
      </w:r>
      <w:r w:rsidR="00C36A30" w:rsidRPr="001754F3">
        <w:rPr>
          <w:b/>
          <w:i/>
        </w:rPr>
        <w:t>’</w:t>
      </w:r>
      <w:r w:rsidRPr="001754F3">
        <w:rPr>
          <w:b/>
          <w:i/>
        </w:rPr>
        <w:t xml:space="preserve">éventuelle inclusion dans le </w:t>
      </w:r>
      <w:r w:rsidRPr="001754F3">
        <w:rPr>
          <w:b/>
          <w:i/>
        </w:rPr>
        <w:lastRenderedPageBreak/>
        <w:t xml:space="preserve">mandat général, à compter de 2007, de pays des régions du Caucase du </w:t>
      </w:r>
      <w:r w:rsidR="00243EC6" w:rsidRPr="001754F3">
        <w:rPr>
          <w:b/>
          <w:i/>
        </w:rPr>
        <w:t>S</w:t>
      </w:r>
      <w:r w:rsidRPr="001754F3">
        <w:rPr>
          <w:b/>
          <w:i/>
        </w:rPr>
        <w:t>ud et de l</w:t>
      </w:r>
      <w:r w:rsidR="00C36A30" w:rsidRPr="001754F3">
        <w:rPr>
          <w:b/>
          <w:i/>
        </w:rPr>
        <w:t>’</w:t>
      </w:r>
      <w:r w:rsidRPr="001754F3">
        <w:rPr>
          <w:b/>
          <w:i/>
        </w:rPr>
        <w:t>Asie centrale.</w:t>
      </w:r>
      <w:r w:rsidR="00EA053C">
        <w:t> »</w:t>
      </w:r>
      <w:r w:rsidR="0084284B" w:rsidRPr="00C36A30">
        <w:t xml:space="preserve"> </w:t>
      </w:r>
      <w:r w:rsidRPr="00C36A30">
        <w:t>Le Conseil n</w:t>
      </w:r>
      <w:r w:rsidR="00C36A30">
        <w:t>’</w:t>
      </w:r>
      <w:r w:rsidRPr="00C36A30">
        <w:t>a pas accepté cet amendement.</w:t>
      </w:r>
    </w:p>
    <w:p w:rsidR="008873A7" w:rsidRPr="00C36A30" w:rsidRDefault="008873A7" w:rsidP="008873A7">
      <w:r w:rsidRPr="00C36A30">
        <w:rPr>
          <w:b/>
          <w:bCs/>
        </w:rPr>
        <w:t>9.</w:t>
      </w:r>
      <w:r w:rsidRPr="00C36A30">
        <w:rPr>
          <w:b/>
          <w:bCs/>
        </w:rPr>
        <w:tab/>
      </w:r>
      <w:r w:rsidRPr="00C36A30">
        <w:rPr>
          <w:b/>
        </w:rPr>
        <w:t>Prévisions quant à la modification de la proposition</w:t>
      </w:r>
      <w:r w:rsidR="00C36A30" w:rsidRPr="00C36A30">
        <w:rPr>
          <w:b/>
        </w:rPr>
        <w:t> :</w:t>
      </w:r>
      <w:r w:rsidR="00E511C7" w:rsidRPr="00C36A30">
        <w:t xml:space="preserve"> sans objet (voir points</w:t>
      </w:r>
      <w:r w:rsidR="0084284B" w:rsidRPr="00C36A30">
        <w:t> 8 et </w:t>
      </w:r>
      <w:r w:rsidR="0093444D" w:rsidRPr="00C36A30">
        <w:t>10)</w:t>
      </w:r>
      <w:r w:rsidR="008535BE">
        <w:t>.</w:t>
      </w:r>
    </w:p>
    <w:p w:rsidR="00E511C7" w:rsidRPr="00C36A30" w:rsidRDefault="008873A7" w:rsidP="008873A7">
      <w:pPr>
        <w:rPr>
          <w:bCs/>
        </w:rPr>
      </w:pPr>
      <w:r w:rsidRPr="00C36A30">
        <w:rPr>
          <w:b/>
          <w:bCs/>
        </w:rPr>
        <w:t>10.</w:t>
      </w:r>
      <w:r w:rsidRPr="00C36A30">
        <w:rPr>
          <w:b/>
          <w:bCs/>
        </w:rPr>
        <w:tab/>
      </w:r>
      <w:r w:rsidR="00E511C7" w:rsidRPr="00C36A30">
        <w:rPr>
          <w:b/>
          <w:bCs/>
        </w:rPr>
        <w:t>Prévisions quant à l</w:t>
      </w:r>
      <w:r w:rsidR="00C36A30">
        <w:rPr>
          <w:b/>
          <w:bCs/>
        </w:rPr>
        <w:t>’</w:t>
      </w:r>
      <w:r w:rsidR="00E511C7" w:rsidRPr="00C36A30">
        <w:rPr>
          <w:b/>
          <w:bCs/>
        </w:rPr>
        <w:t>adoption de la proposition</w:t>
      </w:r>
      <w:r w:rsidR="00C36A30" w:rsidRPr="00C36A30">
        <w:rPr>
          <w:b/>
          <w:bCs/>
        </w:rPr>
        <w:t> :</w:t>
      </w:r>
      <w:r w:rsidR="00E511C7" w:rsidRPr="00C36A30">
        <w:rPr>
          <w:bCs/>
        </w:rPr>
        <w:t xml:space="preserve"> la proposition a été adoptée par le Conseil le 21</w:t>
      </w:r>
      <w:r w:rsidR="0084284B" w:rsidRPr="00C36A30">
        <w:rPr>
          <w:bCs/>
        </w:rPr>
        <w:t xml:space="preserve"> décembre </w:t>
      </w:r>
      <w:r w:rsidR="00E511C7" w:rsidRPr="00C36A30">
        <w:rPr>
          <w:bCs/>
        </w:rPr>
        <w:t>2004</w:t>
      </w:r>
      <w:r w:rsidR="00EA053C">
        <w:rPr>
          <w:bCs/>
        </w:rPr>
        <w:t xml:space="preserve"> (Conseil « </w:t>
      </w:r>
      <w:r w:rsidR="0093444D" w:rsidRPr="00C36A30">
        <w:rPr>
          <w:bCs/>
        </w:rPr>
        <w:t>Agriculture et Pêche</w:t>
      </w:r>
      <w:r w:rsidR="00EA053C">
        <w:rPr>
          <w:bCs/>
        </w:rPr>
        <w:t> »</w:t>
      </w:r>
      <w:r w:rsidR="00E511C7" w:rsidRPr="00C36A30">
        <w:rPr>
          <w:bCs/>
        </w:rPr>
        <w:t xml:space="preserve"> à Bruxelles – 2633</w:t>
      </w:r>
      <w:r w:rsidR="0093444D" w:rsidRPr="00C36A30">
        <w:rPr>
          <w:bCs/>
          <w:szCs w:val="24"/>
          <w:vertAlign w:val="superscript"/>
        </w:rPr>
        <w:t>e</w:t>
      </w:r>
      <w:r w:rsidR="00E511C7" w:rsidRPr="00C36A30">
        <w:rPr>
          <w:bCs/>
        </w:rPr>
        <w:t xml:space="preserve"> réunion du Conseil – 15873/04).</w:t>
      </w:r>
    </w:p>
    <w:p w:rsidR="008873A7" w:rsidRPr="00C36A30" w:rsidRDefault="008873A7" w:rsidP="008873A7">
      <w:pPr>
        <w:rPr>
          <w:rStyle w:val="DefaultMargins"/>
          <w:spacing w:val="-2"/>
          <w:u w:val="single"/>
          <w:lang w:val="fr-FR"/>
        </w:rPr>
      </w:pPr>
      <w:r w:rsidRPr="00C36A30">
        <w:rPr>
          <w:rStyle w:val="DefaultMargins"/>
          <w:spacing w:val="-2"/>
          <w:u w:val="single"/>
          <w:lang w:val="fr-FR"/>
        </w:rPr>
        <w:br w:type="page"/>
      </w:r>
    </w:p>
    <w:p w:rsidR="008873A7" w:rsidRPr="00C36A30" w:rsidRDefault="008873A7" w:rsidP="008873A7">
      <w:pPr>
        <w:jc w:val="center"/>
      </w:pPr>
      <w:r w:rsidRPr="00C36A30">
        <w:rPr>
          <w:b/>
          <w:bCs/>
        </w:rPr>
        <w:t>PROC</w:t>
      </w:r>
      <w:r w:rsidR="00F62C94">
        <w:rPr>
          <w:b/>
          <w:bCs/>
        </w:rPr>
        <w:t>E</w:t>
      </w:r>
      <w:r w:rsidRPr="00C36A30">
        <w:rPr>
          <w:b/>
          <w:bCs/>
        </w:rPr>
        <w:t>DURE DE CONSULTATION N</w:t>
      </w:r>
      <w:r w:rsidR="00F62C94">
        <w:rPr>
          <w:b/>
          <w:bCs/>
        </w:rPr>
        <w:t>E</w:t>
      </w:r>
      <w:r w:rsidRPr="00C36A30">
        <w:rPr>
          <w:b/>
          <w:bCs/>
        </w:rPr>
        <w:t>CESSITANT UNE SEULE LECTURE</w:t>
      </w:r>
    </w:p>
    <w:p w:rsidR="008873A7" w:rsidRPr="00C36A30" w:rsidRDefault="008873A7" w:rsidP="008873A7">
      <w:pPr>
        <w:jc w:val="center"/>
        <w:rPr>
          <w:b/>
          <w:bCs/>
        </w:rPr>
      </w:pPr>
      <w:r w:rsidRPr="00C36A30">
        <w:rPr>
          <w:b/>
          <w:bCs/>
        </w:rPr>
        <w:t>Proposition de règlement du Conseil modifiant le règlement (CE) n°</w:t>
      </w:r>
      <w:r w:rsidR="0084284B" w:rsidRPr="00C36A30">
        <w:rPr>
          <w:b/>
          <w:bCs/>
        </w:rPr>
        <w:t> </w:t>
      </w:r>
      <w:r w:rsidRPr="00C36A30">
        <w:rPr>
          <w:b/>
          <w:bCs/>
        </w:rPr>
        <w:t>850/98 en ce qui concerne la protection des récifs coralliens en eau profonde contre les effets du chalutage dans certaines zones de l</w:t>
      </w:r>
      <w:r w:rsidR="00C36A30">
        <w:rPr>
          <w:b/>
          <w:bCs/>
        </w:rPr>
        <w:t>’</w:t>
      </w:r>
      <w:r w:rsidRPr="00C36A30">
        <w:rPr>
          <w:b/>
          <w:bCs/>
        </w:rPr>
        <w:t>océan Atlantique</w:t>
      </w:r>
    </w:p>
    <w:p w:rsidR="008873A7" w:rsidRPr="00C36A30" w:rsidRDefault="008873A7" w:rsidP="008873A7">
      <w:pPr>
        <w:rPr>
          <w:b/>
          <w:bCs/>
        </w:rPr>
      </w:pPr>
    </w:p>
    <w:p w:rsidR="008873A7" w:rsidRPr="00C36A30" w:rsidRDefault="008873A7" w:rsidP="008873A7"/>
    <w:p w:rsidR="008873A7" w:rsidRPr="00095245" w:rsidRDefault="008873A7" w:rsidP="008873A7">
      <w:pPr>
        <w:rPr>
          <w:lang w:val="pt-PT"/>
        </w:rPr>
      </w:pPr>
      <w:r w:rsidRPr="00095245">
        <w:rPr>
          <w:b/>
          <w:bCs/>
          <w:lang w:val="pt-PT"/>
        </w:rPr>
        <w:t>1.</w:t>
      </w:r>
      <w:r w:rsidRPr="00095245">
        <w:rPr>
          <w:b/>
          <w:bCs/>
          <w:lang w:val="pt-PT"/>
        </w:rPr>
        <w:tab/>
      </w:r>
      <w:r w:rsidRPr="00095245">
        <w:rPr>
          <w:b/>
          <w:lang w:val="pt-PT"/>
        </w:rPr>
        <w:t>Rapporteur</w:t>
      </w:r>
      <w:r w:rsidR="00C36A30" w:rsidRPr="00095245">
        <w:rPr>
          <w:b/>
          <w:lang w:val="pt-PT"/>
        </w:rPr>
        <w:t> :</w:t>
      </w:r>
      <w:r w:rsidR="00B52D2C" w:rsidRPr="00095245">
        <w:rPr>
          <w:lang w:val="pt-PT"/>
        </w:rPr>
        <w:t xml:space="preserve"> S</w:t>
      </w:r>
      <w:r w:rsidR="008535BE">
        <w:rPr>
          <w:lang w:val="pt-PT"/>
        </w:rPr>
        <w:t>é</w:t>
      </w:r>
      <w:r w:rsidRPr="00095245">
        <w:rPr>
          <w:lang w:val="pt-PT"/>
        </w:rPr>
        <w:t xml:space="preserve">rgio </w:t>
      </w:r>
      <w:r w:rsidR="00B52D2C" w:rsidRPr="00095245">
        <w:rPr>
          <w:lang w:val="pt-PT"/>
        </w:rPr>
        <w:t>Ribeiro</w:t>
      </w:r>
    </w:p>
    <w:p w:rsidR="008873A7" w:rsidRPr="00095245" w:rsidRDefault="008873A7" w:rsidP="008873A7">
      <w:pPr>
        <w:rPr>
          <w:lang w:val="pt-PT"/>
        </w:rPr>
      </w:pPr>
      <w:r w:rsidRPr="00095245">
        <w:rPr>
          <w:b/>
          <w:bCs/>
          <w:lang w:val="pt-PT"/>
        </w:rPr>
        <w:t>2.</w:t>
      </w:r>
      <w:r w:rsidRPr="00095245">
        <w:rPr>
          <w:b/>
          <w:bCs/>
          <w:lang w:val="pt-PT"/>
        </w:rPr>
        <w:tab/>
      </w:r>
      <w:r w:rsidRPr="00095245">
        <w:rPr>
          <w:b/>
          <w:lang w:val="pt-PT"/>
        </w:rPr>
        <w:t>N°</w:t>
      </w:r>
      <w:r w:rsidR="0093444D" w:rsidRPr="00095245">
        <w:rPr>
          <w:b/>
          <w:lang w:val="pt-PT"/>
        </w:rPr>
        <w:t xml:space="preserve"> </w:t>
      </w:r>
      <w:r w:rsidRPr="00095245">
        <w:rPr>
          <w:b/>
          <w:lang w:val="pt-PT"/>
        </w:rPr>
        <w:t>PE</w:t>
      </w:r>
      <w:r w:rsidR="00C36A30" w:rsidRPr="00095245">
        <w:rPr>
          <w:b/>
          <w:lang w:val="pt-PT"/>
        </w:rPr>
        <w:t> :</w:t>
      </w:r>
      <w:r w:rsidRPr="00095245">
        <w:rPr>
          <w:lang w:val="pt-PT"/>
        </w:rPr>
        <w:t xml:space="preserve"> A</w:t>
      </w:r>
      <w:r w:rsidR="00B52D2C" w:rsidRPr="00095245">
        <w:rPr>
          <w:lang w:val="pt-PT"/>
        </w:rPr>
        <w:t>6</w:t>
      </w:r>
      <w:r w:rsidRPr="00095245">
        <w:rPr>
          <w:lang w:val="pt-PT"/>
        </w:rPr>
        <w:t>-0037/2004</w:t>
      </w:r>
    </w:p>
    <w:p w:rsidR="008873A7" w:rsidRPr="00C36A30" w:rsidRDefault="008873A7" w:rsidP="008873A7">
      <w:r w:rsidRPr="00C36A30">
        <w:rPr>
          <w:b/>
          <w:bCs/>
        </w:rPr>
        <w:t>3.</w:t>
      </w:r>
      <w:r w:rsidRPr="00C36A30">
        <w:rPr>
          <w:b/>
          <w:bCs/>
        </w:rPr>
        <w:tab/>
      </w:r>
      <w:r w:rsidRPr="00C36A30">
        <w:rPr>
          <w:b/>
        </w:rPr>
        <w:t>Date d</w:t>
      </w:r>
      <w:r w:rsidR="00C36A30">
        <w:rPr>
          <w:b/>
        </w:rPr>
        <w:t>’</w:t>
      </w:r>
      <w:r w:rsidRPr="00C36A30">
        <w:rPr>
          <w:b/>
        </w:rPr>
        <w:t>adoption</w:t>
      </w:r>
      <w:r w:rsidR="00C36A30" w:rsidRPr="00C36A30">
        <w:rPr>
          <w:b/>
        </w:rPr>
        <w:t> :</w:t>
      </w:r>
      <w:r w:rsidRPr="00C36A30">
        <w:t xml:space="preserve"> 16</w:t>
      </w:r>
      <w:r w:rsidR="0084284B" w:rsidRPr="00C36A30">
        <w:t xml:space="preserve"> décembre </w:t>
      </w:r>
      <w:r w:rsidRPr="00C36A30">
        <w:t>2004</w:t>
      </w:r>
    </w:p>
    <w:p w:rsidR="008873A7" w:rsidRPr="00C36A30" w:rsidRDefault="004E2260" w:rsidP="008873A7">
      <w:r w:rsidRPr="00C36A30">
        <w:rPr>
          <w:b/>
          <w:bCs/>
        </w:rPr>
        <w:t>4.</w:t>
      </w:r>
      <w:r w:rsidRPr="00C36A30">
        <w:rPr>
          <w:b/>
          <w:bCs/>
        </w:rPr>
        <w:tab/>
        <w:t>Objet</w:t>
      </w:r>
      <w:r w:rsidR="00C36A30" w:rsidRPr="00C36A30">
        <w:rPr>
          <w:b/>
          <w:bCs/>
        </w:rPr>
        <w:t> :</w:t>
      </w:r>
      <w:r w:rsidR="0084284B" w:rsidRPr="00C36A30">
        <w:rPr>
          <w:bCs/>
        </w:rPr>
        <w:t xml:space="preserve"> </w:t>
      </w:r>
      <w:r w:rsidRPr="00C36A30">
        <w:rPr>
          <w:bCs/>
        </w:rPr>
        <w:t>protection des récifs coralliens en eau profonde dans l</w:t>
      </w:r>
      <w:r w:rsidR="00C36A30">
        <w:rPr>
          <w:bCs/>
        </w:rPr>
        <w:t>’</w:t>
      </w:r>
      <w:r w:rsidRPr="00C36A30">
        <w:rPr>
          <w:bCs/>
        </w:rPr>
        <w:t xml:space="preserve">océan Atlantique </w:t>
      </w:r>
    </w:p>
    <w:p w:rsidR="008873A7" w:rsidRPr="00C36A30" w:rsidRDefault="008873A7" w:rsidP="008873A7">
      <w:r w:rsidRPr="00C36A30">
        <w:rPr>
          <w:b/>
          <w:bCs/>
        </w:rPr>
        <w:t>5.</w:t>
      </w:r>
      <w:r w:rsidRPr="00C36A30">
        <w:rPr>
          <w:b/>
          <w:bCs/>
        </w:rPr>
        <w:tab/>
      </w:r>
      <w:r w:rsidRPr="00C36A30">
        <w:rPr>
          <w:b/>
        </w:rPr>
        <w:t>Référence interinstitutionnelle</w:t>
      </w:r>
      <w:r w:rsidR="00C36A30" w:rsidRPr="00C36A30">
        <w:rPr>
          <w:b/>
        </w:rPr>
        <w:t> :</w:t>
      </w:r>
      <w:r w:rsidRPr="00C36A30">
        <w:t xml:space="preserve"> 2004/0020(CNS)</w:t>
      </w:r>
    </w:p>
    <w:p w:rsidR="008873A7" w:rsidRPr="00C36A30" w:rsidRDefault="008873A7" w:rsidP="008873A7">
      <w:r w:rsidRPr="00C36A30">
        <w:rPr>
          <w:b/>
          <w:bCs/>
        </w:rPr>
        <w:t>6.</w:t>
      </w:r>
      <w:r w:rsidRPr="00C36A30">
        <w:rPr>
          <w:b/>
          <w:bCs/>
        </w:rPr>
        <w:tab/>
      </w:r>
      <w:r w:rsidRPr="00C36A30">
        <w:rPr>
          <w:b/>
        </w:rPr>
        <w:t>Base juridique</w:t>
      </w:r>
      <w:r w:rsidR="00C36A30" w:rsidRPr="00C36A30">
        <w:rPr>
          <w:b/>
        </w:rPr>
        <w:t> :</w:t>
      </w:r>
      <w:r w:rsidRPr="00C36A30">
        <w:t xml:space="preserve"> article</w:t>
      </w:r>
      <w:r w:rsidR="0084284B" w:rsidRPr="00C36A30">
        <w:t> </w:t>
      </w:r>
      <w:r w:rsidR="00243EC6" w:rsidRPr="00C36A30">
        <w:t>37 du Traité CE</w:t>
      </w:r>
    </w:p>
    <w:p w:rsidR="008873A7" w:rsidRPr="00C36A30" w:rsidRDefault="008873A7" w:rsidP="008873A7">
      <w:r w:rsidRPr="00C36A30">
        <w:rPr>
          <w:b/>
          <w:bCs/>
        </w:rPr>
        <w:t>7.</w:t>
      </w:r>
      <w:r w:rsidRPr="00C36A30">
        <w:rPr>
          <w:b/>
          <w:bCs/>
        </w:rPr>
        <w:tab/>
      </w:r>
      <w:r w:rsidRPr="00C36A30">
        <w:rPr>
          <w:b/>
        </w:rPr>
        <w:t>Commission parlementaire compétente</w:t>
      </w:r>
      <w:r w:rsidR="00C36A30" w:rsidRPr="00C36A30">
        <w:rPr>
          <w:b/>
        </w:rPr>
        <w:t> :</w:t>
      </w:r>
      <w:r w:rsidRPr="00C36A30">
        <w:t xml:space="preserve"> commission de la pêche</w:t>
      </w:r>
    </w:p>
    <w:p w:rsidR="008873A7" w:rsidRPr="00C36A30" w:rsidRDefault="008873A7" w:rsidP="008873A7">
      <w:pPr>
        <w:rPr>
          <w:b/>
          <w:bCs/>
        </w:rPr>
      </w:pPr>
      <w:r w:rsidRPr="00C36A30">
        <w:rPr>
          <w:b/>
          <w:bCs/>
        </w:rPr>
        <w:t>8.</w:t>
      </w:r>
      <w:r w:rsidRPr="00C36A30">
        <w:rPr>
          <w:b/>
          <w:bCs/>
        </w:rPr>
        <w:tab/>
        <w:t>Position de la Commission</w:t>
      </w:r>
      <w:r w:rsidR="00C36A30" w:rsidRPr="00C36A30">
        <w:rPr>
          <w:b/>
          <w:bCs/>
        </w:rPr>
        <w:t> :</w:t>
      </w:r>
    </w:p>
    <w:p w:rsidR="004E2260" w:rsidRPr="00C36A30" w:rsidRDefault="004E2260" w:rsidP="008873A7">
      <w:pPr>
        <w:rPr>
          <w:bCs/>
        </w:rPr>
      </w:pPr>
      <w:r w:rsidRPr="00C36A30">
        <w:rPr>
          <w:b/>
          <w:bCs/>
        </w:rPr>
        <w:t>Amendement 1</w:t>
      </w:r>
      <w:r w:rsidR="00C36A30" w:rsidRPr="00C36A30">
        <w:rPr>
          <w:b/>
          <w:bCs/>
        </w:rPr>
        <w:t> :</w:t>
      </w:r>
      <w:r w:rsidRPr="00C36A30">
        <w:rPr>
          <w:b/>
          <w:bCs/>
        </w:rPr>
        <w:t xml:space="preserve"> </w:t>
      </w:r>
      <w:r w:rsidRPr="00C36A30">
        <w:rPr>
          <w:bCs/>
          <w:u w:val="single"/>
        </w:rPr>
        <w:t>acceptable mais jugé inutile</w:t>
      </w:r>
      <w:r w:rsidRPr="00C94FFB">
        <w:rPr>
          <w:bCs/>
        </w:rPr>
        <w:t>.</w:t>
      </w:r>
      <w:r w:rsidRPr="00C36A30">
        <w:rPr>
          <w:bCs/>
        </w:rPr>
        <w:t xml:space="preserve"> Il n</w:t>
      </w:r>
      <w:r w:rsidR="00C36A30">
        <w:rPr>
          <w:bCs/>
        </w:rPr>
        <w:t>’</w:t>
      </w:r>
      <w:r w:rsidRPr="00C36A30">
        <w:rPr>
          <w:bCs/>
        </w:rPr>
        <w:t>est pas nécessaire de préciser le rôle des Conseils consultatifs régionaux dans un règlement technique.</w:t>
      </w:r>
    </w:p>
    <w:p w:rsidR="008873A7" w:rsidRPr="00C36A30" w:rsidRDefault="004E2260" w:rsidP="008873A7">
      <w:r w:rsidRPr="00C36A30">
        <w:rPr>
          <w:b/>
        </w:rPr>
        <w:t>Amendement 2</w:t>
      </w:r>
      <w:r w:rsidR="00C36A30" w:rsidRPr="00C36A30">
        <w:rPr>
          <w:b/>
        </w:rPr>
        <w:t> :</w:t>
      </w:r>
      <w:r w:rsidRPr="00C36A30">
        <w:t xml:space="preserve"> </w:t>
      </w:r>
      <w:r w:rsidRPr="00C36A30">
        <w:rPr>
          <w:u w:val="single"/>
        </w:rPr>
        <w:t>acceptable</w:t>
      </w:r>
      <w:r w:rsidRPr="00C94FFB">
        <w:t>.</w:t>
      </w:r>
    </w:p>
    <w:p w:rsidR="004E2260" w:rsidRPr="00C36A30" w:rsidRDefault="004E2260" w:rsidP="008873A7">
      <w:r w:rsidRPr="00C36A30">
        <w:rPr>
          <w:b/>
        </w:rPr>
        <w:t>Amendement 3</w:t>
      </w:r>
      <w:r w:rsidR="00C36A30" w:rsidRPr="00C36A30">
        <w:rPr>
          <w:b/>
        </w:rPr>
        <w:t> :</w:t>
      </w:r>
      <w:r w:rsidRPr="00C36A30">
        <w:rPr>
          <w:b/>
        </w:rPr>
        <w:t xml:space="preserve"> </w:t>
      </w:r>
      <w:r w:rsidR="008873A7" w:rsidRPr="00C36A30">
        <w:rPr>
          <w:u w:val="single"/>
        </w:rPr>
        <w:t>acceptable</w:t>
      </w:r>
      <w:r w:rsidR="0093444D" w:rsidRPr="00C94FFB">
        <w:t>.</w:t>
      </w:r>
      <w:r w:rsidRPr="00C94FFB">
        <w:t xml:space="preserve"> </w:t>
      </w:r>
      <w:r w:rsidR="0093444D" w:rsidRPr="00C36A30">
        <w:t>S</w:t>
      </w:r>
      <w:r w:rsidRPr="00C36A30">
        <w:t>elon le Conseil international pour l</w:t>
      </w:r>
      <w:r w:rsidR="00C36A30">
        <w:t>’</w:t>
      </w:r>
      <w:r w:rsidRPr="00C36A30">
        <w:t xml:space="preserve">exploration de la mer (CIEM), les chaluts </w:t>
      </w:r>
      <w:r w:rsidR="0084284B" w:rsidRPr="00C36A30">
        <w:t>de fond représentent la principale</w:t>
      </w:r>
      <w:r w:rsidRPr="00C36A30">
        <w:t xml:space="preserve"> menace pour ces habitats.</w:t>
      </w:r>
    </w:p>
    <w:p w:rsidR="004E2260" w:rsidRPr="00C36A30" w:rsidRDefault="004E2260" w:rsidP="008873A7">
      <w:r w:rsidRPr="00C36A30">
        <w:rPr>
          <w:b/>
        </w:rPr>
        <w:t>A</w:t>
      </w:r>
      <w:r w:rsidR="008873A7" w:rsidRPr="00C36A30">
        <w:rPr>
          <w:b/>
        </w:rPr>
        <w:t>mendement 4</w:t>
      </w:r>
      <w:r w:rsidR="00C36A30" w:rsidRPr="00C36A30">
        <w:rPr>
          <w:b/>
        </w:rPr>
        <w:t> :</w:t>
      </w:r>
      <w:r w:rsidRPr="00C36A30">
        <w:t xml:space="preserve"> </w:t>
      </w:r>
      <w:r w:rsidRPr="00C36A30">
        <w:rPr>
          <w:u w:val="single"/>
        </w:rPr>
        <w:t>non acceptable</w:t>
      </w:r>
      <w:r w:rsidRPr="00C36A30">
        <w:t xml:space="preserve">. </w:t>
      </w:r>
      <w:r w:rsidR="0093444D" w:rsidRPr="00C36A30">
        <w:t>Il n</w:t>
      </w:r>
      <w:r w:rsidR="00C36A30">
        <w:t>’</w:t>
      </w:r>
      <w:r w:rsidR="0093444D" w:rsidRPr="00C36A30">
        <w:t>y a lieu de consulter les c</w:t>
      </w:r>
      <w:r w:rsidRPr="00C36A30">
        <w:t xml:space="preserve">onseils consultatifs régionaux </w:t>
      </w:r>
      <w:r w:rsidR="0093444D" w:rsidRPr="00C36A30">
        <w:t>que sur l</w:t>
      </w:r>
      <w:r w:rsidR="00C36A30">
        <w:t>’</w:t>
      </w:r>
      <w:r w:rsidR="0093444D" w:rsidRPr="00C36A30">
        <w:t>élaboration des propositions législatives, non sur leur exécution</w:t>
      </w:r>
      <w:r w:rsidRPr="00C36A30">
        <w:t>.</w:t>
      </w:r>
    </w:p>
    <w:p w:rsidR="0093444D" w:rsidRPr="00C36A30" w:rsidRDefault="004E2260" w:rsidP="008873A7">
      <w:r w:rsidRPr="00C36A30">
        <w:rPr>
          <w:b/>
        </w:rPr>
        <w:t>Amendement 5</w:t>
      </w:r>
      <w:r w:rsidR="00C36A30" w:rsidRPr="00C36A30">
        <w:rPr>
          <w:b/>
        </w:rPr>
        <w:t> :</w:t>
      </w:r>
      <w:r w:rsidRPr="00C36A30">
        <w:t xml:space="preserve"> </w:t>
      </w:r>
      <w:r w:rsidRPr="00C36A30">
        <w:rPr>
          <w:u w:val="single"/>
        </w:rPr>
        <w:t>non acceptable</w:t>
      </w:r>
      <w:r w:rsidRPr="00C36A30">
        <w:t>. Il n</w:t>
      </w:r>
      <w:r w:rsidR="00C36A30">
        <w:t>’</w:t>
      </w:r>
      <w:r w:rsidRPr="00C36A30">
        <w:t xml:space="preserve">est pas nécessaire </w:t>
      </w:r>
      <w:r w:rsidR="00C94FFB">
        <w:t>de préjuger de l’opportunité</w:t>
      </w:r>
      <w:r w:rsidR="0093444D" w:rsidRPr="00C36A30">
        <w:t xml:space="preserve"> d</w:t>
      </w:r>
      <w:r w:rsidR="00C36A30">
        <w:t>’</w:t>
      </w:r>
      <w:r w:rsidR="0093444D" w:rsidRPr="00C36A30">
        <w:t>une révision. N</w:t>
      </w:r>
      <w:r w:rsidR="00C36A30">
        <w:t>’</w:t>
      </w:r>
      <w:r w:rsidR="0093444D" w:rsidRPr="00C36A30">
        <w:t>importe comment, une telle révision se fera dès que des éléments scientifiques en démontreront l</w:t>
      </w:r>
      <w:r w:rsidR="00C36A30">
        <w:t>’</w:t>
      </w:r>
      <w:r w:rsidR="0093444D" w:rsidRPr="00C36A30">
        <w:t>utilité.</w:t>
      </w:r>
    </w:p>
    <w:p w:rsidR="008873A7" w:rsidRPr="00C36A30" w:rsidRDefault="004E2260" w:rsidP="008873A7">
      <w:r w:rsidRPr="00C36A30">
        <w:rPr>
          <w:b/>
        </w:rPr>
        <w:t>Amendement 7</w:t>
      </w:r>
      <w:r w:rsidR="00C36A30" w:rsidRPr="00C36A30">
        <w:rPr>
          <w:b/>
        </w:rPr>
        <w:t> :</w:t>
      </w:r>
      <w:r w:rsidRPr="00C36A30">
        <w:rPr>
          <w:b/>
        </w:rPr>
        <w:t xml:space="preserve"> </w:t>
      </w:r>
      <w:r w:rsidRPr="00C36A30">
        <w:rPr>
          <w:u w:val="single"/>
        </w:rPr>
        <w:t>non acceptable</w:t>
      </w:r>
      <w:r w:rsidRPr="00C36A30">
        <w:t>. Les dégâts provoqués pas les engins dormants (filets maillants et palangres) sont minimes par comparaison à ceux que provoque l</w:t>
      </w:r>
      <w:r w:rsidR="00C36A30">
        <w:t>’</w:t>
      </w:r>
      <w:r w:rsidRPr="00C36A30">
        <w:t xml:space="preserve">érosion due aux chaluts de fond. Par ailleurs, les zones de pêche menacées – au-delà </w:t>
      </w:r>
      <w:r w:rsidR="00FD33DC" w:rsidRPr="00C36A30">
        <w:t>de celles qui sont prises en compte dans la proposition de la Commission – sont très peu nombreuses, voire inexistantes à l</w:t>
      </w:r>
      <w:r w:rsidR="00C36A30">
        <w:t>’</w:t>
      </w:r>
      <w:r w:rsidR="00FD33DC" w:rsidRPr="00C36A30">
        <w:t>intérieur de l</w:t>
      </w:r>
      <w:r w:rsidR="00C36A30">
        <w:t>’</w:t>
      </w:r>
      <w:r w:rsidR="00FD33DC" w:rsidRPr="00C36A30">
        <w:t>ensemble des zones d</w:t>
      </w:r>
      <w:r w:rsidR="00C36A30">
        <w:t>’</w:t>
      </w:r>
      <w:r w:rsidR="00FD33DC" w:rsidRPr="00C36A30">
        <w:t>exclusivité économiques des îles</w:t>
      </w:r>
      <w:r w:rsidR="0093444D" w:rsidRPr="00C36A30">
        <w:t xml:space="preserve"> concernées</w:t>
      </w:r>
      <w:r w:rsidR="00FD33DC" w:rsidRPr="00C36A30">
        <w:t>.</w:t>
      </w:r>
    </w:p>
    <w:p w:rsidR="00FD33DC" w:rsidRPr="00C36A30" w:rsidRDefault="00FD33DC" w:rsidP="008873A7">
      <w:r w:rsidRPr="00C36A30">
        <w:rPr>
          <w:b/>
        </w:rPr>
        <w:lastRenderedPageBreak/>
        <w:t>Amendement 8</w:t>
      </w:r>
      <w:r w:rsidR="00C36A30" w:rsidRPr="00C36A30">
        <w:rPr>
          <w:b/>
        </w:rPr>
        <w:t> :</w:t>
      </w:r>
      <w:r w:rsidRPr="00C36A30">
        <w:t xml:space="preserve"> </w:t>
      </w:r>
      <w:r w:rsidRPr="00C36A30">
        <w:rPr>
          <w:u w:val="single"/>
        </w:rPr>
        <w:t>non acceptable</w:t>
      </w:r>
      <w:r w:rsidRPr="00C36A30">
        <w:t xml:space="preserve">. Le CIEM procède actuellement à une mise à jour des évaluations scientifiques </w:t>
      </w:r>
      <w:r w:rsidR="0093444D" w:rsidRPr="00C36A30">
        <w:t xml:space="preserve">relatives aux </w:t>
      </w:r>
      <w:r w:rsidRPr="00C36A30">
        <w:t>habitats en eau profonde. Il n</w:t>
      </w:r>
      <w:r w:rsidR="00C36A30">
        <w:t>’</w:t>
      </w:r>
      <w:r w:rsidRPr="00C36A30">
        <w:t xml:space="preserve">est pas nécessaire de </w:t>
      </w:r>
      <w:r w:rsidR="0093444D" w:rsidRPr="00C36A30">
        <w:t xml:space="preserve">charger la Commission de </w:t>
      </w:r>
      <w:r w:rsidRPr="00C36A30">
        <w:t>cette tâche</w:t>
      </w:r>
      <w:r w:rsidR="0093444D" w:rsidRPr="00C36A30">
        <w:t xml:space="preserve"> supplémentaire.</w:t>
      </w:r>
    </w:p>
    <w:p w:rsidR="00FD33DC" w:rsidRPr="00C36A30" w:rsidRDefault="008873A7" w:rsidP="008873A7">
      <w:pPr>
        <w:rPr>
          <w:bCs/>
        </w:rPr>
      </w:pPr>
      <w:r w:rsidRPr="00C36A30">
        <w:rPr>
          <w:b/>
          <w:bCs/>
        </w:rPr>
        <w:t>9.</w:t>
      </w:r>
      <w:r w:rsidRPr="00C36A30">
        <w:rPr>
          <w:b/>
          <w:bCs/>
          <w:color w:val="008000"/>
        </w:rPr>
        <w:tab/>
      </w:r>
      <w:r w:rsidR="00FD33DC" w:rsidRPr="00C36A30">
        <w:rPr>
          <w:b/>
          <w:bCs/>
        </w:rPr>
        <w:t xml:space="preserve">Prévisions quant à </w:t>
      </w:r>
      <w:r w:rsidR="0093444D" w:rsidRPr="00C36A30">
        <w:rPr>
          <w:b/>
          <w:bCs/>
        </w:rPr>
        <w:t xml:space="preserve">la modification </w:t>
      </w:r>
      <w:r w:rsidR="00FD33DC" w:rsidRPr="00C36A30">
        <w:rPr>
          <w:b/>
          <w:bCs/>
        </w:rPr>
        <w:t>de la proposition</w:t>
      </w:r>
      <w:r w:rsidR="00C36A30" w:rsidRPr="00C36A30">
        <w:rPr>
          <w:b/>
          <w:bCs/>
        </w:rPr>
        <w:t> :</w:t>
      </w:r>
      <w:r w:rsidR="00FD33DC" w:rsidRPr="00C36A30">
        <w:rPr>
          <w:b/>
          <w:bCs/>
        </w:rPr>
        <w:t xml:space="preserve"> </w:t>
      </w:r>
      <w:r w:rsidR="0093444D" w:rsidRPr="00C36A30">
        <w:rPr>
          <w:bCs/>
        </w:rPr>
        <w:t xml:space="preserve">la proposition </w:t>
      </w:r>
      <w:r w:rsidR="00FD33DC" w:rsidRPr="00C36A30">
        <w:rPr>
          <w:bCs/>
        </w:rPr>
        <w:t>sera vraisemblablement approuvé</w:t>
      </w:r>
      <w:r w:rsidR="00C94FFB">
        <w:rPr>
          <w:bCs/>
        </w:rPr>
        <w:t>e</w:t>
      </w:r>
      <w:r w:rsidR="00FD33DC" w:rsidRPr="00C36A30">
        <w:rPr>
          <w:bCs/>
        </w:rPr>
        <w:t xml:space="preserve"> par le Conseil.</w:t>
      </w:r>
    </w:p>
    <w:p w:rsidR="00FD33DC" w:rsidRPr="00C36A30" w:rsidRDefault="008873A7" w:rsidP="008873A7">
      <w:pPr>
        <w:rPr>
          <w:bCs/>
        </w:rPr>
      </w:pPr>
      <w:r w:rsidRPr="00C36A30">
        <w:rPr>
          <w:b/>
          <w:bCs/>
        </w:rPr>
        <w:t>10.</w:t>
      </w:r>
      <w:r w:rsidRPr="00C36A30">
        <w:rPr>
          <w:b/>
          <w:bCs/>
          <w:color w:val="008000"/>
        </w:rPr>
        <w:tab/>
      </w:r>
      <w:r w:rsidR="00FD33DC" w:rsidRPr="00C36A30">
        <w:rPr>
          <w:b/>
          <w:bCs/>
        </w:rPr>
        <w:t>Prévisions quant à l</w:t>
      </w:r>
      <w:r w:rsidR="00C36A30">
        <w:rPr>
          <w:b/>
          <w:bCs/>
        </w:rPr>
        <w:t>’</w:t>
      </w:r>
      <w:r w:rsidR="00FD33DC" w:rsidRPr="00C36A30">
        <w:rPr>
          <w:b/>
          <w:bCs/>
        </w:rPr>
        <w:t>adoption de la proposition</w:t>
      </w:r>
      <w:r w:rsidR="00C36A30" w:rsidRPr="00C36A30">
        <w:rPr>
          <w:b/>
          <w:bCs/>
        </w:rPr>
        <w:t> :</w:t>
      </w:r>
      <w:r w:rsidR="00FD33DC" w:rsidRPr="00C36A30">
        <w:rPr>
          <w:bCs/>
        </w:rPr>
        <w:t xml:space="preserve"> </w:t>
      </w:r>
      <w:r w:rsidR="0093444D" w:rsidRPr="00C36A30">
        <w:rPr>
          <w:bCs/>
        </w:rPr>
        <w:t>l</w:t>
      </w:r>
      <w:r w:rsidR="00C36A30">
        <w:rPr>
          <w:bCs/>
        </w:rPr>
        <w:t>’</w:t>
      </w:r>
      <w:r w:rsidR="00FD33DC" w:rsidRPr="00C36A30">
        <w:rPr>
          <w:bCs/>
        </w:rPr>
        <w:t xml:space="preserve">adoption </w:t>
      </w:r>
      <w:r w:rsidR="0093444D" w:rsidRPr="00C36A30">
        <w:rPr>
          <w:bCs/>
        </w:rPr>
        <w:t xml:space="preserve">de la proposition est </w:t>
      </w:r>
      <w:r w:rsidR="00FD33DC" w:rsidRPr="00C36A30">
        <w:rPr>
          <w:bCs/>
        </w:rPr>
        <w:t>envisagée sous la présidence luxembourgeoise.</w:t>
      </w:r>
    </w:p>
    <w:p w:rsidR="008873A7" w:rsidRPr="00C36A30" w:rsidRDefault="008873A7" w:rsidP="008873A7">
      <w:r w:rsidRPr="00C36A30">
        <w:br w:type="page"/>
      </w:r>
    </w:p>
    <w:p w:rsidR="008873A7" w:rsidRPr="00C36A30" w:rsidRDefault="008873A7" w:rsidP="008873A7">
      <w:pPr>
        <w:jc w:val="center"/>
      </w:pPr>
      <w:r w:rsidRPr="00C36A30">
        <w:rPr>
          <w:b/>
          <w:bCs/>
        </w:rPr>
        <w:t>PROC</w:t>
      </w:r>
      <w:r w:rsidR="00F62C94">
        <w:rPr>
          <w:b/>
          <w:bCs/>
        </w:rPr>
        <w:t>E</w:t>
      </w:r>
      <w:r w:rsidRPr="00C36A30">
        <w:rPr>
          <w:b/>
          <w:bCs/>
        </w:rPr>
        <w:t>DURE DE CONSULTATION N</w:t>
      </w:r>
      <w:r w:rsidR="00F62C94">
        <w:rPr>
          <w:b/>
          <w:bCs/>
        </w:rPr>
        <w:t>E</w:t>
      </w:r>
      <w:r w:rsidRPr="00C36A30">
        <w:rPr>
          <w:b/>
          <w:bCs/>
        </w:rPr>
        <w:t>CESSITANT UNE SEULE LECTURE</w:t>
      </w:r>
    </w:p>
    <w:p w:rsidR="008873A7" w:rsidRPr="00C36A30" w:rsidRDefault="0093444D" w:rsidP="008873A7">
      <w:pPr>
        <w:jc w:val="center"/>
        <w:rPr>
          <w:b/>
          <w:bCs/>
        </w:rPr>
      </w:pPr>
      <w:r w:rsidRPr="00C36A30">
        <w:rPr>
          <w:b/>
          <w:bCs/>
        </w:rPr>
        <w:t xml:space="preserve">Proposition de règlement du Conseil </w:t>
      </w:r>
      <w:r w:rsidR="008873A7" w:rsidRPr="00C36A30">
        <w:rPr>
          <w:b/>
          <w:bCs/>
        </w:rPr>
        <w:t>relatif à la conclusion de l</w:t>
      </w:r>
      <w:r w:rsidR="00C36A30">
        <w:rPr>
          <w:b/>
          <w:bCs/>
        </w:rPr>
        <w:t>’</w:t>
      </w:r>
      <w:r w:rsidR="008873A7" w:rsidRPr="00C36A30">
        <w:rPr>
          <w:b/>
          <w:bCs/>
        </w:rPr>
        <w:t>accord sous forme d</w:t>
      </w:r>
      <w:r w:rsidR="00C36A30">
        <w:rPr>
          <w:b/>
          <w:bCs/>
        </w:rPr>
        <w:t>’</w:t>
      </w:r>
      <w:r w:rsidR="008873A7" w:rsidRPr="00C36A30">
        <w:rPr>
          <w:b/>
          <w:bCs/>
        </w:rPr>
        <w:t>échange de lettres relatif à la prorogation, pour la période allant du 28</w:t>
      </w:r>
      <w:r w:rsidR="0084284B" w:rsidRPr="00C36A30">
        <w:rPr>
          <w:b/>
          <w:bCs/>
        </w:rPr>
        <w:t xml:space="preserve"> février </w:t>
      </w:r>
      <w:r w:rsidR="008873A7" w:rsidRPr="00C36A30">
        <w:rPr>
          <w:b/>
          <w:bCs/>
        </w:rPr>
        <w:t>2004 au 31</w:t>
      </w:r>
      <w:r w:rsidR="0084284B" w:rsidRPr="00C36A30">
        <w:rPr>
          <w:b/>
          <w:bCs/>
        </w:rPr>
        <w:t xml:space="preserve"> décembre </w:t>
      </w:r>
      <w:r w:rsidR="008873A7" w:rsidRPr="00C36A30">
        <w:rPr>
          <w:b/>
          <w:bCs/>
        </w:rPr>
        <w:t>2004, du protocole fixant les possibilités de pêche et la contrepartie financière prévues dans l</w:t>
      </w:r>
      <w:r w:rsidR="00C36A30">
        <w:rPr>
          <w:b/>
          <w:bCs/>
        </w:rPr>
        <w:t>’</w:t>
      </w:r>
      <w:r w:rsidR="008873A7" w:rsidRPr="00C36A30">
        <w:rPr>
          <w:b/>
          <w:bCs/>
        </w:rPr>
        <w:t>accord entre la Communauté économique européenne et la République fédérale islamique des Comores concernant la pêche au large des Comores</w:t>
      </w:r>
    </w:p>
    <w:p w:rsidR="008873A7" w:rsidRPr="00C36A30" w:rsidRDefault="008873A7" w:rsidP="008873A7">
      <w:pPr>
        <w:jc w:val="left"/>
      </w:pPr>
    </w:p>
    <w:p w:rsidR="008873A7" w:rsidRPr="00C36A30" w:rsidRDefault="008873A7" w:rsidP="008873A7">
      <w:pPr>
        <w:jc w:val="left"/>
      </w:pPr>
    </w:p>
    <w:p w:rsidR="008873A7" w:rsidRPr="00C36A30" w:rsidRDefault="008873A7" w:rsidP="008873A7">
      <w:r w:rsidRPr="00C36A30">
        <w:rPr>
          <w:b/>
          <w:bCs/>
        </w:rPr>
        <w:t>1.</w:t>
      </w:r>
      <w:r w:rsidRPr="00C36A30">
        <w:rPr>
          <w:b/>
          <w:bCs/>
        </w:rPr>
        <w:tab/>
      </w:r>
      <w:r w:rsidRPr="00C36A30">
        <w:rPr>
          <w:b/>
        </w:rPr>
        <w:t>Rapporteur</w:t>
      </w:r>
      <w:r w:rsidR="00C36A30" w:rsidRPr="00C36A30">
        <w:rPr>
          <w:b/>
        </w:rPr>
        <w:t> :</w:t>
      </w:r>
      <w:r w:rsidRPr="00C36A30">
        <w:t xml:space="preserve"> Philippe Morillon</w:t>
      </w:r>
    </w:p>
    <w:p w:rsidR="008873A7" w:rsidRPr="00C36A30" w:rsidRDefault="008873A7" w:rsidP="008873A7">
      <w:r w:rsidRPr="008535BE">
        <w:rPr>
          <w:b/>
          <w:bCs/>
        </w:rPr>
        <w:t>2.</w:t>
      </w:r>
      <w:r w:rsidRPr="00C36A30">
        <w:rPr>
          <w:bCs/>
        </w:rPr>
        <w:tab/>
      </w:r>
      <w:r w:rsidRPr="00C36A30">
        <w:rPr>
          <w:b/>
        </w:rPr>
        <w:t>N° PE</w:t>
      </w:r>
      <w:r w:rsidR="00C36A30" w:rsidRPr="00C36A30">
        <w:rPr>
          <w:b/>
        </w:rPr>
        <w:t> :</w:t>
      </w:r>
      <w:r w:rsidRPr="00C36A30">
        <w:t xml:space="preserve"> A6-0040/2004</w:t>
      </w:r>
    </w:p>
    <w:p w:rsidR="008873A7" w:rsidRPr="00C36A30" w:rsidRDefault="008873A7" w:rsidP="008873A7">
      <w:r w:rsidRPr="00C36A30">
        <w:rPr>
          <w:b/>
          <w:bCs/>
        </w:rPr>
        <w:t>3.</w:t>
      </w:r>
      <w:r w:rsidRPr="00C36A30">
        <w:rPr>
          <w:b/>
          <w:bCs/>
        </w:rPr>
        <w:tab/>
      </w:r>
      <w:r w:rsidRPr="00C36A30">
        <w:rPr>
          <w:b/>
        </w:rPr>
        <w:t>Date d</w:t>
      </w:r>
      <w:r w:rsidR="00C36A30">
        <w:rPr>
          <w:b/>
        </w:rPr>
        <w:t>’</w:t>
      </w:r>
      <w:r w:rsidRPr="00C36A30">
        <w:rPr>
          <w:b/>
        </w:rPr>
        <w:t>adoption</w:t>
      </w:r>
      <w:r w:rsidR="00C36A30" w:rsidRPr="00C36A30">
        <w:rPr>
          <w:b/>
        </w:rPr>
        <w:t> :</w:t>
      </w:r>
      <w:r w:rsidRPr="00C36A30">
        <w:t xml:space="preserve"> 16</w:t>
      </w:r>
      <w:r w:rsidR="0084284B" w:rsidRPr="00C36A30">
        <w:t xml:space="preserve"> décembre </w:t>
      </w:r>
      <w:r w:rsidRPr="00C36A30">
        <w:t>2004</w:t>
      </w:r>
    </w:p>
    <w:p w:rsidR="008873A7" w:rsidRPr="00C36A30" w:rsidRDefault="008873A7" w:rsidP="008873A7">
      <w:pPr>
        <w:ind w:left="720" w:hanging="720"/>
        <w:rPr>
          <w:b/>
          <w:bCs/>
        </w:rPr>
      </w:pPr>
      <w:r w:rsidRPr="00C36A30">
        <w:rPr>
          <w:b/>
          <w:bCs/>
        </w:rPr>
        <w:t>4.</w:t>
      </w:r>
      <w:r w:rsidRPr="00C36A30">
        <w:rPr>
          <w:b/>
          <w:bCs/>
        </w:rPr>
        <w:tab/>
        <w:t>Objet</w:t>
      </w:r>
      <w:r w:rsidR="00C36A30" w:rsidRPr="00C36A30">
        <w:rPr>
          <w:b/>
          <w:bCs/>
        </w:rPr>
        <w:t> :</w:t>
      </w:r>
    </w:p>
    <w:p w:rsidR="008873A7" w:rsidRPr="00C36A30" w:rsidRDefault="0093444D" w:rsidP="008873A7">
      <w:r w:rsidRPr="00C36A30">
        <w:t xml:space="preserve">Proposition de règlement du Conseil </w:t>
      </w:r>
      <w:r w:rsidR="008873A7" w:rsidRPr="00C36A30">
        <w:t>relatif à la conclusion de l</w:t>
      </w:r>
      <w:r w:rsidR="00C36A30">
        <w:t>’</w:t>
      </w:r>
      <w:r w:rsidR="008873A7" w:rsidRPr="00C36A30">
        <w:t>accord sous forme d</w:t>
      </w:r>
      <w:r w:rsidR="00C36A30">
        <w:t>’</w:t>
      </w:r>
      <w:r w:rsidR="008873A7" w:rsidRPr="00C36A30">
        <w:t>échange de lettres relatif à la prorogation, pour la période allant du 28</w:t>
      </w:r>
      <w:r w:rsidR="0084284B" w:rsidRPr="00C36A30">
        <w:t xml:space="preserve"> février </w:t>
      </w:r>
      <w:r w:rsidR="008873A7" w:rsidRPr="00C36A30">
        <w:t>2004 au 31</w:t>
      </w:r>
      <w:r w:rsidR="0084284B" w:rsidRPr="00C36A30">
        <w:t xml:space="preserve"> décembre </w:t>
      </w:r>
      <w:r w:rsidR="008873A7" w:rsidRPr="00C36A30">
        <w:t>2004, du protocole fixant les possibilités de pêche et la contrepartie financière prévues dans l</w:t>
      </w:r>
      <w:r w:rsidR="00C36A30">
        <w:t>’</w:t>
      </w:r>
      <w:r w:rsidR="008873A7" w:rsidRPr="00C36A30">
        <w:t>accord entre la Communauté économique européenne et la République fédérale islamique des Comores concernant la pêche au large des Comores</w:t>
      </w:r>
    </w:p>
    <w:p w:rsidR="008873A7" w:rsidRPr="00C36A30" w:rsidRDefault="008873A7" w:rsidP="008873A7">
      <w:r w:rsidRPr="00C36A30">
        <w:rPr>
          <w:b/>
          <w:bCs/>
        </w:rPr>
        <w:t>5.</w:t>
      </w:r>
      <w:r w:rsidRPr="00C36A30">
        <w:rPr>
          <w:b/>
          <w:bCs/>
        </w:rPr>
        <w:tab/>
      </w:r>
      <w:r w:rsidRPr="00C36A30">
        <w:rPr>
          <w:b/>
        </w:rPr>
        <w:t>Référence interinstitutionnelle</w:t>
      </w:r>
      <w:r w:rsidR="00C36A30" w:rsidRPr="00C36A30">
        <w:rPr>
          <w:b/>
        </w:rPr>
        <w:t> :</w:t>
      </w:r>
      <w:r w:rsidRPr="00C36A30">
        <w:t xml:space="preserve"> 2004/0185(CNS)</w:t>
      </w:r>
    </w:p>
    <w:p w:rsidR="00FD33DC" w:rsidRPr="00C36A30" w:rsidRDefault="00FD33DC" w:rsidP="008535BE">
      <w:r w:rsidRPr="00C36A30">
        <w:rPr>
          <w:b/>
          <w:bCs/>
        </w:rPr>
        <w:t>6.</w:t>
      </w:r>
      <w:r w:rsidRPr="00C36A30">
        <w:rPr>
          <w:b/>
          <w:bCs/>
        </w:rPr>
        <w:tab/>
        <w:t>Base juridique</w:t>
      </w:r>
      <w:r w:rsidR="00C36A30" w:rsidRPr="00C36A30">
        <w:rPr>
          <w:b/>
          <w:bCs/>
        </w:rPr>
        <w:t> :</w:t>
      </w:r>
      <w:r w:rsidR="0093444D" w:rsidRPr="00C36A30">
        <w:rPr>
          <w:b/>
          <w:bCs/>
        </w:rPr>
        <w:t xml:space="preserve"> </w:t>
      </w:r>
      <w:r w:rsidR="0093444D" w:rsidRPr="00C36A30">
        <w:rPr>
          <w:bCs/>
        </w:rPr>
        <w:t>a</w:t>
      </w:r>
      <w:r w:rsidRPr="00C36A30">
        <w:t>rticle</w:t>
      </w:r>
      <w:r w:rsidR="0093444D" w:rsidRPr="00C36A30">
        <w:t>s</w:t>
      </w:r>
      <w:r w:rsidR="0084284B" w:rsidRPr="00C36A30">
        <w:t> </w:t>
      </w:r>
      <w:r w:rsidR="0093444D" w:rsidRPr="00C36A30">
        <w:t xml:space="preserve">37, </w:t>
      </w:r>
      <w:r w:rsidRPr="00C36A30">
        <w:t>300 (2)</w:t>
      </w:r>
      <w:r w:rsidR="0093444D" w:rsidRPr="00C36A30">
        <w:t>, premier alinéa</w:t>
      </w:r>
      <w:r w:rsidR="00E978F7" w:rsidRPr="00C36A30">
        <w:t>,</w:t>
      </w:r>
      <w:r w:rsidR="0093444D" w:rsidRPr="00C36A30">
        <w:t xml:space="preserve"> et </w:t>
      </w:r>
      <w:r w:rsidRPr="00C36A30">
        <w:t>300 (3)</w:t>
      </w:r>
      <w:r w:rsidR="0093444D" w:rsidRPr="00C36A30">
        <w:t>,</w:t>
      </w:r>
      <w:r w:rsidRPr="00C36A30">
        <w:t xml:space="preserve"> premier alinéa, du </w:t>
      </w:r>
      <w:r w:rsidR="00243EC6" w:rsidRPr="00C36A30">
        <w:t>Traité CE</w:t>
      </w:r>
      <w:r w:rsidRPr="00C36A30">
        <w:t>.</w:t>
      </w:r>
    </w:p>
    <w:p w:rsidR="008873A7" w:rsidRPr="00C36A30" w:rsidRDefault="008873A7" w:rsidP="008873A7">
      <w:r w:rsidRPr="00C36A30">
        <w:rPr>
          <w:b/>
          <w:bCs/>
        </w:rPr>
        <w:t>7.</w:t>
      </w:r>
      <w:r w:rsidRPr="00C36A30">
        <w:rPr>
          <w:b/>
          <w:bCs/>
        </w:rPr>
        <w:tab/>
      </w:r>
      <w:r w:rsidRPr="00C36A30">
        <w:rPr>
          <w:b/>
        </w:rPr>
        <w:t>Commission parlementaire compétente</w:t>
      </w:r>
      <w:r w:rsidR="00C36A30" w:rsidRPr="00C36A30">
        <w:rPr>
          <w:b/>
        </w:rPr>
        <w:t> :</w:t>
      </w:r>
      <w:r w:rsidRPr="00C36A30">
        <w:t xml:space="preserve"> commission de la pêche</w:t>
      </w:r>
    </w:p>
    <w:p w:rsidR="008873A7" w:rsidRPr="00C36A30" w:rsidRDefault="008873A7" w:rsidP="008873A7">
      <w:pPr>
        <w:ind w:left="720" w:hanging="720"/>
        <w:rPr>
          <w:b/>
          <w:bCs/>
        </w:rPr>
      </w:pPr>
      <w:r w:rsidRPr="00C36A30">
        <w:rPr>
          <w:b/>
          <w:bCs/>
        </w:rPr>
        <w:t>8.</w:t>
      </w:r>
      <w:r w:rsidRPr="00C36A30">
        <w:rPr>
          <w:b/>
          <w:bCs/>
        </w:rPr>
        <w:tab/>
        <w:t>Position de la Commission</w:t>
      </w:r>
      <w:r w:rsidR="00C36A30" w:rsidRPr="00C36A30">
        <w:rPr>
          <w:b/>
          <w:bCs/>
        </w:rPr>
        <w:t> :</w:t>
      </w:r>
    </w:p>
    <w:p w:rsidR="008873A7" w:rsidRPr="00C36A30" w:rsidRDefault="008873A7" w:rsidP="008873A7">
      <w:pPr>
        <w:rPr>
          <w:b/>
          <w:bCs/>
        </w:rPr>
      </w:pPr>
      <w:r w:rsidRPr="00C36A30">
        <w:t xml:space="preserve">La Commission </w:t>
      </w:r>
      <w:r w:rsidRPr="00C36A30">
        <w:rPr>
          <w:u w:val="single"/>
        </w:rPr>
        <w:t>rejette tous les amendements</w:t>
      </w:r>
      <w:r w:rsidRPr="00C36A30">
        <w:t>.</w:t>
      </w:r>
    </w:p>
    <w:p w:rsidR="00FD33DC" w:rsidRPr="00C36A30" w:rsidRDefault="00FD33DC" w:rsidP="008873A7">
      <w:pPr>
        <w:rPr>
          <w:bCs/>
        </w:rPr>
      </w:pPr>
      <w:r w:rsidRPr="00C36A30">
        <w:rPr>
          <w:b/>
          <w:bCs/>
        </w:rPr>
        <w:t>Amendement 1</w:t>
      </w:r>
      <w:r w:rsidR="00C36A30" w:rsidRPr="00C36A30">
        <w:rPr>
          <w:b/>
          <w:bCs/>
        </w:rPr>
        <w:t> :</w:t>
      </w:r>
      <w:r w:rsidRPr="00C36A30">
        <w:rPr>
          <w:bCs/>
        </w:rPr>
        <w:t xml:space="preserve"> la Commission est soucieuse de tenir le Parlement européen informé des divers aspects de l</w:t>
      </w:r>
      <w:r w:rsidR="00C36A30">
        <w:rPr>
          <w:bCs/>
        </w:rPr>
        <w:t>’</w:t>
      </w:r>
      <w:r w:rsidRPr="00C36A30">
        <w:rPr>
          <w:bCs/>
        </w:rPr>
        <w:t>application des accords de pêche. En fait, elle lui communique déjà, avant le renouvellement de chaque protocole, les éléments essentiels d</w:t>
      </w:r>
      <w:r w:rsidR="00C36A30">
        <w:rPr>
          <w:bCs/>
        </w:rPr>
        <w:t>’</w:t>
      </w:r>
      <w:r w:rsidRPr="00C36A30">
        <w:rPr>
          <w:bCs/>
        </w:rPr>
        <w:t>un rapport d</w:t>
      </w:r>
      <w:r w:rsidR="00C36A30">
        <w:rPr>
          <w:bCs/>
        </w:rPr>
        <w:t>’</w:t>
      </w:r>
      <w:r w:rsidRPr="00C36A30">
        <w:rPr>
          <w:bCs/>
        </w:rPr>
        <w:t xml:space="preserve">évaluation portant sur les principaux </w:t>
      </w:r>
      <w:r w:rsidR="0093444D" w:rsidRPr="00C36A30">
        <w:rPr>
          <w:bCs/>
        </w:rPr>
        <w:t xml:space="preserve">points </w:t>
      </w:r>
      <w:r w:rsidRPr="00C36A30">
        <w:rPr>
          <w:bCs/>
        </w:rPr>
        <w:t>et</w:t>
      </w:r>
      <w:r w:rsidR="0093444D" w:rsidRPr="00C36A30">
        <w:rPr>
          <w:bCs/>
        </w:rPr>
        <w:t xml:space="preserve"> </w:t>
      </w:r>
      <w:r w:rsidRPr="00C36A30">
        <w:rPr>
          <w:bCs/>
        </w:rPr>
        <w:t xml:space="preserve">le bilan </w:t>
      </w:r>
      <w:r w:rsidR="0093444D" w:rsidRPr="00C36A30">
        <w:rPr>
          <w:bCs/>
        </w:rPr>
        <w:t>de ce dernier.</w:t>
      </w:r>
    </w:p>
    <w:p w:rsidR="00FD33DC" w:rsidRPr="00C36A30" w:rsidRDefault="0093444D" w:rsidP="008873A7">
      <w:pPr>
        <w:rPr>
          <w:bCs/>
        </w:rPr>
      </w:pPr>
      <w:r w:rsidRPr="00C36A30">
        <w:rPr>
          <w:bCs/>
        </w:rPr>
        <w:t xml:space="preserve">Elle lui </w:t>
      </w:r>
      <w:r w:rsidR="00FD33DC" w:rsidRPr="00C36A30">
        <w:rPr>
          <w:bCs/>
        </w:rPr>
        <w:t>transmet ces informations en application des accords interinstitutionnels en vigueur.</w:t>
      </w:r>
    </w:p>
    <w:p w:rsidR="00FD33DC" w:rsidRPr="00C36A30" w:rsidRDefault="00FD33DC" w:rsidP="008873A7">
      <w:pPr>
        <w:rPr>
          <w:bCs/>
        </w:rPr>
      </w:pPr>
      <w:r w:rsidRPr="00C36A30">
        <w:rPr>
          <w:bCs/>
        </w:rPr>
        <w:t>Dans ces conditions</w:t>
      </w:r>
      <w:r w:rsidR="00C94FFB">
        <w:rPr>
          <w:bCs/>
        </w:rPr>
        <w:t>,</w:t>
      </w:r>
      <w:r w:rsidRPr="00C36A30">
        <w:rPr>
          <w:bCs/>
        </w:rPr>
        <w:t xml:space="preserve"> elle estime que cet amendement est </w:t>
      </w:r>
      <w:r w:rsidR="00F730A9" w:rsidRPr="00C36A30">
        <w:rPr>
          <w:bCs/>
        </w:rPr>
        <w:t>inutile</w:t>
      </w:r>
      <w:r w:rsidRPr="00C36A30">
        <w:rPr>
          <w:bCs/>
        </w:rPr>
        <w:t>.</w:t>
      </w:r>
    </w:p>
    <w:p w:rsidR="00F730A9" w:rsidRPr="00C36A30" w:rsidRDefault="00F730A9" w:rsidP="008873A7">
      <w:r w:rsidRPr="00C36A30">
        <w:rPr>
          <w:b/>
        </w:rPr>
        <w:t>Amendement 2</w:t>
      </w:r>
      <w:r w:rsidRPr="00C36A30">
        <w:t xml:space="preserve"> (première partie)</w:t>
      </w:r>
      <w:r w:rsidR="00C36A30">
        <w:t> :</w:t>
      </w:r>
      <w:r w:rsidRPr="00C36A30">
        <w:t xml:space="preserve"> cet amendement va à l</w:t>
      </w:r>
      <w:r w:rsidR="00C36A30">
        <w:t>’</w:t>
      </w:r>
      <w:r w:rsidRPr="00C36A30">
        <w:t>encontre des principes relatifs à la nature des protocoles aux accords de pêche. Dès lors que lesdits protocoles sont a</w:t>
      </w:r>
      <w:r w:rsidR="00C94FFB">
        <w:t>nnexés aux accords-</w:t>
      </w:r>
      <w:r w:rsidRPr="00C36A30">
        <w:t>cadres, leur renouvellement périodique n</w:t>
      </w:r>
      <w:r w:rsidR="00C36A30">
        <w:t>’</w:t>
      </w:r>
      <w:r w:rsidRPr="00C36A30">
        <w:t>exige pas de nouvelle directive dans la perspective des négociations.</w:t>
      </w:r>
    </w:p>
    <w:p w:rsidR="00F730A9" w:rsidRPr="00C36A30" w:rsidRDefault="0093444D" w:rsidP="008873A7">
      <w:r w:rsidRPr="00C36A30">
        <w:rPr>
          <w:b/>
        </w:rPr>
        <w:lastRenderedPageBreak/>
        <w:t xml:space="preserve">Amendement 2 </w:t>
      </w:r>
      <w:r w:rsidRPr="00C36A30">
        <w:t>(s</w:t>
      </w:r>
      <w:r w:rsidR="00F730A9" w:rsidRPr="00C36A30">
        <w:t>econde partie)</w:t>
      </w:r>
      <w:r w:rsidRPr="00C36A30">
        <w:t> :</w:t>
      </w:r>
      <w:r w:rsidR="00F730A9" w:rsidRPr="00C36A30">
        <w:t xml:space="preserve"> le rapport d</w:t>
      </w:r>
      <w:r w:rsidR="00C36A30">
        <w:t>’</w:t>
      </w:r>
      <w:r w:rsidR="00F730A9" w:rsidRPr="00C36A30">
        <w:t xml:space="preserve">évaluation </w:t>
      </w:r>
      <w:r w:rsidRPr="00C36A30">
        <w:t xml:space="preserve">de </w:t>
      </w:r>
      <w:r w:rsidR="00F730A9" w:rsidRPr="00C36A30">
        <w:t>la Commission englobe tous les aspects de l</w:t>
      </w:r>
      <w:r w:rsidR="00C36A30">
        <w:t>’</w:t>
      </w:r>
      <w:r w:rsidR="00F730A9" w:rsidRPr="00C36A30">
        <w:t>application des accords de pêche,</w:t>
      </w:r>
      <w:r w:rsidR="006A3725" w:rsidRPr="00C36A30">
        <w:t xml:space="preserve"> y compris les  actions ciblées.</w:t>
      </w:r>
    </w:p>
    <w:p w:rsidR="00F730A9" w:rsidRPr="00C36A30" w:rsidRDefault="00F730A9" w:rsidP="008873A7">
      <w:r w:rsidRPr="00C36A30">
        <w:t xml:space="preserve">Le suivi des actions </w:t>
      </w:r>
      <w:r w:rsidR="006A3725" w:rsidRPr="00C36A30">
        <w:t xml:space="preserve">ciblées est évidemment un élément </w:t>
      </w:r>
      <w:r w:rsidRPr="00C36A30">
        <w:t xml:space="preserve">clé des accords de pêche de la Communauté. À cet égard, la Commission invite </w:t>
      </w:r>
      <w:r w:rsidR="006A3725" w:rsidRPr="00C36A30">
        <w:t xml:space="preserve">chaque </w:t>
      </w:r>
      <w:r w:rsidRPr="00C36A30">
        <w:t>pays tiers à instaurer un dialogue politique permanent avec ses services, de manière à améliorer la gestion des accords et à renforcer la contribution communautaire à la gestion des ressources de pêche.</w:t>
      </w:r>
    </w:p>
    <w:p w:rsidR="00F730A9" w:rsidRPr="00C36A30" w:rsidRDefault="00F730A9" w:rsidP="008873A7">
      <w:r w:rsidRPr="00C36A30">
        <w:t xml:space="preserve">Toutefois, il y a lieu de souligner </w:t>
      </w:r>
      <w:r w:rsidR="006A3725" w:rsidRPr="00C36A30">
        <w:t>qu</w:t>
      </w:r>
      <w:r w:rsidR="00C36A30">
        <w:t>’</w:t>
      </w:r>
      <w:r w:rsidR="006A3725" w:rsidRPr="00C36A30">
        <w:t>en vertu des dispositions de</w:t>
      </w:r>
      <w:r w:rsidR="00C94FFB">
        <w:t>s</w:t>
      </w:r>
      <w:r w:rsidR="006A3725" w:rsidRPr="00C36A30">
        <w:t xml:space="preserve"> </w:t>
      </w:r>
      <w:r w:rsidRPr="00C36A30">
        <w:t>accord</w:t>
      </w:r>
      <w:r w:rsidR="00C94FFB">
        <w:t>s</w:t>
      </w:r>
      <w:r w:rsidR="006A3725" w:rsidRPr="00C36A30">
        <w:t>, la mise à profit de cette</w:t>
      </w:r>
      <w:r w:rsidRPr="00C36A30">
        <w:t xml:space="preserve"> contribution relève </w:t>
      </w:r>
      <w:r w:rsidR="006A3725" w:rsidRPr="00C36A30">
        <w:t xml:space="preserve">exclusivement </w:t>
      </w:r>
      <w:r w:rsidRPr="00C36A30">
        <w:t>de la responsabilité d</w:t>
      </w:r>
      <w:r w:rsidR="00C94FFB">
        <w:t>es</w:t>
      </w:r>
      <w:r w:rsidRPr="00C36A30">
        <w:t xml:space="preserve"> pays tiers qui </w:t>
      </w:r>
      <w:r w:rsidR="00C94FFB">
        <w:t>ont</w:t>
      </w:r>
      <w:r w:rsidR="006A3725" w:rsidRPr="00C36A30">
        <w:t xml:space="preserve"> </w:t>
      </w:r>
      <w:r w:rsidRPr="00C36A30">
        <w:t>négo</w:t>
      </w:r>
      <w:r w:rsidR="006A3725" w:rsidRPr="00C36A30">
        <w:t>cié ce</w:t>
      </w:r>
      <w:r w:rsidR="00C94FFB">
        <w:t>s</w:t>
      </w:r>
      <w:r w:rsidR="006A3725" w:rsidRPr="00C36A30">
        <w:t xml:space="preserve"> dernier</w:t>
      </w:r>
      <w:r w:rsidR="00C94FFB">
        <w:t>s</w:t>
      </w:r>
      <w:r w:rsidR="006A3725" w:rsidRPr="00C36A30">
        <w:t xml:space="preserve"> avec</w:t>
      </w:r>
      <w:r w:rsidRPr="00C36A30">
        <w:t xml:space="preserve"> la Communauté en </w:t>
      </w:r>
      <w:r w:rsidR="00C94FFB">
        <w:t>leur</w:t>
      </w:r>
      <w:r w:rsidR="006A3725" w:rsidRPr="00C36A30">
        <w:t xml:space="preserve"> qualité d</w:t>
      </w:r>
      <w:r w:rsidR="00C36A30">
        <w:t>’</w:t>
      </w:r>
      <w:r w:rsidR="006A3725" w:rsidRPr="00C36A30">
        <w:t>É</w:t>
      </w:r>
      <w:r w:rsidRPr="00C36A30">
        <w:t>tat souverain.</w:t>
      </w:r>
    </w:p>
    <w:p w:rsidR="00F730A9" w:rsidRPr="00C36A30" w:rsidRDefault="00F730A9" w:rsidP="008873A7">
      <w:r w:rsidRPr="00C36A30">
        <w:t xml:space="preserve">Par conséquent, la programmation des activités, leur </w:t>
      </w:r>
      <w:r w:rsidR="006A3725" w:rsidRPr="00C36A30">
        <w:t>concrétisation</w:t>
      </w:r>
      <w:r w:rsidRPr="00C36A30">
        <w:t xml:space="preserve"> et la </w:t>
      </w:r>
      <w:r w:rsidR="006A3725" w:rsidRPr="00C36A30">
        <w:t xml:space="preserve">communication de leur bilan </w:t>
      </w:r>
      <w:r w:rsidRPr="00C36A30">
        <w:t xml:space="preserve">à la Commission </w:t>
      </w:r>
      <w:r w:rsidR="006A3725" w:rsidRPr="00C36A30">
        <w:t xml:space="preserve">se font à la discrétion </w:t>
      </w:r>
      <w:r w:rsidR="00C94FFB">
        <w:t>des</w:t>
      </w:r>
      <w:r w:rsidRPr="00C36A30">
        <w:t xml:space="preserve"> pays tiers.</w:t>
      </w:r>
    </w:p>
    <w:p w:rsidR="00F730A9" w:rsidRPr="00C36A30" w:rsidRDefault="00F730A9" w:rsidP="008873A7">
      <w:r w:rsidRPr="00C36A30">
        <w:t>Pour ces raisons, la Commission estime que les deux parties de l</w:t>
      </w:r>
      <w:r w:rsidR="00C36A30">
        <w:t>’</w:t>
      </w:r>
      <w:r w:rsidRPr="00C36A30">
        <w:t>amendement vont à l</w:t>
      </w:r>
      <w:r w:rsidR="00C36A30">
        <w:t>’</w:t>
      </w:r>
      <w:r w:rsidRPr="00C36A30">
        <w:t>encontre de l</w:t>
      </w:r>
      <w:r w:rsidR="00C36A30">
        <w:t>’</w:t>
      </w:r>
      <w:r w:rsidRPr="00C36A30">
        <w:t>accord interinstitutionnel et des règles financières et b</w:t>
      </w:r>
      <w:r w:rsidR="006A3725" w:rsidRPr="00C36A30">
        <w:t xml:space="preserve">udgétaires. Elle ne peut donc les </w:t>
      </w:r>
      <w:r w:rsidRPr="00C36A30">
        <w:t xml:space="preserve">accepter. </w:t>
      </w:r>
    </w:p>
    <w:p w:rsidR="00F730A9" w:rsidRPr="00C36A30" w:rsidRDefault="008873A7" w:rsidP="008535BE">
      <w:pPr>
        <w:rPr>
          <w:bCs/>
        </w:rPr>
      </w:pPr>
      <w:r w:rsidRPr="00C36A30">
        <w:rPr>
          <w:b/>
          <w:bCs/>
        </w:rPr>
        <w:t>9.</w:t>
      </w:r>
      <w:r w:rsidRPr="00C36A30">
        <w:rPr>
          <w:b/>
          <w:bCs/>
        </w:rPr>
        <w:tab/>
      </w:r>
      <w:r w:rsidR="006A3725" w:rsidRPr="00C36A30">
        <w:rPr>
          <w:b/>
          <w:bCs/>
        </w:rPr>
        <w:t>Prévisions quant à la modification</w:t>
      </w:r>
      <w:r w:rsidR="00F730A9" w:rsidRPr="00C36A30">
        <w:rPr>
          <w:b/>
          <w:bCs/>
        </w:rPr>
        <w:t xml:space="preserve"> de la proposition</w:t>
      </w:r>
      <w:r w:rsidR="00C36A30" w:rsidRPr="00C36A30">
        <w:rPr>
          <w:b/>
          <w:bCs/>
        </w:rPr>
        <w:t> :</w:t>
      </w:r>
      <w:r w:rsidR="00F730A9" w:rsidRPr="00C36A30">
        <w:rPr>
          <w:b/>
          <w:bCs/>
        </w:rPr>
        <w:t xml:space="preserve"> </w:t>
      </w:r>
      <w:r w:rsidR="00F730A9" w:rsidRPr="00C36A30">
        <w:rPr>
          <w:bCs/>
        </w:rPr>
        <w:t xml:space="preserve">négatives pour les deux </w:t>
      </w:r>
      <w:r w:rsidR="006A3725" w:rsidRPr="00C36A30">
        <w:rPr>
          <w:bCs/>
        </w:rPr>
        <w:t>parties</w:t>
      </w:r>
      <w:r w:rsidR="008535BE">
        <w:rPr>
          <w:bCs/>
        </w:rPr>
        <w:t>.</w:t>
      </w:r>
    </w:p>
    <w:p w:rsidR="008873A7" w:rsidRPr="00C36A30" w:rsidRDefault="008873A7" w:rsidP="008873A7">
      <w:r w:rsidRPr="00C36A30">
        <w:rPr>
          <w:b/>
          <w:bCs/>
        </w:rPr>
        <w:t>10.</w:t>
      </w:r>
      <w:r w:rsidRPr="00C36A30">
        <w:rPr>
          <w:b/>
          <w:bCs/>
        </w:rPr>
        <w:tab/>
      </w:r>
      <w:r w:rsidRPr="00C36A30">
        <w:rPr>
          <w:b/>
        </w:rPr>
        <w:t>Prévisions quant à l</w:t>
      </w:r>
      <w:r w:rsidR="00C36A30">
        <w:rPr>
          <w:b/>
        </w:rPr>
        <w:t>’</w:t>
      </w:r>
      <w:r w:rsidRPr="00C36A30">
        <w:rPr>
          <w:b/>
        </w:rPr>
        <w:t>adoption de la propositi</w:t>
      </w:r>
      <w:r w:rsidR="00F730A9" w:rsidRPr="00C36A30">
        <w:rPr>
          <w:b/>
        </w:rPr>
        <w:t>on</w:t>
      </w:r>
      <w:r w:rsidR="00C36A30" w:rsidRPr="00C36A30">
        <w:rPr>
          <w:b/>
        </w:rPr>
        <w:t> :</w:t>
      </w:r>
      <w:r w:rsidR="006A3725" w:rsidRPr="00C36A30">
        <w:t xml:space="preserve"> fin janvier ou </w:t>
      </w:r>
      <w:r w:rsidR="00F730A9" w:rsidRPr="00C36A30">
        <w:t>février</w:t>
      </w:r>
      <w:r w:rsidR="0084284B" w:rsidRPr="00C36A30">
        <w:t> </w:t>
      </w:r>
      <w:r w:rsidRPr="00C36A30">
        <w:t>2005</w:t>
      </w:r>
      <w:r w:rsidR="008535BE">
        <w:t>.</w:t>
      </w:r>
    </w:p>
    <w:p w:rsidR="008873A7" w:rsidRPr="00C36A30" w:rsidRDefault="008873A7" w:rsidP="008873A7">
      <w:pPr>
        <w:spacing w:before="100" w:beforeAutospacing="1" w:after="100" w:afterAutospacing="1"/>
      </w:pPr>
      <w:r w:rsidRPr="00C36A30">
        <w:br w:type="page"/>
      </w:r>
    </w:p>
    <w:p w:rsidR="008873A7" w:rsidRPr="00C36A30" w:rsidRDefault="008873A7" w:rsidP="008873A7"/>
    <w:p w:rsidR="008873A7" w:rsidRPr="00C36A30" w:rsidRDefault="008873A7" w:rsidP="008873A7">
      <w:pPr>
        <w:jc w:val="center"/>
        <w:rPr>
          <w:b/>
          <w:bCs/>
          <w:sz w:val="48"/>
          <w:szCs w:val="48"/>
        </w:rPr>
      </w:pPr>
    </w:p>
    <w:p w:rsidR="008873A7" w:rsidRPr="00C36A30" w:rsidRDefault="008873A7" w:rsidP="008873A7">
      <w:pPr>
        <w:jc w:val="center"/>
        <w:rPr>
          <w:b/>
          <w:bCs/>
          <w:sz w:val="48"/>
          <w:szCs w:val="48"/>
        </w:rPr>
      </w:pPr>
    </w:p>
    <w:p w:rsidR="008873A7" w:rsidRPr="00C36A30" w:rsidRDefault="008873A7" w:rsidP="008873A7">
      <w:pPr>
        <w:jc w:val="center"/>
        <w:rPr>
          <w:b/>
          <w:bCs/>
          <w:sz w:val="48"/>
          <w:szCs w:val="48"/>
        </w:rPr>
      </w:pPr>
    </w:p>
    <w:p w:rsidR="008873A7" w:rsidRPr="00C36A30" w:rsidRDefault="008873A7" w:rsidP="008873A7">
      <w:pPr>
        <w:jc w:val="center"/>
        <w:rPr>
          <w:b/>
          <w:bCs/>
          <w:sz w:val="48"/>
          <w:szCs w:val="48"/>
        </w:rPr>
      </w:pPr>
    </w:p>
    <w:p w:rsidR="008873A7" w:rsidRPr="00C36A30" w:rsidRDefault="008873A7" w:rsidP="008873A7">
      <w:pPr>
        <w:jc w:val="center"/>
        <w:rPr>
          <w:b/>
          <w:bCs/>
          <w:sz w:val="48"/>
          <w:szCs w:val="48"/>
        </w:rPr>
      </w:pPr>
    </w:p>
    <w:p w:rsidR="008873A7" w:rsidRPr="00C36A30" w:rsidRDefault="008873A7" w:rsidP="008873A7">
      <w:pPr>
        <w:jc w:val="center"/>
        <w:rPr>
          <w:b/>
          <w:bCs/>
          <w:sz w:val="48"/>
          <w:szCs w:val="48"/>
        </w:rPr>
      </w:pPr>
      <w:r w:rsidRPr="00C36A30">
        <w:rPr>
          <w:b/>
          <w:bCs/>
          <w:sz w:val="48"/>
          <w:szCs w:val="48"/>
        </w:rPr>
        <w:t>Deuxième partie</w:t>
      </w:r>
      <w:r w:rsidRPr="00C36A30">
        <w:rPr>
          <w:b/>
          <w:bCs/>
          <w:sz w:val="48"/>
          <w:szCs w:val="48"/>
        </w:rPr>
        <w:br/>
        <w:t>Résolutions non législatives</w:t>
      </w:r>
    </w:p>
    <w:p w:rsidR="008873A7" w:rsidRPr="00C36A30" w:rsidRDefault="008873A7" w:rsidP="008873A7">
      <w:pPr>
        <w:spacing w:after="0"/>
        <w:jc w:val="center"/>
      </w:pPr>
      <w:r w:rsidRPr="00C36A30">
        <w:br w:type="page"/>
      </w:r>
    </w:p>
    <w:p w:rsidR="008873A7" w:rsidRPr="00C36A30" w:rsidRDefault="008873A7" w:rsidP="008873A7">
      <w:pPr>
        <w:spacing w:after="0"/>
        <w:jc w:val="center"/>
        <w:rPr>
          <w:sz w:val="22"/>
          <w:szCs w:val="22"/>
        </w:rPr>
      </w:pPr>
    </w:p>
    <w:p w:rsidR="008873A7" w:rsidRPr="00C36A30" w:rsidRDefault="008873A7" w:rsidP="008873A7">
      <w:pPr>
        <w:spacing w:after="0"/>
        <w:jc w:val="center"/>
        <w:rPr>
          <w:b/>
          <w:bCs/>
          <w:sz w:val="22"/>
          <w:szCs w:val="22"/>
          <w:u w:val="single"/>
        </w:rPr>
      </w:pPr>
      <w:r w:rsidRPr="00C36A30">
        <w:rPr>
          <w:b/>
          <w:bCs/>
          <w:sz w:val="22"/>
          <w:szCs w:val="22"/>
        </w:rPr>
        <w:t xml:space="preserve">LA COMMISSION ENTEND </w:t>
      </w:r>
      <w:r w:rsidR="00C22ABA">
        <w:rPr>
          <w:b/>
          <w:bCs/>
          <w:sz w:val="22"/>
          <w:szCs w:val="22"/>
        </w:rPr>
        <w:t xml:space="preserve">NE </w:t>
      </w:r>
      <w:r w:rsidRPr="00C36A30">
        <w:rPr>
          <w:b/>
          <w:bCs/>
          <w:sz w:val="22"/>
          <w:szCs w:val="22"/>
        </w:rPr>
        <w:t xml:space="preserve">PAS DONNER </w:t>
      </w:r>
      <w:r w:rsidR="00C22ABA">
        <w:rPr>
          <w:b/>
          <w:bCs/>
          <w:sz w:val="22"/>
          <w:szCs w:val="22"/>
        </w:rPr>
        <w:t>UNE</w:t>
      </w:r>
      <w:r w:rsidR="006A3725" w:rsidRPr="00C36A30">
        <w:rPr>
          <w:b/>
          <w:bCs/>
          <w:sz w:val="22"/>
          <w:szCs w:val="22"/>
        </w:rPr>
        <w:t xml:space="preserve"> </w:t>
      </w:r>
      <w:r w:rsidR="00243EC6" w:rsidRPr="00C36A30">
        <w:rPr>
          <w:b/>
          <w:bCs/>
          <w:sz w:val="22"/>
          <w:szCs w:val="22"/>
        </w:rPr>
        <w:t>SUITE SOUS FORME DE FICHE AUX R</w:t>
      </w:r>
      <w:r w:rsidR="000A778F">
        <w:rPr>
          <w:b/>
          <w:bCs/>
          <w:sz w:val="22"/>
          <w:szCs w:val="22"/>
        </w:rPr>
        <w:t>E</w:t>
      </w:r>
      <w:r w:rsidR="00243EC6" w:rsidRPr="00C36A30">
        <w:rPr>
          <w:b/>
          <w:bCs/>
          <w:sz w:val="22"/>
          <w:szCs w:val="22"/>
        </w:rPr>
        <w:t>SOLUTIONS NON L</w:t>
      </w:r>
      <w:r w:rsidR="000A778F">
        <w:rPr>
          <w:b/>
          <w:bCs/>
          <w:sz w:val="22"/>
          <w:szCs w:val="22"/>
        </w:rPr>
        <w:t>E</w:t>
      </w:r>
      <w:r w:rsidRPr="00C36A30">
        <w:rPr>
          <w:b/>
          <w:bCs/>
          <w:sz w:val="22"/>
          <w:szCs w:val="22"/>
        </w:rPr>
        <w:t xml:space="preserve">GISLATIVES </w:t>
      </w:r>
      <w:r w:rsidR="00C22ABA">
        <w:rPr>
          <w:b/>
          <w:bCs/>
          <w:sz w:val="22"/>
          <w:szCs w:val="22"/>
        </w:rPr>
        <w:t>SUIVANTES</w:t>
      </w:r>
      <w:r w:rsidR="003464BF" w:rsidRPr="00C36A30">
        <w:rPr>
          <w:b/>
          <w:bCs/>
          <w:sz w:val="22"/>
          <w:szCs w:val="22"/>
        </w:rPr>
        <w:t>, ADOPT</w:t>
      </w:r>
      <w:r w:rsidR="000A778F">
        <w:rPr>
          <w:b/>
          <w:bCs/>
          <w:sz w:val="22"/>
          <w:szCs w:val="22"/>
        </w:rPr>
        <w:t>E</w:t>
      </w:r>
      <w:r w:rsidRPr="00C36A30">
        <w:rPr>
          <w:b/>
          <w:bCs/>
          <w:sz w:val="22"/>
          <w:szCs w:val="22"/>
        </w:rPr>
        <w:t>ES PAR LE PARLEMENT EUROP</w:t>
      </w:r>
      <w:r w:rsidR="000A778F">
        <w:rPr>
          <w:b/>
          <w:bCs/>
          <w:sz w:val="22"/>
          <w:szCs w:val="22"/>
        </w:rPr>
        <w:t>E</w:t>
      </w:r>
      <w:r w:rsidRPr="00C36A30">
        <w:rPr>
          <w:b/>
          <w:bCs/>
          <w:sz w:val="22"/>
          <w:szCs w:val="22"/>
        </w:rPr>
        <w:t xml:space="preserve">EN AU COURS DES SESSIONS I ET II </w:t>
      </w:r>
      <w:r w:rsidRPr="00C36A30">
        <w:rPr>
          <w:b/>
          <w:bCs/>
          <w:caps/>
          <w:sz w:val="22"/>
          <w:szCs w:val="22"/>
        </w:rPr>
        <w:t>DE D</w:t>
      </w:r>
      <w:r w:rsidR="000A778F">
        <w:rPr>
          <w:b/>
          <w:bCs/>
          <w:caps/>
          <w:sz w:val="22"/>
          <w:szCs w:val="22"/>
        </w:rPr>
        <w:t>E</w:t>
      </w:r>
      <w:r w:rsidRPr="00C36A30">
        <w:rPr>
          <w:b/>
          <w:bCs/>
          <w:caps/>
          <w:sz w:val="22"/>
          <w:szCs w:val="22"/>
        </w:rPr>
        <w:t>CEMBRE</w:t>
      </w:r>
      <w:r w:rsidR="0084284B" w:rsidRPr="00C36A30">
        <w:rPr>
          <w:b/>
          <w:bCs/>
          <w:caps/>
          <w:sz w:val="22"/>
          <w:szCs w:val="22"/>
        </w:rPr>
        <w:t> </w:t>
      </w:r>
      <w:r w:rsidRPr="00C36A30">
        <w:rPr>
          <w:b/>
          <w:bCs/>
          <w:sz w:val="22"/>
          <w:szCs w:val="22"/>
        </w:rPr>
        <w:t>2004</w:t>
      </w:r>
    </w:p>
    <w:p w:rsidR="008873A7" w:rsidRPr="00C36A30" w:rsidRDefault="008873A7" w:rsidP="008873A7">
      <w:pPr>
        <w:spacing w:after="0"/>
        <w:rPr>
          <w:sz w:val="22"/>
          <w:szCs w:val="22"/>
        </w:rPr>
      </w:pPr>
    </w:p>
    <w:p w:rsidR="008873A7" w:rsidRPr="00C36A30" w:rsidRDefault="008873A7" w:rsidP="008873A7">
      <w:pPr>
        <w:spacing w:after="0"/>
        <w:rPr>
          <w:sz w:val="22"/>
          <w:szCs w:val="22"/>
        </w:rPr>
      </w:pPr>
    </w:p>
    <w:p w:rsidR="008873A7" w:rsidRPr="00711F9B" w:rsidRDefault="008873A7" w:rsidP="008873A7">
      <w:pPr>
        <w:spacing w:after="0"/>
        <w:jc w:val="left"/>
        <w:rPr>
          <w:sz w:val="22"/>
          <w:szCs w:val="22"/>
        </w:rPr>
      </w:pPr>
      <w:r w:rsidRPr="00711F9B">
        <w:rPr>
          <w:sz w:val="22"/>
          <w:szCs w:val="22"/>
        </w:rPr>
        <w:t>-</w:t>
      </w:r>
      <w:r w:rsidRPr="00711F9B">
        <w:rPr>
          <w:sz w:val="22"/>
          <w:szCs w:val="22"/>
        </w:rPr>
        <w:tab/>
        <w:t>Résolution du Parlement européen sur les perspectives financières en vue de la réunion du Conseil européen de décembre</w:t>
      </w:r>
      <w:r w:rsidR="0084284B" w:rsidRPr="00711F9B">
        <w:rPr>
          <w:sz w:val="22"/>
          <w:szCs w:val="22"/>
        </w:rPr>
        <w:t> </w:t>
      </w:r>
      <w:r w:rsidRPr="00711F9B">
        <w:rPr>
          <w:sz w:val="22"/>
          <w:szCs w:val="22"/>
        </w:rPr>
        <w:t>2004</w:t>
      </w:r>
    </w:p>
    <w:p w:rsidR="008873A7" w:rsidRPr="00711F9B" w:rsidRDefault="008873A7" w:rsidP="008873A7">
      <w:pPr>
        <w:spacing w:after="0"/>
        <w:jc w:val="left"/>
        <w:rPr>
          <w:sz w:val="22"/>
          <w:szCs w:val="22"/>
        </w:rPr>
      </w:pPr>
      <w:r w:rsidRPr="00711F9B">
        <w:rPr>
          <w:sz w:val="22"/>
          <w:szCs w:val="22"/>
        </w:rPr>
        <w:t xml:space="preserve"> (PE</w:t>
      </w:r>
      <w:r w:rsidR="00C36A30" w:rsidRPr="00711F9B">
        <w:rPr>
          <w:sz w:val="22"/>
          <w:szCs w:val="22"/>
        </w:rPr>
        <w:t> :</w:t>
      </w:r>
      <w:r w:rsidR="00866A7B" w:rsidRPr="00711F9B">
        <w:rPr>
          <w:sz w:val="22"/>
          <w:szCs w:val="22"/>
        </w:rPr>
        <w:t xml:space="preserve"> B6</w:t>
      </w:r>
      <w:r w:rsidRPr="00711F9B">
        <w:rPr>
          <w:sz w:val="22"/>
          <w:szCs w:val="22"/>
        </w:rPr>
        <w:t>- 0189/04)</w:t>
      </w:r>
    </w:p>
    <w:p w:rsidR="008873A7" w:rsidRPr="00711F9B" w:rsidRDefault="008873A7" w:rsidP="008873A7">
      <w:pPr>
        <w:spacing w:after="0"/>
        <w:jc w:val="left"/>
        <w:rPr>
          <w:sz w:val="22"/>
          <w:szCs w:val="22"/>
        </w:rPr>
      </w:pPr>
      <w:r w:rsidRPr="00711F9B">
        <w:rPr>
          <w:sz w:val="22"/>
          <w:szCs w:val="22"/>
        </w:rPr>
        <w:t>Procès</w:t>
      </w:r>
      <w:r w:rsidR="003464BF" w:rsidRPr="00711F9B">
        <w:rPr>
          <w:sz w:val="22"/>
          <w:szCs w:val="22"/>
        </w:rPr>
        <w:t>-</w:t>
      </w:r>
      <w:r w:rsidRPr="00711F9B">
        <w:rPr>
          <w:sz w:val="22"/>
          <w:szCs w:val="22"/>
        </w:rPr>
        <w:t xml:space="preserve">verbal, </w:t>
      </w:r>
      <w:r w:rsidR="003464BF" w:rsidRPr="00711F9B">
        <w:rPr>
          <w:sz w:val="22"/>
          <w:szCs w:val="22"/>
        </w:rPr>
        <w:t>2</w:t>
      </w:r>
      <w:r w:rsidR="003464BF" w:rsidRPr="00711F9B">
        <w:rPr>
          <w:sz w:val="22"/>
          <w:szCs w:val="22"/>
          <w:vertAlign w:val="superscript"/>
        </w:rPr>
        <w:t xml:space="preserve">e </w:t>
      </w:r>
      <w:r w:rsidR="003464BF" w:rsidRPr="00711F9B">
        <w:rPr>
          <w:sz w:val="22"/>
          <w:szCs w:val="22"/>
        </w:rPr>
        <w:t>partie</w:t>
      </w:r>
      <w:r w:rsidR="00E978F7" w:rsidRPr="00711F9B">
        <w:rPr>
          <w:sz w:val="22"/>
          <w:szCs w:val="22"/>
        </w:rPr>
        <w:t xml:space="preserve">, </w:t>
      </w:r>
      <w:r w:rsidRPr="00711F9B">
        <w:rPr>
          <w:sz w:val="22"/>
          <w:szCs w:val="22"/>
        </w:rPr>
        <w:t>du 2</w:t>
      </w:r>
      <w:r w:rsidR="0084284B" w:rsidRPr="00711F9B">
        <w:rPr>
          <w:sz w:val="22"/>
          <w:szCs w:val="22"/>
        </w:rPr>
        <w:t xml:space="preserve"> décembre </w:t>
      </w:r>
      <w:r w:rsidRPr="00711F9B">
        <w:rPr>
          <w:sz w:val="22"/>
          <w:szCs w:val="22"/>
        </w:rPr>
        <w:t>2004</w:t>
      </w:r>
    </w:p>
    <w:p w:rsidR="008873A7" w:rsidRPr="00711F9B" w:rsidRDefault="008873A7" w:rsidP="008873A7">
      <w:pPr>
        <w:spacing w:after="0"/>
        <w:jc w:val="left"/>
        <w:rPr>
          <w:sz w:val="22"/>
          <w:szCs w:val="22"/>
        </w:rPr>
      </w:pPr>
      <w:r w:rsidRPr="00711F9B">
        <w:rPr>
          <w:sz w:val="22"/>
          <w:szCs w:val="22"/>
        </w:rPr>
        <w:t>Compétence</w:t>
      </w:r>
      <w:r w:rsidR="00C36A30" w:rsidRPr="00711F9B">
        <w:rPr>
          <w:sz w:val="22"/>
          <w:szCs w:val="22"/>
        </w:rPr>
        <w:t> :</w:t>
      </w:r>
      <w:r w:rsidRPr="00711F9B">
        <w:rPr>
          <w:sz w:val="22"/>
          <w:szCs w:val="22"/>
        </w:rPr>
        <w:tab/>
        <w:t>José Manuel BARROSO/Dalia GRYBAUSKAITÉ</w:t>
      </w:r>
    </w:p>
    <w:p w:rsidR="008873A7" w:rsidRPr="00711F9B" w:rsidRDefault="008873A7" w:rsidP="008873A7">
      <w:pPr>
        <w:spacing w:after="0"/>
        <w:jc w:val="left"/>
        <w:rPr>
          <w:sz w:val="22"/>
          <w:szCs w:val="22"/>
        </w:rPr>
      </w:pPr>
      <w:r w:rsidRPr="00711F9B">
        <w:rPr>
          <w:sz w:val="22"/>
          <w:szCs w:val="22"/>
        </w:rPr>
        <w:tab/>
      </w:r>
      <w:r w:rsidRPr="00711F9B">
        <w:rPr>
          <w:sz w:val="22"/>
          <w:szCs w:val="22"/>
        </w:rPr>
        <w:tab/>
        <w:t>Secrétariat général</w:t>
      </w:r>
      <w:r w:rsidR="0084284B" w:rsidRPr="00711F9B">
        <w:rPr>
          <w:sz w:val="22"/>
          <w:szCs w:val="22"/>
        </w:rPr>
        <w:t>/</w:t>
      </w:r>
      <w:r w:rsidRPr="00711F9B">
        <w:rPr>
          <w:sz w:val="22"/>
          <w:szCs w:val="22"/>
        </w:rPr>
        <w:t>DG Programmation financière et Budget</w:t>
      </w:r>
    </w:p>
    <w:p w:rsidR="008873A7" w:rsidRPr="00711F9B" w:rsidRDefault="008873A7" w:rsidP="008873A7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711F9B">
        <w:rPr>
          <w:b/>
          <w:bCs/>
          <w:sz w:val="22"/>
          <w:szCs w:val="22"/>
          <w:u w:val="single"/>
        </w:rPr>
        <w:t>Justification</w:t>
      </w:r>
      <w:r w:rsidR="00C36A30" w:rsidRPr="00711F9B">
        <w:rPr>
          <w:b/>
          <w:bCs/>
          <w:sz w:val="22"/>
          <w:szCs w:val="22"/>
        </w:rPr>
        <w:t> :</w:t>
      </w:r>
      <w:r w:rsidR="00E978F7" w:rsidRPr="00711F9B">
        <w:rPr>
          <w:sz w:val="22"/>
          <w:szCs w:val="22"/>
        </w:rPr>
        <w:tab/>
        <w:t xml:space="preserve">La Commission ne donnera pas </w:t>
      </w:r>
      <w:r w:rsidRPr="00711F9B">
        <w:rPr>
          <w:sz w:val="22"/>
          <w:szCs w:val="22"/>
        </w:rPr>
        <w:t>suite sous forme de fiche car elle considère</w:t>
      </w:r>
      <w:r w:rsidR="00C36A30" w:rsidRPr="00711F9B">
        <w:rPr>
          <w:sz w:val="22"/>
          <w:szCs w:val="22"/>
        </w:rPr>
        <w:t> :</w:t>
      </w:r>
    </w:p>
    <w:p w:rsidR="008873A7" w:rsidRPr="00711F9B" w:rsidRDefault="008873A7" w:rsidP="00954F34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711F9B">
        <w:rPr>
          <w:sz w:val="22"/>
          <w:szCs w:val="22"/>
        </w:rPr>
        <w:t>que la résolution a un objectif politique qui s</w:t>
      </w:r>
      <w:r w:rsidR="00C36A30" w:rsidRPr="00711F9B">
        <w:rPr>
          <w:sz w:val="22"/>
          <w:szCs w:val="22"/>
        </w:rPr>
        <w:t>’</w:t>
      </w:r>
      <w:r w:rsidRPr="00711F9B">
        <w:rPr>
          <w:sz w:val="22"/>
          <w:szCs w:val="22"/>
        </w:rPr>
        <w:t>adresse de façon prioritaire au Conseil</w:t>
      </w:r>
      <w:r w:rsidR="00EA053C" w:rsidRPr="00711F9B">
        <w:rPr>
          <w:sz w:val="22"/>
          <w:szCs w:val="22"/>
        </w:rPr>
        <w:t> ;</w:t>
      </w:r>
    </w:p>
    <w:p w:rsidR="008873A7" w:rsidRPr="00711F9B" w:rsidRDefault="008873A7" w:rsidP="00954F34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711F9B">
        <w:rPr>
          <w:sz w:val="22"/>
          <w:szCs w:val="22"/>
        </w:rPr>
        <w:t>qu</w:t>
      </w:r>
      <w:r w:rsidR="00C36A30" w:rsidRPr="00711F9B">
        <w:rPr>
          <w:sz w:val="22"/>
          <w:szCs w:val="22"/>
        </w:rPr>
        <w:t>’</w:t>
      </w:r>
      <w:r w:rsidRPr="00711F9B">
        <w:rPr>
          <w:sz w:val="22"/>
          <w:szCs w:val="22"/>
        </w:rPr>
        <w:t>elle ne contient pas d</w:t>
      </w:r>
      <w:r w:rsidR="00C36A30" w:rsidRPr="00711F9B">
        <w:rPr>
          <w:sz w:val="22"/>
          <w:szCs w:val="22"/>
        </w:rPr>
        <w:t>’</w:t>
      </w:r>
      <w:r w:rsidRPr="00711F9B">
        <w:rPr>
          <w:sz w:val="22"/>
          <w:szCs w:val="22"/>
        </w:rPr>
        <w:t>éléments techniques nouveaux par rapp</w:t>
      </w:r>
      <w:r w:rsidR="003464BF" w:rsidRPr="00711F9B">
        <w:rPr>
          <w:sz w:val="22"/>
          <w:szCs w:val="22"/>
        </w:rPr>
        <w:t>ort à la résolution du P</w:t>
      </w:r>
      <w:r w:rsidR="006A3725" w:rsidRPr="00711F9B">
        <w:rPr>
          <w:sz w:val="22"/>
          <w:szCs w:val="22"/>
        </w:rPr>
        <w:t>arlement européen</w:t>
      </w:r>
      <w:r w:rsidR="003464BF" w:rsidRPr="00711F9B">
        <w:rPr>
          <w:sz w:val="22"/>
          <w:szCs w:val="22"/>
        </w:rPr>
        <w:t xml:space="preserve"> du 22 </w:t>
      </w:r>
      <w:r w:rsidRPr="00711F9B">
        <w:rPr>
          <w:sz w:val="22"/>
          <w:szCs w:val="22"/>
        </w:rPr>
        <w:t>avril 2004</w:t>
      </w:r>
      <w:r w:rsidR="003464BF" w:rsidRPr="00711F9B">
        <w:rPr>
          <w:sz w:val="22"/>
          <w:szCs w:val="22"/>
        </w:rPr>
        <w:t>,</w:t>
      </w:r>
      <w:r w:rsidRPr="00711F9B">
        <w:rPr>
          <w:sz w:val="22"/>
          <w:szCs w:val="22"/>
        </w:rPr>
        <w:t xml:space="preserve"> à laquelle la Commission a déjà donné suite</w:t>
      </w:r>
      <w:r w:rsidR="00EA053C" w:rsidRPr="00711F9B">
        <w:rPr>
          <w:sz w:val="22"/>
          <w:szCs w:val="22"/>
        </w:rPr>
        <w:t> ;</w:t>
      </w:r>
    </w:p>
    <w:p w:rsidR="008873A7" w:rsidRPr="00711F9B" w:rsidRDefault="008873A7" w:rsidP="00954F34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711F9B">
        <w:rPr>
          <w:sz w:val="22"/>
          <w:szCs w:val="22"/>
        </w:rPr>
        <w:t>qu</w:t>
      </w:r>
      <w:r w:rsidR="00C36A30" w:rsidRPr="00711F9B">
        <w:rPr>
          <w:sz w:val="22"/>
          <w:szCs w:val="22"/>
        </w:rPr>
        <w:t>’</w:t>
      </w:r>
      <w:r w:rsidRPr="00711F9B">
        <w:rPr>
          <w:sz w:val="22"/>
          <w:szCs w:val="22"/>
        </w:rPr>
        <w:t>elle a tenu compte des souhaits exprimés par le Parlement dans ses propositions, notamment en matière de flexibilité, d</w:t>
      </w:r>
      <w:r w:rsidR="00C36A30" w:rsidRPr="00711F9B">
        <w:rPr>
          <w:sz w:val="22"/>
          <w:szCs w:val="22"/>
        </w:rPr>
        <w:t>’</w:t>
      </w:r>
      <w:r w:rsidRPr="00711F9B">
        <w:rPr>
          <w:sz w:val="22"/>
          <w:szCs w:val="22"/>
        </w:rPr>
        <w:t>intégration européenne et de cohésion.</w:t>
      </w:r>
    </w:p>
    <w:p w:rsidR="008873A7" w:rsidRPr="00C36A30" w:rsidRDefault="008873A7" w:rsidP="008873A7">
      <w:pPr>
        <w:spacing w:after="0"/>
        <w:jc w:val="left"/>
        <w:rPr>
          <w:sz w:val="22"/>
          <w:szCs w:val="22"/>
        </w:rPr>
      </w:pPr>
    </w:p>
    <w:p w:rsidR="008873A7" w:rsidRPr="00C36A30" w:rsidRDefault="008873A7" w:rsidP="008873A7">
      <w:pPr>
        <w:spacing w:after="0"/>
        <w:rPr>
          <w:sz w:val="22"/>
          <w:szCs w:val="22"/>
        </w:rPr>
      </w:pPr>
    </w:p>
    <w:p w:rsidR="008873A7" w:rsidRPr="00C36A30" w:rsidRDefault="008873A7" w:rsidP="008873A7">
      <w:pPr>
        <w:spacing w:after="0"/>
        <w:rPr>
          <w:sz w:val="22"/>
          <w:szCs w:val="22"/>
        </w:rPr>
      </w:pPr>
      <w:r w:rsidRPr="00C36A30">
        <w:rPr>
          <w:sz w:val="22"/>
          <w:szCs w:val="22"/>
        </w:rPr>
        <w:t>-</w:t>
      </w:r>
      <w:r w:rsidRPr="00C36A30">
        <w:rPr>
          <w:sz w:val="22"/>
          <w:szCs w:val="22"/>
        </w:rPr>
        <w:tab/>
        <w:t>Résolution du Parlement européen sur le Zimbabwe</w:t>
      </w:r>
    </w:p>
    <w:p w:rsidR="008873A7" w:rsidRPr="00C36A30" w:rsidRDefault="008873A7" w:rsidP="008873A7">
      <w:pPr>
        <w:spacing w:after="0"/>
        <w:rPr>
          <w:sz w:val="22"/>
          <w:szCs w:val="22"/>
        </w:rPr>
      </w:pPr>
      <w:r w:rsidRPr="00C36A30">
        <w:rPr>
          <w:sz w:val="22"/>
          <w:szCs w:val="22"/>
        </w:rPr>
        <w:t xml:space="preserve"> (PE</w:t>
      </w:r>
      <w:r w:rsidR="00C36A30">
        <w:rPr>
          <w:sz w:val="22"/>
          <w:szCs w:val="22"/>
        </w:rPr>
        <w:t> :</w:t>
      </w:r>
      <w:r w:rsidRPr="00C36A30">
        <w:rPr>
          <w:sz w:val="22"/>
          <w:szCs w:val="22"/>
        </w:rPr>
        <w:t xml:space="preserve"> B</w:t>
      </w:r>
      <w:r w:rsidR="00866A7B">
        <w:rPr>
          <w:sz w:val="22"/>
          <w:szCs w:val="22"/>
        </w:rPr>
        <w:t>6</w:t>
      </w:r>
      <w:r w:rsidRPr="00C36A30">
        <w:rPr>
          <w:sz w:val="22"/>
          <w:szCs w:val="22"/>
        </w:rPr>
        <w:t>- 0212/04)</w:t>
      </w:r>
    </w:p>
    <w:p w:rsidR="008873A7" w:rsidRPr="00C36A30" w:rsidRDefault="008873A7" w:rsidP="008873A7">
      <w:pPr>
        <w:spacing w:after="0"/>
        <w:rPr>
          <w:sz w:val="22"/>
          <w:szCs w:val="22"/>
        </w:rPr>
      </w:pPr>
      <w:r w:rsidRPr="00C36A30">
        <w:rPr>
          <w:sz w:val="22"/>
          <w:szCs w:val="22"/>
        </w:rPr>
        <w:t>Procès</w:t>
      </w:r>
      <w:r w:rsidR="003464BF" w:rsidRPr="00C36A30">
        <w:rPr>
          <w:sz w:val="22"/>
          <w:szCs w:val="22"/>
        </w:rPr>
        <w:t>-</w:t>
      </w:r>
      <w:r w:rsidRPr="00C36A30">
        <w:rPr>
          <w:sz w:val="22"/>
          <w:szCs w:val="22"/>
        </w:rPr>
        <w:t xml:space="preserve">verbal, </w:t>
      </w:r>
      <w:r w:rsidR="003464BF" w:rsidRPr="00C36A30">
        <w:rPr>
          <w:sz w:val="22"/>
          <w:szCs w:val="22"/>
        </w:rPr>
        <w:t>2</w:t>
      </w:r>
      <w:r w:rsidR="003464BF" w:rsidRPr="00C36A30">
        <w:rPr>
          <w:sz w:val="22"/>
          <w:szCs w:val="22"/>
          <w:vertAlign w:val="superscript"/>
        </w:rPr>
        <w:t>e</w:t>
      </w:r>
      <w:r w:rsidR="0084284B" w:rsidRPr="00C36A30">
        <w:rPr>
          <w:sz w:val="22"/>
          <w:szCs w:val="22"/>
        </w:rPr>
        <w:t xml:space="preserve"> </w:t>
      </w:r>
      <w:r w:rsidRPr="00C36A30">
        <w:rPr>
          <w:sz w:val="22"/>
          <w:szCs w:val="22"/>
        </w:rPr>
        <w:t>partie, du 16</w:t>
      </w:r>
      <w:r w:rsidR="0084284B" w:rsidRPr="00C36A30">
        <w:rPr>
          <w:sz w:val="22"/>
          <w:szCs w:val="22"/>
        </w:rPr>
        <w:t xml:space="preserve"> décembre </w:t>
      </w:r>
      <w:r w:rsidRPr="00C36A30">
        <w:rPr>
          <w:sz w:val="22"/>
          <w:szCs w:val="22"/>
        </w:rPr>
        <w:t>2004</w:t>
      </w:r>
    </w:p>
    <w:p w:rsidR="008873A7" w:rsidRPr="00C36A30" w:rsidRDefault="008873A7" w:rsidP="008873A7">
      <w:pPr>
        <w:spacing w:after="0"/>
        <w:rPr>
          <w:sz w:val="22"/>
          <w:szCs w:val="22"/>
        </w:rPr>
      </w:pPr>
      <w:r w:rsidRPr="00C36A30">
        <w:rPr>
          <w:sz w:val="22"/>
          <w:szCs w:val="22"/>
        </w:rPr>
        <w:t>Compétence</w:t>
      </w:r>
      <w:r w:rsidR="00C36A30">
        <w:rPr>
          <w:sz w:val="22"/>
          <w:szCs w:val="22"/>
        </w:rPr>
        <w:t> :</w:t>
      </w:r>
      <w:r w:rsidRPr="00C36A30">
        <w:rPr>
          <w:sz w:val="22"/>
          <w:szCs w:val="22"/>
        </w:rPr>
        <w:tab/>
        <w:t>Louis MICHEL</w:t>
      </w:r>
    </w:p>
    <w:p w:rsidR="008873A7" w:rsidRPr="00C36A30" w:rsidRDefault="008873A7" w:rsidP="008873A7">
      <w:pPr>
        <w:spacing w:after="0"/>
        <w:rPr>
          <w:sz w:val="22"/>
          <w:szCs w:val="22"/>
        </w:rPr>
      </w:pPr>
      <w:r w:rsidRPr="00C36A30">
        <w:rPr>
          <w:sz w:val="22"/>
          <w:szCs w:val="22"/>
        </w:rPr>
        <w:tab/>
      </w:r>
      <w:r w:rsidRPr="00C36A30">
        <w:rPr>
          <w:sz w:val="22"/>
          <w:szCs w:val="22"/>
        </w:rPr>
        <w:tab/>
      </w:r>
      <w:r w:rsidR="006A3725" w:rsidRPr="00C36A30">
        <w:rPr>
          <w:sz w:val="22"/>
          <w:szCs w:val="22"/>
        </w:rPr>
        <w:t xml:space="preserve">DG </w:t>
      </w:r>
      <w:r w:rsidRPr="00C36A30">
        <w:rPr>
          <w:sz w:val="22"/>
          <w:szCs w:val="22"/>
        </w:rPr>
        <w:t>Développemen</w:t>
      </w:r>
      <w:r w:rsidR="003464BF" w:rsidRPr="00C36A30">
        <w:rPr>
          <w:sz w:val="22"/>
          <w:szCs w:val="22"/>
        </w:rPr>
        <w:t>t</w:t>
      </w:r>
    </w:p>
    <w:p w:rsidR="008873A7" w:rsidRPr="00C36A30" w:rsidRDefault="008873A7" w:rsidP="008873A7">
      <w:pPr>
        <w:spacing w:after="0"/>
        <w:rPr>
          <w:sz w:val="22"/>
          <w:szCs w:val="22"/>
        </w:rPr>
      </w:pPr>
      <w:r w:rsidRPr="00C36A30">
        <w:rPr>
          <w:b/>
          <w:bCs/>
          <w:sz w:val="22"/>
          <w:szCs w:val="22"/>
          <w:u w:val="single"/>
        </w:rPr>
        <w:t>Justification</w:t>
      </w:r>
      <w:r w:rsidR="00C36A30" w:rsidRPr="00C36A30">
        <w:rPr>
          <w:b/>
          <w:bCs/>
          <w:sz w:val="22"/>
          <w:szCs w:val="22"/>
        </w:rPr>
        <w:t> :</w:t>
      </w:r>
      <w:r w:rsidRPr="00C36A30">
        <w:rPr>
          <w:sz w:val="22"/>
          <w:szCs w:val="22"/>
        </w:rPr>
        <w:tab/>
        <w:t xml:space="preserve">La Commission ne donnera pas suite sous forme de fiche </w:t>
      </w:r>
      <w:r w:rsidR="00711F9B">
        <w:rPr>
          <w:sz w:val="22"/>
          <w:szCs w:val="22"/>
        </w:rPr>
        <w:t xml:space="preserve">étant donné que </w:t>
      </w:r>
      <w:r w:rsidR="003464BF" w:rsidRPr="00C36A30">
        <w:rPr>
          <w:sz w:val="22"/>
          <w:szCs w:val="22"/>
        </w:rPr>
        <w:t>l</w:t>
      </w:r>
      <w:r w:rsidR="00CA31C6">
        <w:rPr>
          <w:sz w:val="22"/>
          <w:szCs w:val="22"/>
        </w:rPr>
        <w:t>e</w:t>
      </w:r>
      <w:r w:rsidRPr="00C36A30">
        <w:rPr>
          <w:sz w:val="22"/>
          <w:szCs w:val="22"/>
        </w:rPr>
        <w:t xml:space="preserve"> </w:t>
      </w:r>
      <w:r w:rsidR="00CA31C6">
        <w:rPr>
          <w:sz w:val="22"/>
          <w:szCs w:val="22"/>
        </w:rPr>
        <w:t>C</w:t>
      </w:r>
      <w:r w:rsidRPr="00C36A30">
        <w:rPr>
          <w:sz w:val="22"/>
          <w:szCs w:val="22"/>
        </w:rPr>
        <w:t>ommissaire</w:t>
      </w:r>
      <w:r w:rsidR="003464BF" w:rsidRPr="00C36A30">
        <w:rPr>
          <w:sz w:val="22"/>
          <w:szCs w:val="22"/>
        </w:rPr>
        <w:t xml:space="preserve">, </w:t>
      </w:r>
      <w:r w:rsidRPr="00C36A30">
        <w:rPr>
          <w:sz w:val="22"/>
          <w:szCs w:val="22"/>
        </w:rPr>
        <w:t>M</w:t>
      </w:r>
      <w:r w:rsidRPr="00C36A30">
        <w:rPr>
          <w:sz w:val="22"/>
          <w:szCs w:val="22"/>
          <w:vertAlign w:val="superscript"/>
        </w:rPr>
        <w:t>me</w:t>
      </w:r>
      <w:r w:rsidR="0084284B" w:rsidRPr="00C36A30">
        <w:rPr>
          <w:sz w:val="22"/>
          <w:szCs w:val="22"/>
        </w:rPr>
        <w:t> </w:t>
      </w:r>
      <w:r w:rsidRPr="00C36A30">
        <w:rPr>
          <w:sz w:val="22"/>
          <w:szCs w:val="22"/>
        </w:rPr>
        <w:t>Grybauskaité</w:t>
      </w:r>
      <w:r w:rsidR="003464BF" w:rsidRPr="00C36A30">
        <w:rPr>
          <w:sz w:val="22"/>
          <w:szCs w:val="22"/>
        </w:rPr>
        <w:t>,</w:t>
      </w:r>
      <w:r w:rsidRPr="00C36A30">
        <w:rPr>
          <w:sz w:val="22"/>
          <w:szCs w:val="22"/>
        </w:rPr>
        <w:t xml:space="preserve"> a déjà répondu en plénière aux demandes contenues dans la résolution.</w:t>
      </w:r>
    </w:p>
    <w:p w:rsidR="008873A7" w:rsidRPr="00C36A30" w:rsidRDefault="008873A7" w:rsidP="008873A7">
      <w:pPr>
        <w:spacing w:after="0"/>
        <w:rPr>
          <w:sz w:val="22"/>
          <w:szCs w:val="22"/>
        </w:rPr>
      </w:pPr>
    </w:p>
    <w:p w:rsidR="008873A7" w:rsidRPr="00C36A30" w:rsidRDefault="008873A7" w:rsidP="008873A7">
      <w:pPr>
        <w:spacing w:after="0"/>
        <w:rPr>
          <w:sz w:val="22"/>
          <w:szCs w:val="22"/>
        </w:rPr>
      </w:pPr>
    </w:p>
    <w:p w:rsidR="008873A7" w:rsidRPr="00C36A30" w:rsidRDefault="008873A7" w:rsidP="008873A7">
      <w:pPr>
        <w:spacing w:after="0"/>
        <w:rPr>
          <w:sz w:val="22"/>
          <w:szCs w:val="22"/>
        </w:rPr>
      </w:pPr>
      <w:r w:rsidRPr="00C36A30">
        <w:rPr>
          <w:sz w:val="22"/>
          <w:szCs w:val="22"/>
        </w:rPr>
        <w:t>-</w:t>
      </w:r>
      <w:r w:rsidRPr="00C36A30">
        <w:rPr>
          <w:sz w:val="22"/>
          <w:szCs w:val="22"/>
        </w:rPr>
        <w:tab/>
        <w:t>Résolution du Parlement européen sur Bhopal</w:t>
      </w:r>
    </w:p>
    <w:p w:rsidR="008873A7" w:rsidRPr="00C36A30" w:rsidRDefault="008873A7" w:rsidP="008873A7">
      <w:pPr>
        <w:spacing w:after="0"/>
        <w:rPr>
          <w:sz w:val="22"/>
          <w:szCs w:val="22"/>
        </w:rPr>
      </w:pPr>
      <w:r w:rsidRPr="00C36A30">
        <w:rPr>
          <w:sz w:val="22"/>
          <w:szCs w:val="22"/>
        </w:rPr>
        <w:t xml:space="preserve"> (PE</w:t>
      </w:r>
      <w:r w:rsidR="00C36A30">
        <w:rPr>
          <w:sz w:val="22"/>
          <w:szCs w:val="22"/>
        </w:rPr>
        <w:t> :</w:t>
      </w:r>
      <w:r w:rsidRPr="00C36A30">
        <w:rPr>
          <w:sz w:val="22"/>
          <w:szCs w:val="22"/>
        </w:rPr>
        <w:t xml:space="preserve"> B</w:t>
      </w:r>
      <w:r w:rsidR="00866A7B">
        <w:rPr>
          <w:sz w:val="22"/>
          <w:szCs w:val="22"/>
        </w:rPr>
        <w:t>6</w:t>
      </w:r>
      <w:r w:rsidRPr="00C36A30">
        <w:rPr>
          <w:sz w:val="22"/>
          <w:szCs w:val="22"/>
        </w:rPr>
        <w:t>- 0216/04)</w:t>
      </w:r>
    </w:p>
    <w:p w:rsidR="008873A7" w:rsidRPr="00C36A30" w:rsidRDefault="008873A7" w:rsidP="008873A7">
      <w:pPr>
        <w:spacing w:after="0"/>
        <w:rPr>
          <w:sz w:val="22"/>
          <w:szCs w:val="22"/>
        </w:rPr>
      </w:pPr>
      <w:r w:rsidRPr="00C36A30">
        <w:rPr>
          <w:sz w:val="22"/>
          <w:szCs w:val="22"/>
        </w:rPr>
        <w:t>Procès</w:t>
      </w:r>
      <w:r w:rsidR="003464BF" w:rsidRPr="00C36A30">
        <w:rPr>
          <w:sz w:val="22"/>
          <w:szCs w:val="22"/>
        </w:rPr>
        <w:t>-verbal, 2</w:t>
      </w:r>
      <w:r w:rsidR="003464BF" w:rsidRPr="00C36A30">
        <w:rPr>
          <w:sz w:val="22"/>
          <w:szCs w:val="22"/>
          <w:vertAlign w:val="superscript"/>
        </w:rPr>
        <w:t>e</w:t>
      </w:r>
      <w:r w:rsidR="0084284B" w:rsidRPr="00C36A30">
        <w:rPr>
          <w:sz w:val="22"/>
          <w:szCs w:val="22"/>
        </w:rPr>
        <w:t xml:space="preserve"> </w:t>
      </w:r>
      <w:r w:rsidRPr="00C36A30">
        <w:rPr>
          <w:sz w:val="22"/>
          <w:szCs w:val="22"/>
        </w:rPr>
        <w:t>partie, du 16</w:t>
      </w:r>
      <w:r w:rsidR="0084284B" w:rsidRPr="00C36A30">
        <w:rPr>
          <w:sz w:val="22"/>
          <w:szCs w:val="22"/>
        </w:rPr>
        <w:t xml:space="preserve"> décembre </w:t>
      </w:r>
      <w:r w:rsidRPr="00C36A30">
        <w:rPr>
          <w:sz w:val="22"/>
          <w:szCs w:val="22"/>
        </w:rPr>
        <w:t>2004</w:t>
      </w:r>
    </w:p>
    <w:p w:rsidR="008873A7" w:rsidRPr="00C36A30" w:rsidRDefault="008873A7" w:rsidP="008873A7">
      <w:pPr>
        <w:spacing w:after="0"/>
        <w:rPr>
          <w:sz w:val="22"/>
          <w:szCs w:val="22"/>
        </w:rPr>
      </w:pPr>
      <w:r w:rsidRPr="00C36A30">
        <w:rPr>
          <w:sz w:val="22"/>
          <w:szCs w:val="22"/>
        </w:rPr>
        <w:t>Compétence</w:t>
      </w:r>
      <w:r w:rsidR="00C36A30">
        <w:rPr>
          <w:sz w:val="22"/>
          <w:szCs w:val="22"/>
        </w:rPr>
        <w:t> :</w:t>
      </w:r>
      <w:r w:rsidRPr="00C36A30">
        <w:rPr>
          <w:sz w:val="22"/>
          <w:szCs w:val="22"/>
        </w:rPr>
        <w:tab/>
        <w:t>Benita FERRERO-WALDNER</w:t>
      </w:r>
    </w:p>
    <w:p w:rsidR="008873A7" w:rsidRPr="00C36A30" w:rsidRDefault="008873A7" w:rsidP="008873A7">
      <w:pPr>
        <w:spacing w:after="0"/>
        <w:rPr>
          <w:sz w:val="22"/>
          <w:szCs w:val="22"/>
        </w:rPr>
      </w:pPr>
      <w:r w:rsidRPr="00C36A30">
        <w:rPr>
          <w:sz w:val="22"/>
          <w:szCs w:val="22"/>
        </w:rPr>
        <w:tab/>
      </w:r>
      <w:r w:rsidRPr="00C36A30">
        <w:rPr>
          <w:sz w:val="22"/>
          <w:szCs w:val="22"/>
        </w:rPr>
        <w:tab/>
      </w:r>
      <w:r w:rsidR="003464BF" w:rsidRPr="00C36A30">
        <w:rPr>
          <w:sz w:val="22"/>
          <w:szCs w:val="22"/>
        </w:rPr>
        <w:t xml:space="preserve">DG </w:t>
      </w:r>
      <w:r w:rsidRPr="00C36A30">
        <w:rPr>
          <w:sz w:val="22"/>
          <w:szCs w:val="22"/>
        </w:rPr>
        <w:t>Relations extérieures</w:t>
      </w:r>
    </w:p>
    <w:p w:rsidR="008873A7" w:rsidRPr="00C36A30" w:rsidRDefault="008873A7" w:rsidP="008873A7">
      <w:pPr>
        <w:spacing w:after="0"/>
        <w:rPr>
          <w:sz w:val="22"/>
          <w:szCs w:val="22"/>
        </w:rPr>
      </w:pPr>
      <w:r w:rsidRPr="00C36A30">
        <w:rPr>
          <w:b/>
          <w:bCs/>
          <w:sz w:val="22"/>
          <w:szCs w:val="22"/>
          <w:u w:val="single"/>
        </w:rPr>
        <w:t>Justification</w:t>
      </w:r>
      <w:r w:rsidR="00C36A30" w:rsidRPr="00C36A30">
        <w:rPr>
          <w:b/>
          <w:sz w:val="22"/>
          <w:szCs w:val="22"/>
        </w:rPr>
        <w:t> :</w:t>
      </w:r>
      <w:r w:rsidRPr="00C36A30">
        <w:rPr>
          <w:sz w:val="22"/>
          <w:szCs w:val="22"/>
        </w:rPr>
        <w:tab/>
        <w:t xml:space="preserve">La Commission ne donnera pas suite sous forme de fiche </w:t>
      </w:r>
      <w:r w:rsidR="00711F9B">
        <w:rPr>
          <w:sz w:val="22"/>
          <w:szCs w:val="22"/>
        </w:rPr>
        <w:t>étant donné que</w:t>
      </w:r>
      <w:r w:rsidR="003464BF" w:rsidRPr="00C36A30">
        <w:rPr>
          <w:sz w:val="22"/>
          <w:szCs w:val="22"/>
        </w:rPr>
        <w:t xml:space="preserve"> l</w:t>
      </w:r>
      <w:r w:rsidR="00CA31C6">
        <w:rPr>
          <w:sz w:val="22"/>
          <w:szCs w:val="22"/>
        </w:rPr>
        <w:t>e</w:t>
      </w:r>
      <w:r w:rsidR="003464BF" w:rsidRPr="00C36A30">
        <w:rPr>
          <w:sz w:val="22"/>
          <w:szCs w:val="22"/>
        </w:rPr>
        <w:t xml:space="preserve"> </w:t>
      </w:r>
      <w:r w:rsidR="00CA31C6">
        <w:rPr>
          <w:sz w:val="22"/>
          <w:szCs w:val="22"/>
        </w:rPr>
        <w:t>C</w:t>
      </w:r>
      <w:r w:rsidRPr="00C36A30">
        <w:rPr>
          <w:sz w:val="22"/>
          <w:szCs w:val="22"/>
        </w:rPr>
        <w:t>ommissaire</w:t>
      </w:r>
      <w:r w:rsidR="003464BF" w:rsidRPr="00C36A30">
        <w:rPr>
          <w:sz w:val="22"/>
          <w:szCs w:val="22"/>
        </w:rPr>
        <w:t xml:space="preserve">, </w:t>
      </w:r>
      <w:r w:rsidRPr="00C36A30">
        <w:rPr>
          <w:sz w:val="22"/>
          <w:szCs w:val="22"/>
        </w:rPr>
        <w:t>M</w:t>
      </w:r>
      <w:r w:rsidRPr="00C36A30">
        <w:rPr>
          <w:sz w:val="22"/>
          <w:szCs w:val="22"/>
          <w:vertAlign w:val="superscript"/>
        </w:rPr>
        <w:t>me</w:t>
      </w:r>
      <w:r w:rsidR="0084284B" w:rsidRPr="00C36A30">
        <w:rPr>
          <w:sz w:val="22"/>
          <w:szCs w:val="22"/>
        </w:rPr>
        <w:t> </w:t>
      </w:r>
      <w:r w:rsidRPr="00C36A30">
        <w:rPr>
          <w:sz w:val="22"/>
          <w:szCs w:val="22"/>
        </w:rPr>
        <w:t>Grybauskaité</w:t>
      </w:r>
      <w:r w:rsidR="003464BF" w:rsidRPr="00C36A30">
        <w:rPr>
          <w:sz w:val="22"/>
          <w:szCs w:val="22"/>
        </w:rPr>
        <w:t>,</w:t>
      </w:r>
      <w:r w:rsidRPr="00C36A30">
        <w:rPr>
          <w:sz w:val="22"/>
          <w:szCs w:val="22"/>
        </w:rPr>
        <w:t xml:space="preserve"> a déjà répondu en plénière aux demandes contenues dans la résolution.</w:t>
      </w:r>
    </w:p>
    <w:p w:rsidR="008873A7" w:rsidRPr="00C36A30" w:rsidRDefault="008873A7" w:rsidP="008873A7">
      <w:pPr>
        <w:spacing w:after="0"/>
        <w:rPr>
          <w:sz w:val="22"/>
          <w:szCs w:val="22"/>
        </w:rPr>
      </w:pPr>
    </w:p>
    <w:p w:rsidR="008873A7" w:rsidRPr="00C36A30" w:rsidRDefault="008873A7" w:rsidP="008873A7">
      <w:pPr>
        <w:spacing w:after="0"/>
        <w:rPr>
          <w:sz w:val="22"/>
          <w:szCs w:val="22"/>
        </w:rPr>
      </w:pPr>
    </w:p>
    <w:p w:rsidR="008873A7" w:rsidRPr="00C36A30" w:rsidRDefault="008873A7" w:rsidP="008873A7">
      <w:pPr>
        <w:spacing w:after="0"/>
        <w:rPr>
          <w:sz w:val="22"/>
          <w:szCs w:val="22"/>
        </w:rPr>
      </w:pPr>
      <w:r w:rsidRPr="00C36A30">
        <w:rPr>
          <w:sz w:val="22"/>
          <w:szCs w:val="22"/>
        </w:rPr>
        <w:t>-</w:t>
      </w:r>
      <w:r w:rsidRPr="00C36A30">
        <w:rPr>
          <w:sz w:val="22"/>
          <w:szCs w:val="22"/>
        </w:rPr>
        <w:tab/>
        <w:t>Résolution du Parlement européen sur le sommet UE</w:t>
      </w:r>
      <w:r w:rsidR="003464BF" w:rsidRPr="00C36A30">
        <w:rPr>
          <w:sz w:val="22"/>
          <w:szCs w:val="22"/>
        </w:rPr>
        <w:t>-</w:t>
      </w:r>
      <w:r w:rsidRPr="00C36A30">
        <w:rPr>
          <w:sz w:val="22"/>
          <w:szCs w:val="22"/>
        </w:rPr>
        <w:t>Russi</w:t>
      </w:r>
      <w:r w:rsidR="003464BF" w:rsidRPr="00C36A30">
        <w:rPr>
          <w:sz w:val="22"/>
          <w:szCs w:val="22"/>
        </w:rPr>
        <w:t>e tenu à La</w:t>
      </w:r>
      <w:r w:rsidR="0084284B" w:rsidRPr="00C36A30">
        <w:rPr>
          <w:sz w:val="22"/>
          <w:szCs w:val="22"/>
        </w:rPr>
        <w:t> </w:t>
      </w:r>
      <w:r w:rsidR="003464BF" w:rsidRPr="00C36A30">
        <w:rPr>
          <w:sz w:val="22"/>
          <w:szCs w:val="22"/>
        </w:rPr>
        <w:t>Haye le 25</w:t>
      </w:r>
      <w:r w:rsidR="006A3725" w:rsidRPr="00C36A30">
        <w:rPr>
          <w:sz w:val="22"/>
          <w:szCs w:val="22"/>
        </w:rPr>
        <w:t> novembre </w:t>
      </w:r>
      <w:r w:rsidRPr="00C36A30">
        <w:rPr>
          <w:sz w:val="22"/>
          <w:szCs w:val="22"/>
        </w:rPr>
        <w:t>2004</w:t>
      </w:r>
    </w:p>
    <w:p w:rsidR="008873A7" w:rsidRPr="00C36A30" w:rsidRDefault="008873A7" w:rsidP="008873A7">
      <w:pPr>
        <w:spacing w:after="0"/>
        <w:rPr>
          <w:sz w:val="22"/>
          <w:szCs w:val="22"/>
        </w:rPr>
      </w:pPr>
      <w:r w:rsidRPr="00C36A30">
        <w:rPr>
          <w:sz w:val="22"/>
          <w:szCs w:val="22"/>
        </w:rPr>
        <w:t xml:space="preserve"> (PE</w:t>
      </w:r>
      <w:r w:rsidR="00C36A30">
        <w:rPr>
          <w:sz w:val="22"/>
          <w:szCs w:val="22"/>
        </w:rPr>
        <w:t> :</w:t>
      </w:r>
      <w:r w:rsidRPr="00C36A30">
        <w:rPr>
          <w:sz w:val="22"/>
          <w:szCs w:val="22"/>
        </w:rPr>
        <w:t xml:space="preserve"> B</w:t>
      </w:r>
      <w:r w:rsidR="00866A7B">
        <w:rPr>
          <w:sz w:val="22"/>
          <w:szCs w:val="22"/>
        </w:rPr>
        <w:t>6</w:t>
      </w:r>
      <w:r w:rsidRPr="00C36A30">
        <w:rPr>
          <w:sz w:val="22"/>
          <w:szCs w:val="22"/>
        </w:rPr>
        <w:t>- 0197/04)</w:t>
      </w:r>
    </w:p>
    <w:p w:rsidR="008873A7" w:rsidRPr="00C36A30" w:rsidRDefault="008873A7" w:rsidP="008873A7">
      <w:pPr>
        <w:spacing w:after="0"/>
        <w:rPr>
          <w:sz w:val="22"/>
          <w:szCs w:val="22"/>
        </w:rPr>
      </w:pPr>
      <w:r w:rsidRPr="00C36A30">
        <w:rPr>
          <w:sz w:val="22"/>
          <w:szCs w:val="22"/>
        </w:rPr>
        <w:t>Procès</w:t>
      </w:r>
      <w:r w:rsidR="003464BF" w:rsidRPr="00C36A30">
        <w:rPr>
          <w:sz w:val="22"/>
          <w:szCs w:val="22"/>
        </w:rPr>
        <w:t>-verbal, 2</w:t>
      </w:r>
      <w:r w:rsidR="003464BF" w:rsidRPr="00C36A30">
        <w:rPr>
          <w:sz w:val="22"/>
          <w:szCs w:val="22"/>
          <w:vertAlign w:val="superscript"/>
        </w:rPr>
        <w:t>e</w:t>
      </w:r>
      <w:r w:rsidRPr="00C36A30">
        <w:rPr>
          <w:sz w:val="22"/>
          <w:szCs w:val="22"/>
        </w:rPr>
        <w:t xml:space="preserve"> partie, du 15</w:t>
      </w:r>
      <w:r w:rsidR="0084284B" w:rsidRPr="00C36A30">
        <w:rPr>
          <w:sz w:val="22"/>
          <w:szCs w:val="22"/>
        </w:rPr>
        <w:t xml:space="preserve"> décembre </w:t>
      </w:r>
      <w:r w:rsidRPr="00C36A30">
        <w:rPr>
          <w:sz w:val="22"/>
          <w:szCs w:val="22"/>
        </w:rPr>
        <w:t>2004</w:t>
      </w:r>
    </w:p>
    <w:p w:rsidR="008873A7" w:rsidRPr="00C36A30" w:rsidRDefault="008873A7" w:rsidP="008873A7">
      <w:pPr>
        <w:spacing w:after="0"/>
        <w:rPr>
          <w:sz w:val="22"/>
          <w:szCs w:val="22"/>
        </w:rPr>
      </w:pPr>
      <w:r w:rsidRPr="00C36A30">
        <w:rPr>
          <w:sz w:val="22"/>
          <w:szCs w:val="22"/>
        </w:rPr>
        <w:t>Compétence</w:t>
      </w:r>
      <w:r w:rsidR="00C36A30">
        <w:rPr>
          <w:sz w:val="22"/>
          <w:szCs w:val="22"/>
        </w:rPr>
        <w:t> :</w:t>
      </w:r>
      <w:r w:rsidRPr="00C36A30">
        <w:rPr>
          <w:sz w:val="22"/>
          <w:szCs w:val="22"/>
        </w:rPr>
        <w:tab/>
        <w:t>Benita FERRERO-WALDNER</w:t>
      </w:r>
    </w:p>
    <w:p w:rsidR="008873A7" w:rsidRPr="00C36A30" w:rsidRDefault="008873A7" w:rsidP="008873A7">
      <w:pPr>
        <w:spacing w:after="0"/>
        <w:rPr>
          <w:sz w:val="20"/>
        </w:rPr>
      </w:pPr>
      <w:r w:rsidRPr="00C36A30">
        <w:rPr>
          <w:sz w:val="22"/>
          <w:szCs w:val="22"/>
        </w:rPr>
        <w:tab/>
      </w:r>
      <w:r w:rsidRPr="00C36A30">
        <w:rPr>
          <w:sz w:val="22"/>
          <w:szCs w:val="22"/>
        </w:rPr>
        <w:tab/>
      </w:r>
      <w:r w:rsidR="003464BF" w:rsidRPr="00C36A30">
        <w:rPr>
          <w:sz w:val="22"/>
          <w:szCs w:val="22"/>
        </w:rPr>
        <w:t xml:space="preserve">DG </w:t>
      </w:r>
      <w:r w:rsidRPr="00C36A30">
        <w:rPr>
          <w:sz w:val="22"/>
          <w:szCs w:val="22"/>
        </w:rPr>
        <w:t>Relations extérieures</w:t>
      </w:r>
    </w:p>
    <w:p w:rsidR="008873A7" w:rsidRPr="00C36A30" w:rsidRDefault="008873A7" w:rsidP="008873A7">
      <w:pPr>
        <w:spacing w:after="0"/>
        <w:rPr>
          <w:sz w:val="22"/>
          <w:szCs w:val="22"/>
        </w:rPr>
      </w:pPr>
      <w:r w:rsidRPr="00C36A30">
        <w:rPr>
          <w:b/>
          <w:bCs/>
          <w:sz w:val="22"/>
          <w:szCs w:val="22"/>
          <w:u w:val="single"/>
        </w:rPr>
        <w:t>Justification</w:t>
      </w:r>
      <w:r w:rsidR="00C36A30" w:rsidRPr="00C36A30">
        <w:rPr>
          <w:b/>
          <w:sz w:val="22"/>
          <w:szCs w:val="22"/>
        </w:rPr>
        <w:t> :</w:t>
      </w:r>
      <w:r w:rsidRPr="00C36A30">
        <w:rPr>
          <w:sz w:val="22"/>
          <w:szCs w:val="22"/>
        </w:rPr>
        <w:tab/>
        <w:t>La Commission ne donnera pas suite sous for</w:t>
      </w:r>
      <w:r w:rsidR="003464BF" w:rsidRPr="00C36A30">
        <w:rPr>
          <w:sz w:val="22"/>
          <w:szCs w:val="22"/>
        </w:rPr>
        <w:t xml:space="preserve">me de fiche étant donné que le </w:t>
      </w:r>
      <w:r w:rsidR="00CA31C6">
        <w:rPr>
          <w:sz w:val="22"/>
          <w:szCs w:val="22"/>
        </w:rPr>
        <w:t>C</w:t>
      </w:r>
      <w:r w:rsidRPr="00C36A30">
        <w:rPr>
          <w:sz w:val="22"/>
          <w:szCs w:val="22"/>
        </w:rPr>
        <w:t>ommissaire</w:t>
      </w:r>
      <w:r w:rsidR="003464BF" w:rsidRPr="00C36A30">
        <w:rPr>
          <w:sz w:val="22"/>
          <w:szCs w:val="22"/>
        </w:rPr>
        <w:t>,</w:t>
      </w:r>
      <w:r w:rsidRPr="00C36A30">
        <w:rPr>
          <w:sz w:val="22"/>
          <w:szCs w:val="22"/>
        </w:rPr>
        <w:t xml:space="preserve"> M</w:t>
      </w:r>
      <w:r w:rsidRPr="00C36A30">
        <w:rPr>
          <w:sz w:val="22"/>
          <w:szCs w:val="22"/>
          <w:vertAlign w:val="superscript"/>
        </w:rPr>
        <w:t>me</w:t>
      </w:r>
      <w:r w:rsidR="0084284B" w:rsidRPr="00C36A30">
        <w:rPr>
          <w:sz w:val="22"/>
          <w:szCs w:val="22"/>
        </w:rPr>
        <w:t> </w:t>
      </w:r>
      <w:r w:rsidRPr="00C36A30">
        <w:rPr>
          <w:sz w:val="22"/>
          <w:szCs w:val="22"/>
        </w:rPr>
        <w:t>Ferrero-Waldner</w:t>
      </w:r>
      <w:r w:rsidR="003464BF" w:rsidRPr="00C36A30">
        <w:rPr>
          <w:sz w:val="22"/>
          <w:szCs w:val="22"/>
        </w:rPr>
        <w:t>,</w:t>
      </w:r>
      <w:r w:rsidRPr="00C36A30">
        <w:rPr>
          <w:sz w:val="22"/>
          <w:szCs w:val="22"/>
        </w:rPr>
        <w:t xml:space="preserve"> a déjà répondu en plénière aux demandes contenues dans la résolution.</w:t>
      </w:r>
    </w:p>
    <w:p w:rsidR="008873A7" w:rsidRPr="00C36A30" w:rsidRDefault="008873A7" w:rsidP="008873A7">
      <w:pPr>
        <w:spacing w:after="0"/>
        <w:rPr>
          <w:sz w:val="22"/>
          <w:szCs w:val="22"/>
        </w:rPr>
      </w:pPr>
    </w:p>
    <w:p w:rsidR="007D37F4" w:rsidRPr="00C36A30" w:rsidRDefault="007D37F4" w:rsidP="00D9628C">
      <w:pPr>
        <w:pStyle w:val="Initial"/>
        <w:tabs>
          <w:tab w:val="clear" w:pos="-720"/>
        </w:tabs>
        <w:spacing w:after="240"/>
        <w:jc w:val="left"/>
        <w:rPr>
          <w:rStyle w:val="DefaultMargins"/>
          <w:rFonts w:ascii="Arial" w:hAnsi="Arial"/>
          <w:spacing w:val="-2"/>
          <w:lang w:val="fr-FR"/>
        </w:rPr>
      </w:pPr>
    </w:p>
    <w:p w:rsidR="0063420F" w:rsidRPr="00C36A30" w:rsidRDefault="00F2318D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-----------</w:t>
      </w:r>
    </w:p>
    <w:sectPr w:rsidR="0063420F" w:rsidRPr="00C36A30" w:rsidSect="00206CE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4F34">
      <w:pPr>
        <w:spacing w:after="0"/>
      </w:pPr>
      <w:r>
        <w:separator/>
      </w:r>
    </w:p>
  </w:endnote>
  <w:endnote w:type="continuationSeparator" w:id="0">
    <w:p w:rsidR="00000000" w:rsidRDefault="00954F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3C" w:rsidRDefault="00EA053C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954F3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3C" w:rsidRDefault="00EA053C">
    <w:pPr>
      <w:pStyle w:val="Footer"/>
      <w:rPr>
        <w:sz w:val="24"/>
      </w:rPr>
    </w:pPr>
  </w:p>
  <w:p w:rsidR="00EA053C" w:rsidRDefault="00EA053C">
    <w:pPr>
      <w:pStyle w:val="Footer"/>
    </w:pPr>
    <w:r>
      <w:t>Commission européenne, B-1049 Bruxelles – Belgique, Téléphone : (32-2) 299 11 11.</w:t>
    </w:r>
  </w:p>
  <w:p w:rsidR="00EA053C" w:rsidRDefault="00EA053C">
    <w:pPr>
      <w:pStyle w:val="Footer"/>
    </w:pPr>
    <w:r>
      <w:t xml:space="preserve">Bureau: BERL 7/358, Téléphone: ligne directe (32-2) 295 07 46, Télécopieur: 296 59 57.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4F34">
      <w:pPr>
        <w:spacing w:after="0"/>
      </w:pPr>
      <w:r>
        <w:separator/>
      </w:r>
    </w:p>
  </w:footnote>
  <w:footnote w:type="continuationSeparator" w:id="0">
    <w:p w:rsidR="00000000" w:rsidRDefault="00954F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3C" w:rsidRDefault="00EA053C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 w15:restartNumberingAfterBreak="0">
    <w:nsid w:val="13891F83"/>
    <w:multiLevelType w:val="hybridMultilevel"/>
    <w:tmpl w:val="193A3F20"/>
    <w:lvl w:ilvl="0" w:tplc="8BD62B1C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8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0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993"/>
        </w:tabs>
        <w:ind w:left="993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60FD1F3C"/>
    <w:multiLevelType w:val="hybridMultilevel"/>
    <w:tmpl w:val="F3F46C6A"/>
    <w:lvl w:ilvl="0" w:tplc="40D2097A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5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8"/>
  </w:num>
  <w:num w:numId="10">
    <w:abstractNumId w:val="17"/>
  </w:num>
  <w:num w:numId="11">
    <w:abstractNumId w:val="19"/>
  </w:num>
  <w:num w:numId="12">
    <w:abstractNumId w:val="7"/>
  </w:num>
  <w:num w:numId="13">
    <w:abstractNumId w:val="10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6"/>
  </w:num>
  <w:num w:numId="19">
    <w:abstractNumId w:val="4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T"/>
  </w:docVars>
  <w:rsids>
    <w:rsidRoot w:val="001349AB"/>
    <w:rsid w:val="00003246"/>
    <w:rsid w:val="0000667C"/>
    <w:rsid w:val="00011606"/>
    <w:rsid w:val="00013033"/>
    <w:rsid w:val="00014B1E"/>
    <w:rsid w:val="00015253"/>
    <w:rsid w:val="000220C0"/>
    <w:rsid w:val="0002436D"/>
    <w:rsid w:val="0002480C"/>
    <w:rsid w:val="00027C0D"/>
    <w:rsid w:val="00031F91"/>
    <w:rsid w:val="00032328"/>
    <w:rsid w:val="0005458A"/>
    <w:rsid w:val="00057A61"/>
    <w:rsid w:val="000615D6"/>
    <w:rsid w:val="00075B85"/>
    <w:rsid w:val="0007606A"/>
    <w:rsid w:val="0007618B"/>
    <w:rsid w:val="000824B1"/>
    <w:rsid w:val="00082834"/>
    <w:rsid w:val="00084252"/>
    <w:rsid w:val="00084DA6"/>
    <w:rsid w:val="000851F9"/>
    <w:rsid w:val="000852E0"/>
    <w:rsid w:val="000906D0"/>
    <w:rsid w:val="00093C24"/>
    <w:rsid w:val="00095245"/>
    <w:rsid w:val="000A05CA"/>
    <w:rsid w:val="000A077B"/>
    <w:rsid w:val="000A302C"/>
    <w:rsid w:val="000A778F"/>
    <w:rsid w:val="000B02B4"/>
    <w:rsid w:val="000B3530"/>
    <w:rsid w:val="000B3C53"/>
    <w:rsid w:val="000B51FE"/>
    <w:rsid w:val="000C0530"/>
    <w:rsid w:val="000C1703"/>
    <w:rsid w:val="000C5046"/>
    <w:rsid w:val="000C5DB2"/>
    <w:rsid w:val="000D13A7"/>
    <w:rsid w:val="000D2864"/>
    <w:rsid w:val="000D43D7"/>
    <w:rsid w:val="000D5A77"/>
    <w:rsid w:val="000D5C5C"/>
    <w:rsid w:val="000E1D72"/>
    <w:rsid w:val="000E3AC2"/>
    <w:rsid w:val="000E5696"/>
    <w:rsid w:val="000E718D"/>
    <w:rsid w:val="000F2152"/>
    <w:rsid w:val="000F3185"/>
    <w:rsid w:val="001007C5"/>
    <w:rsid w:val="001022DD"/>
    <w:rsid w:val="001050C6"/>
    <w:rsid w:val="00107E13"/>
    <w:rsid w:val="00107ED1"/>
    <w:rsid w:val="00112673"/>
    <w:rsid w:val="00116919"/>
    <w:rsid w:val="00116AEB"/>
    <w:rsid w:val="00116BA5"/>
    <w:rsid w:val="001207A7"/>
    <w:rsid w:val="00121398"/>
    <w:rsid w:val="0012295B"/>
    <w:rsid w:val="001277A5"/>
    <w:rsid w:val="00132221"/>
    <w:rsid w:val="001324FF"/>
    <w:rsid w:val="001349AB"/>
    <w:rsid w:val="00136AD1"/>
    <w:rsid w:val="0014173C"/>
    <w:rsid w:val="00142430"/>
    <w:rsid w:val="0014269F"/>
    <w:rsid w:val="00142EDF"/>
    <w:rsid w:val="00145833"/>
    <w:rsid w:val="00146EEB"/>
    <w:rsid w:val="0015044B"/>
    <w:rsid w:val="00153009"/>
    <w:rsid w:val="00154C1C"/>
    <w:rsid w:val="00156FAD"/>
    <w:rsid w:val="001618F9"/>
    <w:rsid w:val="00164179"/>
    <w:rsid w:val="001662D7"/>
    <w:rsid w:val="00167044"/>
    <w:rsid w:val="001748C0"/>
    <w:rsid w:val="001754F3"/>
    <w:rsid w:val="00175DFB"/>
    <w:rsid w:val="00175EF9"/>
    <w:rsid w:val="001820A2"/>
    <w:rsid w:val="0019299D"/>
    <w:rsid w:val="0019373F"/>
    <w:rsid w:val="001A6A34"/>
    <w:rsid w:val="001A75CD"/>
    <w:rsid w:val="001B632E"/>
    <w:rsid w:val="001C64BB"/>
    <w:rsid w:val="001D140D"/>
    <w:rsid w:val="001D3C86"/>
    <w:rsid w:val="001D4689"/>
    <w:rsid w:val="001D4BCF"/>
    <w:rsid w:val="001D55E9"/>
    <w:rsid w:val="001D7558"/>
    <w:rsid w:val="001E11C9"/>
    <w:rsid w:val="001E1F96"/>
    <w:rsid w:val="001E3693"/>
    <w:rsid w:val="001E36F5"/>
    <w:rsid w:val="001E3D07"/>
    <w:rsid w:val="001E4A5E"/>
    <w:rsid w:val="001E684C"/>
    <w:rsid w:val="001E7740"/>
    <w:rsid w:val="001F001F"/>
    <w:rsid w:val="001F129E"/>
    <w:rsid w:val="001F1383"/>
    <w:rsid w:val="001F29DE"/>
    <w:rsid w:val="001F351F"/>
    <w:rsid w:val="001F3923"/>
    <w:rsid w:val="001F4CBB"/>
    <w:rsid w:val="001F7346"/>
    <w:rsid w:val="00200C6F"/>
    <w:rsid w:val="00202D6C"/>
    <w:rsid w:val="00205A3B"/>
    <w:rsid w:val="00206CE0"/>
    <w:rsid w:val="002100D7"/>
    <w:rsid w:val="00213823"/>
    <w:rsid w:val="00214AEF"/>
    <w:rsid w:val="00214B28"/>
    <w:rsid w:val="002224A8"/>
    <w:rsid w:val="002225CB"/>
    <w:rsid w:val="00235499"/>
    <w:rsid w:val="00235AF4"/>
    <w:rsid w:val="00237A4F"/>
    <w:rsid w:val="00237CB9"/>
    <w:rsid w:val="00243EC6"/>
    <w:rsid w:val="002524F7"/>
    <w:rsid w:val="002557CF"/>
    <w:rsid w:val="002566F1"/>
    <w:rsid w:val="00274F81"/>
    <w:rsid w:val="002752DC"/>
    <w:rsid w:val="00283FEE"/>
    <w:rsid w:val="002862E0"/>
    <w:rsid w:val="00290435"/>
    <w:rsid w:val="00293BD1"/>
    <w:rsid w:val="00295FEF"/>
    <w:rsid w:val="002A0400"/>
    <w:rsid w:val="002B1AAB"/>
    <w:rsid w:val="002B3E66"/>
    <w:rsid w:val="002B444A"/>
    <w:rsid w:val="002B48CA"/>
    <w:rsid w:val="002C39AF"/>
    <w:rsid w:val="002C49FF"/>
    <w:rsid w:val="002C6D0D"/>
    <w:rsid w:val="002D25DE"/>
    <w:rsid w:val="002D3457"/>
    <w:rsid w:val="002D378E"/>
    <w:rsid w:val="002E5FEB"/>
    <w:rsid w:val="002E719B"/>
    <w:rsid w:val="002F1C67"/>
    <w:rsid w:val="002F407A"/>
    <w:rsid w:val="002F48B6"/>
    <w:rsid w:val="00301619"/>
    <w:rsid w:val="00302786"/>
    <w:rsid w:val="003046BA"/>
    <w:rsid w:val="00311BA5"/>
    <w:rsid w:val="00312857"/>
    <w:rsid w:val="00314013"/>
    <w:rsid w:val="00320D78"/>
    <w:rsid w:val="0032113A"/>
    <w:rsid w:val="003255A2"/>
    <w:rsid w:val="0032746F"/>
    <w:rsid w:val="00331187"/>
    <w:rsid w:val="003343BF"/>
    <w:rsid w:val="003346A2"/>
    <w:rsid w:val="00344180"/>
    <w:rsid w:val="003464BF"/>
    <w:rsid w:val="00347C3D"/>
    <w:rsid w:val="0035454A"/>
    <w:rsid w:val="00356D8C"/>
    <w:rsid w:val="0036572D"/>
    <w:rsid w:val="00365E6D"/>
    <w:rsid w:val="00366A5A"/>
    <w:rsid w:val="00370DF9"/>
    <w:rsid w:val="0037700B"/>
    <w:rsid w:val="0038412B"/>
    <w:rsid w:val="00384FCE"/>
    <w:rsid w:val="00390AA1"/>
    <w:rsid w:val="0039355D"/>
    <w:rsid w:val="003A5F16"/>
    <w:rsid w:val="003A6BCE"/>
    <w:rsid w:val="003B0B1E"/>
    <w:rsid w:val="003B1AD7"/>
    <w:rsid w:val="003B5B81"/>
    <w:rsid w:val="003B5D47"/>
    <w:rsid w:val="003C275D"/>
    <w:rsid w:val="003C41E7"/>
    <w:rsid w:val="003C5C41"/>
    <w:rsid w:val="003C7681"/>
    <w:rsid w:val="003D1339"/>
    <w:rsid w:val="003D210C"/>
    <w:rsid w:val="003D2CBF"/>
    <w:rsid w:val="003D319B"/>
    <w:rsid w:val="003D3ED4"/>
    <w:rsid w:val="003E11BD"/>
    <w:rsid w:val="003E2343"/>
    <w:rsid w:val="003F039C"/>
    <w:rsid w:val="003F2BEB"/>
    <w:rsid w:val="003F384B"/>
    <w:rsid w:val="003F4263"/>
    <w:rsid w:val="003F79CE"/>
    <w:rsid w:val="0040083A"/>
    <w:rsid w:val="00400CB5"/>
    <w:rsid w:val="00403672"/>
    <w:rsid w:val="00406812"/>
    <w:rsid w:val="004122AF"/>
    <w:rsid w:val="00412739"/>
    <w:rsid w:val="00413678"/>
    <w:rsid w:val="00432680"/>
    <w:rsid w:val="00440612"/>
    <w:rsid w:val="004424D2"/>
    <w:rsid w:val="004439E0"/>
    <w:rsid w:val="00443B16"/>
    <w:rsid w:val="0044781C"/>
    <w:rsid w:val="00454101"/>
    <w:rsid w:val="00455A57"/>
    <w:rsid w:val="00457863"/>
    <w:rsid w:val="004705C6"/>
    <w:rsid w:val="00474BA1"/>
    <w:rsid w:val="00476B0A"/>
    <w:rsid w:val="00485544"/>
    <w:rsid w:val="00485FE2"/>
    <w:rsid w:val="00494449"/>
    <w:rsid w:val="00494F03"/>
    <w:rsid w:val="004A0A8E"/>
    <w:rsid w:val="004A58DF"/>
    <w:rsid w:val="004A70B9"/>
    <w:rsid w:val="004B1CD4"/>
    <w:rsid w:val="004B41D6"/>
    <w:rsid w:val="004D19F0"/>
    <w:rsid w:val="004D797A"/>
    <w:rsid w:val="004D7E15"/>
    <w:rsid w:val="004E2260"/>
    <w:rsid w:val="004E631D"/>
    <w:rsid w:val="004F0BE3"/>
    <w:rsid w:val="004F1C83"/>
    <w:rsid w:val="00506AC9"/>
    <w:rsid w:val="00507E3A"/>
    <w:rsid w:val="00507F2D"/>
    <w:rsid w:val="00523C54"/>
    <w:rsid w:val="005265A9"/>
    <w:rsid w:val="00527812"/>
    <w:rsid w:val="0053306B"/>
    <w:rsid w:val="00535554"/>
    <w:rsid w:val="005422BE"/>
    <w:rsid w:val="0054480B"/>
    <w:rsid w:val="00545509"/>
    <w:rsid w:val="00545B84"/>
    <w:rsid w:val="00546E0C"/>
    <w:rsid w:val="00547AE2"/>
    <w:rsid w:val="005504AC"/>
    <w:rsid w:val="00553308"/>
    <w:rsid w:val="00557DE1"/>
    <w:rsid w:val="00565F48"/>
    <w:rsid w:val="00566360"/>
    <w:rsid w:val="00567FB7"/>
    <w:rsid w:val="00574375"/>
    <w:rsid w:val="005768CE"/>
    <w:rsid w:val="005772D4"/>
    <w:rsid w:val="005809D6"/>
    <w:rsid w:val="00580C69"/>
    <w:rsid w:val="005819F9"/>
    <w:rsid w:val="005822CF"/>
    <w:rsid w:val="00582919"/>
    <w:rsid w:val="00586ACF"/>
    <w:rsid w:val="00586C9C"/>
    <w:rsid w:val="00586D98"/>
    <w:rsid w:val="00590DBE"/>
    <w:rsid w:val="00595E96"/>
    <w:rsid w:val="0059662D"/>
    <w:rsid w:val="005A2B3D"/>
    <w:rsid w:val="005A418A"/>
    <w:rsid w:val="005A5ABF"/>
    <w:rsid w:val="005B2B0F"/>
    <w:rsid w:val="005B2B96"/>
    <w:rsid w:val="005B719C"/>
    <w:rsid w:val="005B77DA"/>
    <w:rsid w:val="005C0B71"/>
    <w:rsid w:val="005C0D9C"/>
    <w:rsid w:val="005C11CF"/>
    <w:rsid w:val="005C25E7"/>
    <w:rsid w:val="005C28A9"/>
    <w:rsid w:val="005C3B7A"/>
    <w:rsid w:val="005C6297"/>
    <w:rsid w:val="005C6A7E"/>
    <w:rsid w:val="005C6CA2"/>
    <w:rsid w:val="005C6D15"/>
    <w:rsid w:val="005D7FF5"/>
    <w:rsid w:val="005F30D8"/>
    <w:rsid w:val="005F5937"/>
    <w:rsid w:val="00602BF4"/>
    <w:rsid w:val="00604036"/>
    <w:rsid w:val="0060770B"/>
    <w:rsid w:val="00625D15"/>
    <w:rsid w:val="00626B5D"/>
    <w:rsid w:val="0063420F"/>
    <w:rsid w:val="00635E7C"/>
    <w:rsid w:val="00636CEE"/>
    <w:rsid w:val="00637F49"/>
    <w:rsid w:val="00641627"/>
    <w:rsid w:val="00645AA6"/>
    <w:rsid w:val="00646CDB"/>
    <w:rsid w:val="00646FA4"/>
    <w:rsid w:val="006477F4"/>
    <w:rsid w:val="00651579"/>
    <w:rsid w:val="006524F1"/>
    <w:rsid w:val="00654626"/>
    <w:rsid w:val="006566A3"/>
    <w:rsid w:val="00657E75"/>
    <w:rsid w:val="00675B62"/>
    <w:rsid w:val="006808A0"/>
    <w:rsid w:val="00683C6D"/>
    <w:rsid w:val="0068414B"/>
    <w:rsid w:val="00685330"/>
    <w:rsid w:val="00694FAA"/>
    <w:rsid w:val="00695C86"/>
    <w:rsid w:val="006A3725"/>
    <w:rsid w:val="006B01A2"/>
    <w:rsid w:val="006B1123"/>
    <w:rsid w:val="006B6642"/>
    <w:rsid w:val="006C4B8C"/>
    <w:rsid w:val="006D0546"/>
    <w:rsid w:val="006D088D"/>
    <w:rsid w:val="006D4531"/>
    <w:rsid w:val="006D5D05"/>
    <w:rsid w:val="006D6A96"/>
    <w:rsid w:val="006D7A86"/>
    <w:rsid w:val="006E252C"/>
    <w:rsid w:val="006E5850"/>
    <w:rsid w:val="006F1F98"/>
    <w:rsid w:val="006F5399"/>
    <w:rsid w:val="006F6834"/>
    <w:rsid w:val="006F74F1"/>
    <w:rsid w:val="00701BBD"/>
    <w:rsid w:val="00705F01"/>
    <w:rsid w:val="00706FF2"/>
    <w:rsid w:val="00707E99"/>
    <w:rsid w:val="007102E5"/>
    <w:rsid w:val="00711F9B"/>
    <w:rsid w:val="007162AA"/>
    <w:rsid w:val="00717E22"/>
    <w:rsid w:val="0072434A"/>
    <w:rsid w:val="00730499"/>
    <w:rsid w:val="0073256C"/>
    <w:rsid w:val="00733D97"/>
    <w:rsid w:val="007371C6"/>
    <w:rsid w:val="00737E83"/>
    <w:rsid w:val="00743AD7"/>
    <w:rsid w:val="0074436B"/>
    <w:rsid w:val="00751682"/>
    <w:rsid w:val="00751F13"/>
    <w:rsid w:val="00753D4A"/>
    <w:rsid w:val="0075530D"/>
    <w:rsid w:val="00760F58"/>
    <w:rsid w:val="0076601A"/>
    <w:rsid w:val="00771534"/>
    <w:rsid w:val="007722BC"/>
    <w:rsid w:val="0077331E"/>
    <w:rsid w:val="0077480B"/>
    <w:rsid w:val="007838F7"/>
    <w:rsid w:val="0079166B"/>
    <w:rsid w:val="0079422E"/>
    <w:rsid w:val="0079487F"/>
    <w:rsid w:val="0079696E"/>
    <w:rsid w:val="00796E41"/>
    <w:rsid w:val="00797538"/>
    <w:rsid w:val="007A2746"/>
    <w:rsid w:val="007A3084"/>
    <w:rsid w:val="007A59B2"/>
    <w:rsid w:val="007A6120"/>
    <w:rsid w:val="007B08F7"/>
    <w:rsid w:val="007B32C0"/>
    <w:rsid w:val="007B38D0"/>
    <w:rsid w:val="007B5CDA"/>
    <w:rsid w:val="007C5198"/>
    <w:rsid w:val="007D37F4"/>
    <w:rsid w:val="007E26BF"/>
    <w:rsid w:val="007E3EF1"/>
    <w:rsid w:val="007E46A3"/>
    <w:rsid w:val="007E63E7"/>
    <w:rsid w:val="007F01CF"/>
    <w:rsid w:val="007F1038"/>
    <w:rsid w:val="007F3895"/>
    <w:rsid w:val="007F5629"/>
    <w:rsid w:val="007F5E16"/>
    <w:rsid w:val="007F6236"/>
    <w:rsid w:val="00802592"/>
    <w:rsid w:val="008029FE"/>
    <w:rsid w:val="0080352D"/>
    <w:rsid w:val="00803AE3"/>
    <w:rsid w:val="00804DA6"/>
    <w:rsid w:val="00804EA0"/>
    <w:rsid w:val="00806B7E"/>
    <w:rsid w:val="00813192"/>
    <w:rsid w:val="00814199"/>
    <w:rsid w:val="008176CE"/>
    <w:rsid w:val="00820B39"/>
    <w:rsid w:val="0082394F"/>
    <w:rsid w:val="00823FDA"/>
    <w:rsid w:val="0082435E"/>
    <w:rsid w:val="00830E80"/>
    <w:rsid w:val="0083323D"/>
    <w:rsid w:val="00834983"/>
    <w:rsid w:val="00835B17"/>
    <w:rsid w:val="00835DD9"/>
    <w:rsid w:val="00841F7E"/>
    <w:rsid w:val="0084284B"/>
    <w:rsid w:val="008535BE"/>
    <w:rsid w:val="00862D47"/>
    <w:rsid w:val="00866A7B"/>
    <w:rsid w:val="008707DD"/>
    <w:rsid w:val="00874A6F"/>
    <w:rsid w:val="00874BA2"/>
    <w:rsid w:val="00875AFA"/>
    <w:rsid w:val="00880156"/>
    <w:rsid w:val="008852A3"/>
    <w:rsid w:val="00885372"/>
    <w:rsid w:val="008853D9"/>
    <w:rsid w:val="008873A7"/>
    <w:rsid w:val="008933E8"/>
    <w:rsid w:val="00894376"/>
    <w:rsid w:val="0089577C"/>
    <w:rsid w:val="008B1A39"/>
    <w:rsid w:val="008B36DD"/>
    <w:rsid w:val="008B41CE"/>
    <w:rsid w:val="008B5623"/>
    <w:rsid w:val="008C4BFF"/>
    <w:rsid w:val="008D03EE"/>
    <w:rsid w:val="008D27CC"/>
    <w:rsid w:val="008D4E7D"/>
    <w:rsid w:val="008D57F0"/>
    <w:rsid w:val="008D6286"/>
    <w:rsid w:val="008E050D"/>
    <w:rsid w:val="008E7E6C"/>
    <w:rsid w:val="008F213A"/>
    <w:rsid w:val="00905757"/>
    <w:rsid w:val="00911750"/>
    <w:rsid w:val="009121F0"/>
    <w:rsid w:val="0091324E"/>
    <w:rsid w:val="009142EC"/>
    <w:rsid w:val="00915503"/>
    <w:rsid w:val="00917BF0"/>
    <w:rsid w:val="00920172"/>
    <w:rsid w:val="00920DBC"/>
    <w:rsid w:val="00921385"/>
    <w:rsid w:val="009220A3"/>
    <w:rsid w:val="00925856"/>
    <w:rsid w:val="0092760A"/>
    <w:rsid w:val="00933FA5"/>
    <w:rsid w:val="0093444D"/>
    <w:rsid w:val="009354AA"/>
    <w:rsid w:val="00942FAB"/>
    <w:rsid w:val="00943705"/>
    <w:rsid w:val="0094677C"/>
    <w:rsid w:val="00947CF6"/>
    <w:rsid w:val="00950394"/>
    <w:rsid w:val="00954F34"/>
    <w:rsid w:val="00955F51"/>
    <w:rsid w:val="0096181E"/>
    <w:rsid w:val="00963519"/>
    <w:rsid w:val="00966E91"/>
    <w:rsid w:val="00971FBC"/>
    <w:rsid w:val="009726D6"/>
    <w:rsid w:val="00975656"/>
    <w:rsid w:val="009766FD"/>
    <w:rsid w:val="00976850"/>
    <w:rsid w:val="00981571"/>
    <w:rsid w:val="00983233"/>
    <w:rsid w:val="0098379D"/>
    <w:rsid w:val="009847DD"/>
    <w:rsid w:val="00986E6F"/>
    <w:rsid w:val="009915C0"/>
    <w:rsid w:val="00991F58"/>
    <w:rsid w:val="009945BA"/>
    <w:rsid w:val="009952B5"/>
    <w:rsid w:val="00996BA1"/>
    <w:rsid w:val="009A2677"/>
    <w:rsid w:val="009A37CB"/>
    <w:rsid w:val="009A3F0F"/>
    <w:rsid w:val="009A3FCE"/>
    <w:rsid w:val="009A746F"/>
    <w:rsid w:val="009B44D7"/>
    <w:rsid w:val="009B6C9C"/>
    <w:rsid w:val="009B788F"/>
    <w:rsid w:val="009C039C"/>
    <w:rsid w:val="009C03AE"/>
    <w:rsid w:val="009C297C"/>
    <w:rsid w:val="009C3EBF"/>
    <w:rsid w:val="009D03A5"/>
    <w:rsid w:val="009D3F0C"/>
    <w:rsid w:val="009D6AAC"/>
    <w:rsid w:val="009E0299"/>
    <w:rsid w:val="009E1343"/>
    <w:rsid w:val="009E290E"/>
    <w:rsid w:val="009E2BA7"/>
    <w:rsid w:val="009F040B"/>
    <w:rsid w:val="009F0B22"/>
    <w:rsid w:val="009F746A"/>
    <w:rsid w:val="00A00BE5"/>
    <w:rsid w:val="00A07DFF"/>
    <w:rsid w:val="00A10B55"/>
    <w:rsid w:val="00A12F2B"/>
    <w:rsid w:val="00A16C9F"/>
    <w:rsid w:val="00A22D0E"/>
    <w:rsid w:val="00A3180C"/>
    <w:rsid w:val="00A33ECD"/>
    <w:rsid w:val="00A37C97"/>
    <w:rsid w:val="00A40DD0"/>
    <w:rsid w:val="00A43284"/>
    <w:rsid w:val="00A53DE2"/>
    <w:rsid w:val="00A54FCE"/>
    <w:rsid w:val="00A61F97"/>
    <w:rsid w:val="00A65A2F"/>
    <w:rsid w:val="00A664EE"/>
    <w:rsid w:val="00A677CB"/>
    <w:rsid w:val="00A74531"/>
    <w:rsid w:val="00A81324"/>
    <w:rsid w:val="00A837C1"/>
    <w:rsid w:val="00A850A9"/>
    <w:rsid w:val="00A86312"/>
    <w:rsid w:val="00A907EF"/>
    <w:rsid w:val="00A935FA"/>
    <w:rsid w:val="00A94225"/>
    <w:rsid w:val="00A957A6"/>
    <w:rsid w:val="00AA32A1"/>
    <w:rsid w:val="00AA6295"/>
    <w:rsid w:val="00AA7AAA"/>
    <w:rsid w:val="00AB06C8"/>
    <w:rsid w:val="00AB4F2D"/>
    <w:rsid w:val="00AC16F6"/>
    <w:rsid w:val="00AC648E"/>
    <w:rsid w:val="00AC6C03"/>
    <w:rsid w:val="00AC6C4E"/>
    <w:rsid w:val="00AC6E35"/>
    <w:rsid w:val="00AC7ABA"/>
    <w:rsid w:val="00AD16BB"/>
    <w:rsid w:val="00AD503F"/>
    <w:rsid w:val="00AE148C"/>
    <w:rsid w:val="00AE4821"/>
    <w:rsid w:val="00AF4F59"/>
    <w:rsid w:val="00AF537D"/>
    <w:rsid w:val="00B12F35"/>
    <w:rsid w:val="00B22A62"/>
    <w:rsid w:val="00B2401E"/>
    <w:rsid w:val="00B24A40"/>
    <w:rsid w:val="00B33E99"/>
    <w:rsid w:val="00B353E4"/>
    <w:rsid w:val="00B35D39"/>
    <w:rsid w:val="00B52D2C"/>
    <w:rsid w:val="00B542AA"/>
    <w:rsid w:val="00B57D9E"/>
    <w:rsid w:val="00B6689B"/>
    <w:rsid w:val="00B66FBE"/>
    <w:rsid w:val="00B67572"/>
    <w:rsid w:val="00B7287D"/>
    <w:rsid w:val="00B730CB"/>
    <w:rsid w:val="00B81E1B"/>
    <w:rsid w:val="00B838AE"/>
    <w:rsid w:val="00B83C28"/>
    <w:rsid w:val="00B84281"/>
    <w:rsid w:val="00B858AE"/>
    <w:rsid w:val="00B87821"/>
    <w:rsid w:val="00B90AEC"/>
    <w:rsid w:val="00B946DD"/>
    <w:rsid w:val="00B9781E"/>
    <w:rsid w:val="00BA28EC"/>
    <w:rsid w:val="00BA7C54"/>
    <w:rsid w:val="00BB4300"/>
    <w:rsid w:val="00BB5F59"/>
    <w:rsid w:val="00BC17C5"/>
    <w:rsid w:val="00BC74F4"/>
    <w:rsid w:val="00BC7896"/>
    <w:rsid w:val="00BC7F76"/>
    <w:rsid w:val="00BE0809"/>
    <w:rsid w:val="00BE1659"/>
    <w:rsid w:val="00BE3CBC"/>
    <w:rsid w:val="00BF4F1B"/>
    <w:rsid w:val="00BF6529"/>
    <w:rsid w:val="00BF7309"/>
    <w:rsid w:val="00C00481"/>
    <w:rsid w:val="00C13944"/>
    <w:rsid w:val="00C13EEE"/>
    <w:rsid w:val="00C16C5C"/>
    <w:rsid w:val="00C20969"/>
    <w:rsid w:val="00C2097A"/>
    <w:rsid w:val="00C2202D"/>
    <w:rsid w:val="00C22ABA"/>
    <w:rsid w:val="00C250DF"/>
    <w:rsid w:val="00C26E0F"/>
    <w:rsid w:val="00C32768"/>
    <w:rsid w:val="00C345D1"/>
    <w:rsid w:val="00C347AC"/>
    <w:rsid w:val="00C36A30"/>
    <w:rsid w:val="00C43DC7"/>
    <w:rsid w:val="00C47C5B"/>
    <w:rsid w:val="00C50024"/>
    <w:rsid w:val="00C51FA2"/>
    <w:rsid w:val="00C53A48"/>
    <w:rsid w:val="00C576BF"/>
    <w:rsid w:val="00C605F4"/>
    <w:rsid w:val="00C6385B"/>
    <w:rsid w:val="00C6652B"/>
    <w:rsid w:val="00C71B8A"/>
    <w:rsid w:val="00C7422B"/>
    <w:rsid w:val="00C76EC0"/>
    <w:rsid w:val="00C80AE5"/>
    <w:rsid w:val="00C81097"/>
    <w:rsid w:val="00C816AA"/>
    <w:rsid w:val="00C831F6"/>
    <w:rsid w:val="00C86F86"/>
    <w:rsid w:val="00C8770A"/>
    <w:rsid w:val="00C94FFB"/>
    <w:rsid w:val="00CA0125"/>
    <w:rsid w:val="00CA2957"/>
    <w:rsid w:val="00CA31C6"/>
    <w:rsid w:val="00CB0B7B"/>
    <w:rsid w:val="00CB0E97"/>
    <w:rsid w:val="00CB1533"/>
    <w:rsid w:val="00CB34C1"/>
    <w:rsid w:val="00CB486E"/>
    <w:rsid w:val="00CB4A8F"/>
    <w:rsid w:val="00CB4E8B"/>
    <w:rsid w:val="00CB5EBA"/>
    <w:rsid w:val="00CB6982"/>
    <w:rsid w:val="00CC7214"/>
    <w:rsid w:val="00CC7D01"/>
    <w:rsid w:val="00CD1D08"/>
    <w:rsid w:val="00CD232D"/>
    <w:rsid w:val="00CD3267"/>
    <w:rsid w:val="00CD3E64"/>
    <w:rsid w:val="00CD502A"/>
    <w:rsid w:val="00CD7D65"/>
    <w:rsid w:val="00CE0367"/>
    <w:rsid w:val="00CE2276"/>
    <w:rsid w:val="00CE6E3F"/>
    <w:rsid w:val="00CF2F80"/>
    <w:rsid w:val="00D00063"/>
    <w:rsid w:val="00D0120D"/>
    <w:rsid w:val="00D02201"/>
    <w:rsid w:val="00D06F57"/>
    <w:rsid w:val="00D07A60"/>
    <w:rsid w:val="00D11D9E"/>
    <w:rsid w:val="00D13A3C"/>
    <w:rsid w:val="00D14B7D"/>
    <w:rsid w:val="00D14B87"/>
    <w:rsid w:val="00D223B1"/>
    <w:rsid w:val="00D33A51"/>
    <w:rsid w:val="00D34773"/>
    <w:rsid w:val="00D357C9"/>
    <w:rsid w:val="00D35D01"/>
    <w:rsid w:val="00D41DC0"/>
    <w:rsid w:val="00D4347F"/>
    <w:rsid w:val="00D43B31"/>
    <w:rsid w:val="00D4443A"/>
    <w:rsid w:val="00D478B3"/>
    <w:rsid w:val="00D51442"/>
    <w:rsid w:val="00D5509F"/>
    <w:rsid w:val="00D55771"/>
    <w:rsid w:val="00D5752C"/>
    <w:rsid w:val="00D6418B"/>
    <w:rsid w:val="00D66908"/>
    <w:rsid w:val="00D72DDE"/>
    <w:rsid w:val="00D7693A"/>
    <w:rsid w:val="00D81B78"/>
    <w:rsid w:val="00D83021"/>
    <w:rsid w:val="00D83AB1"/>
    <w:rsid w:val="00D83DBB"/>
    <w:rsid w:val="00D8475E"/>
    <w:rsid w:val="00D858AD"/>
    <w:rsid w:val="00D85E9E"/>
    <w:rsid w:val="00D877B5"/>
    <w:rsid w:val="00D9628C"/>
    <w:rsid w:val="00D96FE9"/>
    <w:rsid w:val="00D974F4"/>
    <w:rsid w:val="00DA1469"/>
    <w:rsid w:val="00DA1501"/>
    <w:rsid w:val="00DA152B"/>
    <w:rsid w:val="00DA1CA4"/>
    <w:rsid w:val="00DA2C52"/>
    <w:rsid w:val="00DB15E0"/>
    <w:rsid w:val="00DB4258"/>
    <w:rsid w:val="00DB5AF6"/>
    <w:rsid w:val="00DC0394"/>
    <w:rsid w:val="00DC0892"/>
    <w:rsid w:val="00DC6B89"/>
    <w:rsid w:val="00DC7DD0"/>
    <w:rsid w:val="00DD0A2E"/>
    <w:rsid w:val="00DD4452"/>
    <w:rsid w:val="00DD46AA"/>
    <w:rsid w:val="00DE077E"/>
    <w:rsid w:val="00DE15EB"/>
    <w:rsid w:val="00DE4989"/>
    <w:rsid w:val="00DF1E34"/>
    <w:rsid w:val="00DF2E37"/>
    <w:rsid w:val="00DF2FC7"/>
    <w:rsid w:val="00DF4D78"/>
    <w:rsid w:val="00DF5EF2"/>
    <w:rsid w:val="00DF6BB7"/>
    <w:rsid w:val="00E00734"/>
    <w:rsid w:val="00E03E46"/>
    <w:rsid w:val="00E05587"/>
    <w:rsid w:val="00E0650F"/>
    <w:rsid w:val="00E06C80"/>
    <w:rsid w:val="00E07C66"/>
    <w:rsid w:val="00E103E8"/>
    <w:rsid w:val="00E104A9"/>
    <w:rsid w:val="00E1275A"/>
    <w:rsid w:val="00E14749"/>
    <w:rsid w:val="00E14B3C"/>
    <w:rsid w:val="00E15AF1"/>
    <w:rsid w:val="00E16540"/>
    <w:rsid w:val="00E20AB2"/>
    <w:rsid w:val="00E2505E"/>
    <w:rsid w:val="00E314C2"/>
    <w:rsid w:val="00E330BC"/>
    <w:rsid w:val="00E3617B"/>
    <w:rsid w:val="00E406F8"/>
    <w:rsid w:val="00E432DD"/>
    <w:rsid w:val="00E43ECD"/>
    <w:rsid w:val="00E4451D"/>
    <w:rsid w:val="00E45042"/>
    <w:rsid w:val="00E45AE6"/>
    <w:rsid w:val="00E464AE"/>
    <w:rsid w:val="00E47FB9"/>
    <w:rsid w:val="00E50C15"/>
    <w:rsid w:val="00E511C7"/>
    <w:rsid w:val="00E52CF2"/>
    <w:rsid w:val="00E55C5F"/>
    <w:rsid w:val="00E577C6"/>
    <w:rsid w:val="00E6019A"/>
    <w:rsid w:val="00E62760"/>
    <w:rsid w:val="00E63E0A"/>
    <w:rsid w:val="00E652FD"/>
    <w:rsid w:val="00E671DC"/>
    <w:rsid w:val="00E67A1D"/>
    <w:rsid w:val="00E70C8A"/>
    <w:rsid w:val="00E7313F"/>
    <w:rsid w:val="00E815A8"/>
    <w:rsid w:val="00E83B32"/>
    <w:rsid w:val="00E91513"/>
    <w:rsid w:val="00E976BF"/>
    <w:rsid w:val="00E978F7"/>
    <w:rsid w:val="00EA053C"/>
    <w:rsid w:val="00EA4588"/>
    <w:rsid w:val="00EA4AD3"/>
    <w:rsid w:val="00EA7328"/>
    <w:rsid w:val="00EB0353"/>
    <w:rsid w:val="00EB2BFF"/>
    <w:rsid w:val="00EB3A99"/>
    <w:rsid w:val="00EC1C29"/>
    <w:rsid w:val="00EC5B35"/>
    <w:rsid w:val="00EC606A"/>
    <w:rsid w:val="00ED1612"/>
    <w:rsid w:val="00ED1D88"/>
    <w:rsid w:val="00ED7CE0"/>
    <w:rsid w:val="00EE0096"/>
    <w:rsid w:val="00EE0F2D"/>
    <w:rsid w:val="00EE74AA"/>
    <w:rsid w:val="00EF273A"/>
    <w:rsid w:val="00F04C5D"/>
    <w:rsid w:val="00F06A19"/>
    <w:rsid w:val="00F104F1"/>
    <w:rsid w:val="00F12147"/>
    <w:rsid w:val="00F15A51"/>
    <w:rsid w:val="00F17099"/>
    <w:rsid w:val="00F218CE"/>
    <w:rsid w:val="00F21F65"/>
    <w:rsid w:val="00F2318D"/>
    <w:rsid w:val="00F23C34"/>
    <w:rsid w:val="00F261F9"/>
    <w:rsid w:val="00F343D0"/>
    <w:rsid w:val="00F35C15"/>
    <w:rsid w:val="00F36320"/>
    <w:rsid w:val="00F367B8"/>
    <w:rsid w:val="00F5153A"/>
    <w:rsid w:val="00F53085"/>
    <w:rsid w:val="00F53A90"/>
    <w:rsid w:val="00F55611"/>
    <w:rsid w:val="00F55C2C"/>
    <w:rsid w:val="00F623C4"/>
    <w:rsid w:val="00F62C94"/>
    <w:rsid w:val="00F65928"/>
    <w:rsid w:val="00F65A72"/>
    <w:rsid w:val="00F66ADB"/>
    <w:rsid w:val="00F676F9"/>
    <w:rsid w:val="00F67FD7"/>
    <w:rsid w:val="00F70411"/>
    <w:rsid w:val="00F70F00"/>
    <w:rsid w:val="00F71F53"/>
    <w:rsid w:val="00F7267C"/>
    <w:rsid w:val="00F730A9"/>
    <w:rsid w:val="00F75450"/>
    <w:rsid w:val="00F77D99"/>
    <w:rsid w:val="00F81139"/>
    <w:rsid w:val="00F82C5C"/>
    <w:rsid w:val="00F83CDD"/>
    <w:rsid w:val="00F849A2"/>
    <w:rsid w:val="00F866A1"/>
    <w:rsid w:val="00F95EE1"/>
    <w:rsid w:val="00F96494"/>
    <w:rsid w:val="00FA2E5F"/>
    <w:rsid w:val="00FA3865"/>
    <w:rsid w:val="00FA7B55"/>
    <w:rsid w:val="00FB0143"/>
    <w:rsid w:val="00FB2E4C"/>
    <w:rsid w:val="00FB4192"/>
    <w:rsid w:val="00FB79AE"/>
    <w:rsid w:val="00FC455E"/>
    <w:rsid w:val="00FC77CC"/>
    <w:rsid w:val="00FD1F53"/>
    <w:rsid w:val="00FD33DC"/>
    <w:rsid w:val="00FD722C"/>
    <w:rsid w:val="00FE1B06"/>
    <w:rsid w:val="00FE2471"/>
    <w:rsid w:val="00FE503D"/>
    <w:rsid w:val="00FE69E7"/>
    <w:rsid w:val="00FE7844"/>
    <w:rsid w:val="00FF392E"/>
    <w:rsid w:val="00FF642E"/>
    <w:rsid w:val="00FF6652"/>
    <w:rsid w:val="00FF7377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4B44E9-9F1B-4CF5-9EFA-8FA0BD00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  <w:lang w:val="fr-FR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pPr>
      <w:tabs>
        <w:tab w:val="left" w:pos="5103"/>
      </w:tabs>
      <w:spacing w:before="1200" w:after="0"/>
      <w:ind w:left="5103"/>
      <w:jc w:val="center"/>
    </w:pPr>
    <w:rPr>
      <w:lang w:val="de-DE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3"/>
      </w:numPr>
    </w:pPr>
  </w:style>
  <w:style w:type="paragraph" w:styleId="ListNumber2">
    <w:name w:val="List Number 2"/>
    <w:basedOn w:val="Text2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7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20"/>
      </w:numPr>
    </w:pPr>
  </w:style>
  <w:style w:type="paragraph" w:customStyle="1" w:styleId="ListDash1">
    <w:name w:val="List Dash 1"/>
    <w:basedOn w:val="Text1"/>
    <w:pPr>
      <w:numPr>
        <w:numId w:val="9"/>
      </w:numPr>
    </w:pPr>
  </w:style>
  <w:style w:type="paragraph" w:customStyle="1" w:styleId="ListDash2">
    <w:name w:val="List Dash 2"/>
    <w:basedOn w:val="Text2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2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pPr>
      <w:numPr>
        <w:numId w:val="14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5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ZCom">
    <w:name w:val="Z_Com"/>
    <w:basedOn w:val="Normal"/>
    <w:next w:val="ZDGName"/>
    <w:pPr>
      <w:widowControl w:val="0"/>
      <w:spacing w:after="0"/>
      <w:ind w:right="85"/>
    </w:pPr>
    <w:rPr>
      <w:rFonts w:ascii="Arial" w:hAnsi="Arial"/>
      <w:snapToGrid w:val="0"/>
      <w:lang w:eastAsia="en-US"/>
    </w:rPr>
  </w:style>
  <w:style w:type="paragraph" w:customStyle="1" w:styleId="ZDGName">
    <w:name w:val="Z_DGName"/>
    <w:basedOn w:val="Normal"/>
    <w:pPr>
      <w:widowControl w:val="0"/>
      <w:spacing w:after="0"/>
      <w:ind w:right="85"/>
      <w:jc w:val="left"/>
    </w:pPr>
    <w:rPr>
      <w:rFonts w:ascii="Arial" w:hAnsi="Arial"/>
      <w:snapToGrid w:val="0"/>
      <w:sz w:val="16"/>
      <w:lang w:eastAsia="en-US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customStyle="1" w:styleId="DefaultMargins">
    <w:name w:val="DefaultMargins"/>
    <w:basedOn w:val="DefaultParagraphFont"/>
    <w:rPr>
      <w:rFonts w:ascii="Courier New" w:hAnsi="Courier New"/>
      <w:noProof w:val="0"/>
      <w:sz w:val="20"/>
      <w:lang w:val="en-US"/>
    </w:rPr>
  </w:style>
  <w:style w:type="paragraph" w:customStyle="1" w:styleId="Initial">
    <w:name w:val="Initial"/>
    <w:pPr>
      <w:tabs>
        <w:tab w:val="left" w:pos="-720"/>
      </w:tabs>
      <w:suppressAutoHyphens/>
      <w:jc w:val="both"/>
    </w:pPr>
    <w:rPr>
      <w:spacing w:val="-3"/>
      <w:sz w:val="24"/>
      <w:lang w:val="en-US"/>
    </w:rPr>
  </w:style>
  <w:style w:type="paragraph" w:customStyle="1" w:styleId="Statut">
    <w:name w:val="Statut"/>
    <w:basedOn w:val="Normal"/>
    <w:next w:val="Normal"/>
    <w:pPr>
      <w:spacing w:before="360" w:after="0"/>
      <w:jc w:val="center"/>
    </w:pPr>
    <w:rPr>
      <w:lang w:val="en-GB"/>
    </w:rPr>
  </w:style>
  <w:style w:type="paragraph" w:customStyle="1" w:styleId="Dput">
    <w:name w:val="Député"/>
    <w:basedOn w:val="Normal"/>
    <w:pPr>
      <w:widowControl w:val="0"/>
      <w:ind w:left="1418"/>
      <w:jc w:val="left"/>
    </w:pPr>
    <w:rPr>
      <w:snapToGrid w:val="0"/>
      <w:lang w:val="en-GB" w:eastAsia="en-US"/>
    </w:rPr>
  </w:style>
  <w:style w:type="paragraph" w:customStyle="1" w:styleId="Rfrencesproposition">
    <w:name w:val="Références proposition"/>
    <w:basedOn w:val="Normal"/>
    <w:next w:val="Normal"/>
    <w:pPr>
      <w:widowControl w:val="0"/>
      <w:spacing w:after="480"/>
      <w:ind w:left="1418"/>
      <w:jc w:val="left"/>
    </w:pPr>
    <w:rPr>
      <w:snapToGrid w:val="0"/>
      <w:lang w:val="en-GB" w:eastAsia="en-US"/>
    </w:rPr>
  </w:style>
  <w:style w:type="paragraph" w:customStyle="1" w:styleId="Typedudocument">
    <w:name w:val="Type du document"/>
    <w:basedOn w:val="Normal"/>
    <w:next w:val="Normal"/>
    <w:pPr>
      <w:spacing w:before="360" w:after="0"/>
      <w:jc w:val="center"/>
    </w:pPr>
    <w:rPr>
      <w:b/>
      <w:lang w:val="en-GB"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  <w:lang w:val="en-GB"/>
    </w:rPr>
  </w:style>
  <w:style w:type="character" w:customStyle="1" w:styleId="Marker">
    <w:name w:val="Marker"/>
    <w:basedOn w:val="DefaultParagraphFont"/>
    <w:rPr>
      <w:noProof w:val="0"/>
      <w:color w:val="0000FF"/>
      <w:lang w:val="en-GB"/>
    </w:rPr>
  </w:style>
  <w:style w:type="paragraph" w:customStyle="1" w:styleId="Rfrenceinstitutionelle">
    <w:name w:val="Référence institutionelle"/>
    <w:basedOn w:val="Normal"/>
    <w:next w:val="Normal"/>
    <w:pPr>
      <w:ind w:left="5103"/>
      <w:jc w:val="left"/>
    </w:pPr>
    <w:rPr>
      <w:lang w:val="en-GB"/>
    </w:rPr>
  </w:style>
  <w:style w:type="paragraph" w:customStyle="1" w:styleId="PointDouble0">
    <w:name w:val="PointDouble 0"/>
    <w:basedOn w:val="Normal"/>
    <w:pPr>
      <w:tabs>
        <w:tab w:val="left" w:pos="851"/>
      </w:tabs>
      <w:spacing w:before="120" w:after="120"/>
      <w:ind w:left="1418" w:hanging="1418"/>
    </w:pPr>
    <w:rPr>
      <w:lang w:val="de-D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ideTWBExt">
    <w:name w:val="HideTWBExt"/>
    <w:basedOn w:val="DefaultParagraphFont"/>
    <w:rPr>
      <w:rFonts w:ascii="Arial" w:hAnsi="Arial"/>
      <w:noProof/>
      <w:vanish/>
      <w:color w:val="000080"/>
      <w:sz w:val="16"/>
    </w:rPr>
  </w:style>
  <w:style w:type="paragraph" w:customStyle="1" w:styleId="TextToAmendAM">
    <w:name w:val="Text To Amend AM"/>
    <w:basedOn w:val="Normal"/>
    <w:pPr>
      <w:tabs>
        <w:tab w:val="left" w:pos="-720"/>
      </w:tabs>
      <w:spacing w:after="480"/>
      <w:jc w:val="left"/>
    </w:pPr>
    <w:rPr>
      <w:lang w:val="en-GB"/>
    </w:rPr>
  </w:style>
  <w:style w:type="character" w:customStyle="1" w:styleId="HideTWBInt">
    <w:name w:val="HideTWBInt"/>
    <w:basedOn w:val="DefaultParagraphFont"/>
    <w:rPr>
      <w:vanish/>
      <w:color w:val="808080"/>
    </w:rPr>
  </w:style>
  <w:style w:type="paragraph" w:customStyle="1" w:styleId="ManualHeading2">
    <w:name w:val="Manual Heading 2"/>
    <w:basedOn w:val="Heading2"/>
    <w:next w:val="Text2"/>
    <w:pPr>
      <w:tabs>
        <w:tab w:val="num" w:pos="851"/>
      </w:tabs>
      <w:spacing w:before="120" w:after="120"/>
      <w:ind w:left="851" w:hanging="851"/>
    </w:pPr>
    <w:rPr>
      <w:lang w:val="en-GB"/>
    </w:rPr>
  </w:style>
  <w:style w:type="character" w:styleId="Emphasis">
    <w:name w:val="Emphasis"/>
    <w:basedOn w:val="DefaultParagraphFont"/>
    <w:qFormat/>
    <w:rPr>
      <w:i/>
    </w:rPr>
  </w:style>
  <w:style w:type="paragraph" w:customStyle="1" w:styleId="Tiret0">
    <w:name w:val="Tiret 0"/>
    <w:basedOn w:val="Normal"/>
    <w:pPr>
      <w:spacing w:before="120" w:after="120"/>
      <w:ind w:left="851" w:hanging="851"/>
    </w:pPr>
    <w:rPr>
      <w:lang w:val="en-GB"/>
    </w:rPr>
  </w:style>
  <w:style w:type="paragraph" w:customStyle="1" w:styleId="ATHeading3">
    <w:name w:val="AT Heading 3"/>
    <w:basedOn w:val="Normal"/>
    <w:next w:val="Normal"/>
    <w:pPr>
      <w:keepNext/>
      <w:keepLines/>
      <w:spacing w:before="120" w:after="120"/>
      <w:jc w:val="left"/>
      <w:outlineLvl w:val="2"/>
    </w:pPr>
    <w:rPr>
      <w:b/>
      <w:noProof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  <w:lang w:val="en-GB"/>
    </w:rPr>
  </w:style>
  <w:style w:type="paragraph" w:customStyle="1" w:styleId="Par-dash">
    <w:name w:val="Par-dash"/>
    <w:basedOn w:val="Normal"/>
    <w:next w:val="Normal"/>
    <w:pPr>
      <w:widowControl w:val="0"/>
      <w:numPr>
        <w:numId w:val="18"/>
      </w:numPr>
      <w:spacing w:after="0" w:line="360" w:lineRule="auto"/>
      <w:jc w:val="left"/>
    </w:pPr>
    <w:rPr>
      <w:lang w:val="en-GB"/>
    </w:rPr>
  </w:style>
  <w:style w:type="paragraph" w:customStyle="1" w:styleId="Rfrencestatut">
    <w:name w:val="Référence statut"/>
    <w:basedOn w:val="Normal"/>
    <w:next w:val="Normal"/>
    <w:pPr>
      <w:keepNext/>
      <w:keepLines/>
      <w:widowControl w:val="0"/>
      <w:spacing w:after="0"/>
      <w:jc w:val="right"/>
    </w:pPr>
    <w:rPr>
      <w:rFonts w:ascii="Arial" w:hAnsi="Arial"/>
      <w:snapToGrid w:val="0"/>
      <w:lang w:val="en-GB" w:eastAsia="en-US"/>
    </w:rPr>
  </w:style>
  <w:style w:type="character" w:customStyle="1" w:styleId="Point0Char">
    <w:name w:val="Point 0 Char"/>
    <w:basedOn w:val="DefaultParagraphFont"/>
    <w:rPr>
      <w:noProof w:val="0"/>
      <w:sz w:val="24"/>
      <w:lang w:val="fr-FR" w:eastAsia="ko-KR" w:bidi="ar-SA"/>
    </w:rPr>
  </w:style>
  <w:style w:type="paragraph" w:customStyle="1" w:styleId="ManualHeading3">
    <w:name w:val="Manual Heading 3"/>
    <w:basedOn w:val="Heading3"/>
    <w:next w:val="Text3"/>
    <w:pPr>
      <w:tabs>
        <w:tab w:val="num" w:pos="851"/>
      </w:tabs>
      <w:spacing w:before="120" w:after="120"/>
      <w:ind w:left="850" w:hanging="850"/>
    </w:pPr>
    <w:rPr>
      <w:lang w:val="en-GB"/>
    </w:rPr>
  </w:style>
  <w:style w:type="paragraph" w:customStyle="1" w:styleId="titreobjet0">
    <w:name w:val="titreobjet"/>
    <w:basedOn w:val="Normal"/>
    <w:pPr>
      <w:snapToGrid w:val="0"/>
      <w:spacing w:after="0"/>
      <w:ind w:left="1418"/>
      <w:jc w:val="left"/>
    </w:pPr>
    <w:rPr>
      <w:lang w:val="en-GB"/>
    </w:rPr>
  </w:style>
  <w:style w:type="paragraph" w:customStyle="1" w:styleId="text10">
    <w:name w:val="text1"/>
    <w:basedOn w:val="Normal"/>
    <w:pPr>
      <w:ind w:left="482"/>
    </w:pPr>
    <w:rPr>
      <w:lang w:val="en-GB"/>
    </w:rPr>
  </w:style>
  <w:style w:type="paragraph" w:customStyle="1" w:styleId="notehead0">
    <w:name w:val="notehead"/>
    <w:basedOn w:val="Normal"/>
    <w:pPr>
      <w:spacing w:before="720" w:after="720"/>
      <w:jc w:val="center"/>
    </w:pPr>
    <w:rPr>
      <w:b/>
      <w:smallCaps/>
      <w:lang w:val="en-GB"/>
    </w:rPr>
  </w:style>
  <w:style w:type="paragraph" w:customStyle="1" w:styleId="numpar10">
    <w:name w:val="numpar1"/>
    <w:basedOn w:val="Normal"/>
    <w:pPr>
      <w:ind w:left="480" w:hanging="480"/>
    </w:pPr>
    <w:rPr>
      <w:lang w:val="en-GB"/>
    </w:rPr>
  </w:style>
  <w:style w:type="paragraph" w:customStyle="1" w:styleId="Point0">
    <w:name w:val="Point 0"/>
    <w:basedOn w:val="Normal"/>
    <w:rsid w:val="00027C0D"/>
    <w:pPr>
      <w:spacing w:before="120" w:after="120"/>
      <w:ind w:left="850" w:hanging="850"/>
    </w:pPr>
    <w:rPr>
      <w:lang w:val="en-GB"/>
    </w:rPr>
  </w:style>
  <w:style w:type="paragraph" w:customStyle="1" w:styleId="Rfrenceinterinstitutionelle">
    <w:name w:val="Référence interinstitutionelle"/>
    <w:basedOn w:val="Normal"/>
    <w:next w:val="Normal"/>
    <w:rsid w:val="00027C0D"/>
    <w:pPr>
      <w:spacing w:after="0"/>
      <w:ind w:left="5103"/>
      <w:jc w:val="left"/>
    </w:pPr>
    <w:rPr>
      <w:lang w:val="en-GB"/>
    </w:rPr>
  </w:style>
  <w:style w:type="paragraph" w:customStyle="1" w:styleId="5Normal">
    <w:name w:val="5 Normal"/>
    <w:rsid w:val="002B48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jc w:val="both"/>
    </w:pPr>
    <w:rPr>
      <w:spacing w:val="-2"/>
      <w:sz w:val="24"/>
      <w:szCs w:val="24"/>
    </w:rPr>
  </w:style>
  <w:style w:type="paragraph" w:customStyle="1" w:styleId="normal0">
    <w:name w:val="normal"/>
    <w:rsid w:val="002225CB"/>
    <w:pPr>
      <w:spacing w:after="170"/>
      <w:jc w:val="both"/>
    </w:pPr>
    <w:rPr>
      <w:rFonts w:ascii="Helvetica" w:hAnsi="Helvetica"/>
      <w:snapToGrid w:val="0"/>
      <w:color w:val="000000"/>
      <w:lang w:eastAsia="en-US"/>
    </w:rPr>
  </w:style>
  <w:style w:type="paragraph" w:customStyle="1" w:styleId="paragraphe1">
    <w:name w:val="paragraphe1"/>
    <w:basedOn w:val="normal0"/>
    <w:rsid w:val="002225CB"/>
    <w:pPr>
      <w:tabs>
        <w:tab w:val="left" w:pos="283"/>
      </w:tabs>
      <w:ind w:left="283" w:hanging="283"/>
    </w:pPr>
    <w:rPr>
      <w:color w:val="auto"/>
    </w:rPr>
  </w:style>
  <w:style w:type="paragraph" w:customStyle="1" w:styleId="Normal12Centre">
    <w:name w:val="Normal12Centre"/>
    <w:basedOn w:val="Normal"/>
    <w:rsid w:val="00CB6982"/>
    <w:pPr>
      <w:widowControl w:val="0"/>
      <w:jc w:val="center"/>
    </w:pPr>
    <w:rPr>
      <w:lang w:val="en-GB"/>
    </w:rPr>
  </w:style>
  <w:style w:type="paragraph" w:customStyle="1" w:styleId="Normal12Italic">
    <w:name w:val="Normal12Italic"/>
    <w:basedOn w:val="Normal"/>
    <w:rsid w:val="00CB6982"/>
    <w:pPr>
      <w:widowControl w:val="0"/>
      <w:jc w:val="left"/>
    </w:pPr>
    <w:rPr>
      <w:i/>
      <w:lang w:val="en-GB"/>
    </w:rPr>
  </w:style>
  <w:style w:type="paragraph" w:customStyle="1" w:styleId="Normal12Center">
    <w:name w:val="Normal12Center"/>
    <w:basedOn w:val="Normal"/>
    <w:rsid w:val="00CB6982"/>
    <w:pPr>
      <w:widowControl w:val="0"/>
      <w:jc w:val="center"/>
    </w:pPr>
    <w:rPr>
      <w:lang w:val="en-GB"/>
    </w:rPr>
  </w:style>
  <w:style w:type="table" w:styleId="TableGrid">
    <w:name w:val="Table Grid"/>
    <w:basedOn w:val="TableNormal"/>
    <w:rsid w:val="00D8475E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NumPar1">
    <w:name w:val="Manual NumPar 1"/>
    <w:basedOn w:val="Normal"/>
    <w:next w:val="Normal"/>
    <w:rsid w:val="00DF4D78"/>
    <w:pPr>
      <w:spacing w:before="120" w:after="120"/>
      <w:ind w:left="851" w:hanging="851"/>
    </w:pPr>
    <w:rPr>
      <w:lang w:val="en-GB"/>
    </w:rPr>
  </w:style>
  <w:style w:type="paragraph" w:customStyle="1" w:styleId="ManualNumPar2">
    <w:name w:val="Manual NumPar 2"/>
    <w:basedOn w:val="Normal"/>
    <w:next w:val="Normal"/>
    <w:rsid w:val="002862E0"/>
    <w:pPr>
      <w:spacing w:before="120" w:after="120"/>
      <w:ind w:left="851" w:hanging="851"/>
    </w:pPr>
    <w:rPr>
      <w:lang w:val="en-GB"/>
    </w:rPr>
  </w:style>
  <w:style w:type="paragraph" w:customStyle="1" w:styleId="CoverNormal">
    <w:name w:val="CoverNormal"/>
    <w:basedOn w:val="Normal"/>
    <w:rsid w:val="00547AE2"/>
    <w:pPr>
      <w:widowControl w:val="0"/>
      <w:spacing w:after="0"/>
      <w:ind w:left="1418"/>
      <w:jc w:val="left"/>
    </w:pPr>
    <w:rPr>
      <w:lang w:val="en-GB"/>
    </w:rPr>
  </w:style>
  <w:style w:type="paragraph" w:customStyle="1" w:styleId="RefStatus">
    <w:name w:val="RefStatus"/>
    <w:basedOn w:val="Normal"/>
    <w:rsid w:val="005C6CA2"/>
    <w:pPr>
      <w:widowControl w:val="0"/>
      <w:spacing w:after="0"/>
      <w:jc w:val="right"/>
    </w:pPr>
    <w:rPr>
      <w:rFonts w:ascii="Arial" w:hAnsi="Arial"/>
      <w:caps/>
      <w:lang w:val="en-GB"/>
    </w:rPr>
  </w:style>
  <w:style w:type="paragraph" w:styleId="NormalWeb">
    <w:name w:val="Normal (Web)"/>
    <w:basedOn w:val="Normal"/>
    <w:rsid w:val="005C6CA2"/>
    <w:pPr>
      <w:spacing w:before="100" w:beforeAutospacing="1" w:after="100" w:afterAutospacing="1"/>
      <w:jc w:val="left"/>
    </w:pPr>
    <w:rPr>
      <w:szCs w:val="24"/>
      <w:lang w:val="en-GB"/>
    </w:rPr>
  </w:style>
  <w:style w:type="character" w:styleId="CommentReference">
    <w:name w:val="annotation reference"/>
    <w:basedOn w:val="DefaultParagraphFont"/>
    <w:semiHidden/>
    <w:rsid w:val="008873A7"/>
    <w:rPr>
      <w:sz w:val="16"/>
      <w:szCs w:val="16"/>
    </w:rPr>
  </w:style>
  <w:style w:type="paragraph" w:styleId="BalloonText">
    <w:name w:val="Balloon Text"/>
    <w:basedOn w:val="Normal"/>
    <w:semiHidden/>
    <w:rsid w:val="00887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not.dot</Template>
  <TotalTime>1</TotalTime>
  <Pages>16</Pages>
  <Words>2877</Words>
  <Characters>16401</Characters>
  <Application>Microsoft Office Word</Application>
  <DocSecurity>0</DocSecurity>
  <PresentationFormat>Microsoft Word 8.0b</PresentationFormat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 WERKER</dc:creator>
  <cp:keywords>EL4</cp:keywords>
  <cp:lastModifiedBy>GALLONE Frederic</cp:lastModifiedBy>
  <cp:revision>2</cp:revision>
  <cp:lastPrinted>2005-02-11T10:10:00Z</cp:lastPrinted>
  <dcterms:created xsi:type="dcterms:W3CDTF">2024-10-17T15:29:00Z</dcterms:created>
  <dcterms:modified xsi:type="dcterms:W3CDTF">2024-10-17T15:29:00Z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4.1.3.4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 [20010706]</vt:lpwstr>
  </property>
  <property fmtid="{D5CDD505-2E9C-101B-9397-08002B2CF9AE}" pid="6" name="Last edited using">
    <vt:lpwstr>EL 4.1XL XL [20040326]</vt:lpwstr>
  </property>
  <property fmtid="{D5CDD505-2E9C-101B-9397-08002B2CF9AE}" pid="7" name="EL_Author">
    <vt:lpwstr>M. WERKER</vt:lpwstr>
  </property>
  <property fmtid="{D5CDD505-2E9C-101B-9397-08002B2CF9AE}" pid="8" name="Type">
    <vt:lpwstr>Eurolook Note &amp; Letter</vt:lpwstr>
  </property>
  <property fmtid="{D5CDD505-2E9C-101B-9397-08002B2CF9AE}" pid="9" name="Language">
    <vt:lpwstr>FR</vt:lpwstr>
  </property>
  <property fmtid="{D5CDD505-2E9C-101B-9397-08002B2CF9AE}" pid="10" name="EL_Language">
    <vt:lpwstr>FR</vt:lpwstr>
  </property>
  <property fmtid="{D5CDD505-2E9C-101B-9397-08002B2CF9AE}" pid="11" name="Formatting">
    <vt:lpwstr>4.1</vt:lpwstr>
  </property>
  <property fmtid="{D5CDD505-2E9C-101B-9397-08002B2CF9AE}" pid="12" name="_AdHocReviewCycleID">
    <vt:i4>-1848596306</vt:i4>
  </property>
  <property fmtid="{D5CDD505-2E9C-101B-9397-08002B2CF9AE}" pid="13" name="_EmailSubject">
    <vt:lpwstr>SP 2005 239</vt:lpwstr>
  </property>
  <property fmtid="{D5CDD505-2E9C-101B-9397-08002B2CF9AE}" pid="14" name="_AuthorEmail">
    <vt:lpwstr>Jean-Louis.BOUTEFEU@cec.eu.int</vt:lpwstr>
  </property>
  <property fmtid="{D5CDD505-2E9C-101B-9397-08002B2CF9AE}" pid="15" name="_AuthorEmailDisplayName">
    <vt:lpwstr>BOUTEFEU Jean-Louis (DGT)</vt:lpwstr>
  </property>
  <property fmtid="{D5CDD505-2E9C-101B-9397-08002B2CF9AE}" pid="16" name="_ReviewingToolsShownOnce">
    <vt:lpwstr/>
  </property>
</Properties>
</file>