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1B" w:rsidRPr="00ED581B" w:rsidRDefault="00ED581B" w:rsidP="00ED581B">
      <w:pPr>
        <w:spacing w:after="240" w:line="240" w:lineRule="auto"/>
        <w:jc w:val="center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PROCÉDURE LÉGISLATIVE ORDINAIRE – Première lecture</w:t>
      </w:r>
    </w:p>
    <w:p w:rsidR="00ED581B" w:rsidRPr="00ED581B" w:rsidRDefault="00ED581B" w:rsidP="00ED581B">
      <w:pPr>
        <w:spacing w:after="240" w:line="240" w:lineRule="auto"/>
        <w:jc w:val="center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Résolution législative du Parlement européen sur la proposition de règlement du Parlement européen et du Conseil modifiant le règlement (CE) n° 1406/2002 instituant une agence européenne pour la sécurité maritime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1.</w:t>
      </w:r>
      <w:r w:rsidRPr="00ED581B">
        <w:rPr>
          <w:rStyle w:val="Normal"/>
          <w:b/>
          <w:lang w:val="fr-FR"/>
        </w:rPr>
        <w:tab/>
        <w:t xml:space="preserve">Rapporteur: </w:t>
      </w:r>
      <w:r w:rsidRPr="00ED581B">
        <w:rPr>
          <w:rStyle w:val="Normal"/>
          <w:lang w:val="fr-FR"/>
        </w:rPr>
        <w:t>Michael CRAMER (Verts/ALE/DE)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2.</w:t>
      </w:r>
      <w:r w:rsidRPr="00ED581B">
        <w:rPr>
          <w:rStyle w:val="Normal"/>
          <w:b/>
          <w:lang w:val="fr-FR"/>
        </w:rPr>
        <w:tab/>
        <w:t xml:space="preserve">Numéro de référence du PE: </w:t>
      </w:r>
      <w:r w:rsidRPr="00ED581B">
        <w:rPr>
          <w:rStyle w:val="Normal"/>
          <w:lang w:val="fr-FR"/>
        </w:rPr>
        <w:t>A8-0215/2016 /</w:t>
      </w:r>
      <w:r w:rsidRPr="00ED581B">
        <w:rPr>
          <w:rStyle w:val="Normal"/>
          <w:color w:val="333333"/>
          <w:lang w:val="fr-FR"/>
        </w:rPr>
        <w:t xml:space="preserve"> P8_TA-PROV(2016)0306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3.</w:t>
      </w:r>
      <w:r w:rsidRPr="00ED581B">
        <w:rPr>
          <w:rStyle w:val="Normal"/>
          <w:b/>
          <w:lang w:val="fr-FR"/>
        </w:rPr>
        <w:tab/>
        <w:t xml:space="preserve">Date d’adoption de la résolution: </w:t>
      </w:r>
      <w:r w:rsidRPr="00ED581B">
        <w:rPr>
          <w:rStyle w:val="Normal"/>
          <w:lang w:val="fr-FR"/>
        </w:rPr>
        <w:t>6 juillet 2016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4.</w:t>
      </w:r>
      <w:r w:rsidRPr="00ED581B">
        <w:rPr>
          <w:rStyle w:val="Normal"/>
          <w:b/>
          <w:lang w:val="fr-FR"/>
        </w:rPr>
        <w:tab/>
        <w:t xml:space="preserve">Objet: </w:t>
      </w:r>
      <w:r w:rsidRPr="00ED581B">
        <w:rPr>
          <w:rStyle w:val="Normal"/>
          <w:lang w:val="fr-FR"/>
        </w:rPr>
        <w:t>agence européenne pour la sécurité maritime (AESM)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5.</w:t>
      </w:r>
      <w:r w:rsidRPr="00ED581B">
        <w:rPr>
          <w:rStyle w:val="Normal"/>
          <w:b/>
          <w:lang w:val="fr-FR"/>
        </w:rPr>
        <w:tab/>
        <w:t xml:space="preserve">Numéro de référence interinstitutionnel: </w:t>
      </w:r>
      <w:r w:rsidRPr="00ED581B">
        <w:rPr>
          <w:rStyle w:val="Normal"/>
          <w:lang w:val="fr-FR"/>
        </w:rPr>
        <w:t>2015/0313(COD)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6.</w:t>
      </w:r>
      <w:r w:rsidRPr="00ED581B">
        <w:rPr>
          <w:rStyle w:val="Normal"/>
          <w:b/>
          <w:lang w:val="fr-FR"/>
        </w:rPr>
        <w:tab/>
        <w:t>Base juridique:</w:t>
      </w:r>
      <w:r w:rsidRPr="00ED581B">
        <w:rPr>
          <w:rStyle w:val="Normal"/>
          <w:lang w:val="fr-FR"/>
        </w:rPr>
        <w:t xml:space="preserve"> article 100, paragraphe 2, du traité sur le fonctionnement de l'Union européenne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7.</w:t>
      </w:r>
      <w:r w:rsidRPr="00ED581B">
        <w:rPr>
          <w:rStyle w:val="Normal"/>
          <w:b/>
          <w:lang w:val="fr-FR"/>
        </w:rPr>
        <w:tab/>
        <w:t xml:space="preserve">Commission parlementaire compétente: </w:t>
      </w:r>
      <w:r w:rsidRPr="00ED581B">
        <w:rPr>
          <w:rStyle w:val="Normal"/>
          <w:lang w:val="fr-FR"/>
        </w:rPr>
        <w:t>commission des transports et du tourisme (TRAN)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8.</w:t>
      </w:r>
      <w:r w:rsidRPr="00ED581B">
        <w:rPr>
          <w:rStyle w:val="Normal"/>
          <w:b/>
          <w:lang w:val="fr-FR"/>
        </w:rPr>
        <w:tab/>
        <w:t xml:space="preserve">Position de la Commission: </w:t>
      </w:r>
      <w:r w:rsidRPr="00ED581B">
        <w:rPr>
          <w:rStyle w:val="Normal"/>
          <w:u w:val="single"/>
          <w:lang w:val="fr-FR"/>
        </w:rPr>
        <w:t>la Commission peut accepter cet amendement unique, adopté par le Parlement européen, qui constitue le texte de compromis.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9.</w:t>
      </w:r>
      <w:r w:rsidRPr="00ED581B">
        <w:rPr>
          <w:rStyle w:val="Normal"/>
          <w:b/>
          <w:lang w:val="fr-FR"/>
        </w:rPr>
        <w:tab/>
        <w:t>Prévisions quant à la modification de la proposition:</w:t>
      </w:r>
      <w:r w:rsidRPr="00ED581B">
        <w:rPr>
          <w:rStyle w:val="Normal"/>
          <w:lang w:val="fr-FR"/>
        </w:rPr>
        <w:t xml:space="preserve"> une proposition modifiée officielle n’est pas nécessaire dans la mesure où un accord, approuvé par la Commission, existe déjà entre le Parlement européen et le Conseil.</w:t>
      </w:r>
    </w:p>
    <w:p w:rsidR="00ED581B" w:rsidRPr="00ED581B" w:rsidRDefault="00ED581B" w:rsidP="00ED581B">
      <w:pPr>
        <w:spacing w:after="240" w:line="240" w:lineRule="auto"/>
        <w:jc w:val="both"/>
        <w:rPr>
          <w:szCs w:val="24"/>
          <w:lang w:val="fr-FR"/>
        </w:rPr>
      </w:pPr>
      <w:r w:rsidRPr="00ED581B">
        <w:rPr>
          <w:rStyle w:val="Normal"/>
          <w:b/>
          <w:lang w:val="fr-FR"/>
        </w:rPr>
        <w:t>10.</w:t>
      </w:r>
      <w:r w:rsidRPr="00ED581B">
        <w:rPr>
          <w:rStyle w:val="Normal"/>
          <w:b/>
          <w:lang w:val="fr-FR"/>
        </w:rPr>
        <w:tab/>
        <w:t xml:space="preserve">Prévisions quant à l'adoption de la position du Conseil: </w:t>
      </w:r>
      <w:r w:rsidRPr="00ED581B">
        <w:rPr>
          <w:rStyle w:val="Normal"/>
          <w:lang w:val="fr-FR"/>
        </w:rPr>
        <w:t>le Conseil a adopté la proposition par procédure écrite le 14 septembre 2016; celle-ci a été publiée au Journal officiel L 251, le 16 septembre 2016 - règlement (UE) 2016/1625.</w:t>
      </w:r>
    </w:p>
    <w:p w:rsidR="00306961" w:rsidRPr="00ED581B" w:rsidRDefault="00306961">
      <w:pPr>
        <w:rPr>
          <w:lang w:val="fr-FR"/>
        </w:rPr>
      </w:pPr>
      <w:bookmarkStart w:id="0" w:name="_GoBack"/>
      <w:bookmarkEnd w:id="0"/>
    </w:p>
    <w:sectPr w:rsidR="00306961" w:rsidRPr="00ED5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B"/>
    <w:rsid w:val="00306961"/>
    <w:rsid w:val="00E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DEC1-F7F9-427B-BA8F-A51AFF7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1417606A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European Parliament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2016-11-29T10:40:00Z</dcterms:created>
  <dcterms:modified xsi:type="dcterms:W3CDTF">2016-11-29T10:41:00Z</dcterms:modified>
</cp:coreProperties>
</file>