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34F" w:rsidRPr="00A65ED9" w:rsidRDefault="0035434F" w:rsidP="0035434F">
      <w:pPr>
        <w:spacing w:after="240" w:line="240" w:lineRule="auto"/>
        <w:jc w:val="both"/>
      </w:pPr>
    </w:p>
    <w:p w:rsidR="0035434F" w:rsidRPr="0035434F" w:rsidRDefault="0035434F" w:rsidP="0035434F">
      <w:pPr>
        <w:spacing w:after="240" w:line="240" w:lineRule="auto"/>
        <w:jc w:val="center"/>
        <w:rPr>
          <w:lang w:val="fr-FR"/>
        </w:rPr>
      </w:pPr>
      <w:r w:rsidRPr="0035434F">
        <w:rPr>
          <w:rStyle w:val="Normal"/>
          <w:b/>
          <w:lang w:val="fr-FR"/>
        </w:rPr>
        <w:t>PROCÉDURE LÉGISLATIVE ORDINAIRE</w:t>
      </w:r>
      <w:r w:rsidRPr="0035434F">
        <w:rPr>
          <w:rStyle w:val="Normal"/>
          <w:lang w:val="fr-FR"/>
        </w:rPr>
        <w:t xml:space="preserve"> – </w:t>
      </w:r>
      <w:r w:rsidRPr="0035434F">
        <w:rPr>
          <w:rStyle w:val="Normal"/>
          <w:b/>
          <w:lang w:val="fr-FR"/>
        </w:rPr>
        <w:t>Première lecture</w:t>
      </w:r>
    </w:p>
    <w:p w:rsidR="0035434F" w:rsidRPr="0035434F" w:rsidRDefault="0035434F" w:rsidP="0035434F">
      <w:pPr>
        <w:spacing w:after="240" w:line="240" w:lineRule="auto"/>
        <w:jc w:val="center"/>
        <w:rPr>
          <w:b/>
          <w:lang w:val="fr-FR"/>
        </w:rPr>
      </w:pPr>
      <w:r w:rsidRPr="0035434F">
        <w:rPr>
          <w:rStyle w:val="Normal"/>
          <w:b/>
          <w:lang w:val="fr-FR"/>
        </w:rPr>
        <w:t>Résolution législative du Parlement européen sur la proposition de directive du Parlement européen et du Conseil concernant l'aide juridictionnelle provisoire pour les suspects et les personnes poursuivies privés de liberté, ainsi que l'aide juridictionnelle dans le cadre des procédures relatives au mandat d'arrêt européen</w:t>
      </w:r>
    </w:p>
    <w:p w:rsidR="0035434F" w:rsidRPr="0035434F" w:rsidRDefault="0035434F" w:rsidP="0035434F">
      <w:pPr>
        <w:spacing w:after="240" w:line="240" w:lineRule="auto"/>
        <w:jc w:val="both"/>
        <w:rPr>
          <w:lang w:val="fr-FR"/>
        </w:rPr>
      </w:pPr>
    </w:p>
    <w:p w:rsidR="0035434F" w:rsidRPr="0035434F" w:rsidRDefault="0035434F" w:rsidP="0035434F">
      <w:pPr>
        <w:spacing w:after="240" w:line="240" w:lineRule="auto"/>
        <w:jc w:val="both"/>
        <w:rPr>
          <w:lang w:val="fr-FR"/>
        </w:rPr>
      </w:pPr>
    </w:p>
    <w:p w:rsidR="0035434F" w:rsidRPr="0035434F" w:rsidRDefault="0035434F" w:rsidP="0035434F">
      <w:pPr>
        <w:spacing w:after="240" w:line="240" w:lineRule="auto"/>
        <w:jc w:val="both"/>
        <w:rPr>
          <w:lang w:val="fr-FR"/>
        </w:rPr>
      </w:pPr>
      <w:r w:rsidRPr="0035434F">
        <w:rPr>
          <w:rStyle w:val="Normal"/>
          <w:b/>
          <w:lang w:val="fr-FR"/>
        </w:rPr>
        <w:t>1.</w:t>
      </w:r>
      <w:r w:rsidRPr="0035434F">
        <w:rPr>
          <w:rStyle w:val="Normal"/>
          <w:b/>
          <w:lang w:val="fr-FR"/>
        </w:rPr>
        <w:tab/>
      </w:r>
      <w:proofErr w:type="gramStart"/>
      <w:r w:rsidRPr="0035434F">
        <w:rPr>
          <w:rStyle w:val="Normal"/>
          <w:b/>
          <w:lang w:val="fr-FR"/>
        </w:rPr>
        <w:t>Rapporteur:</w:t>
      </w:r>
      <w:proofErr w:type="gramEnd"/>
      <w:r w:rsidRPr="0035434F">
        <w:rPr>
          <w:rStyle w:val="Normal"/>
          <w:b/>
          <w:lang w:val="fr-FR"/>
        </w:rPr>
        <w:t xml:space="preserve"> </w:t>
      </w:r>
      <w:r w:rsidRPr="0035434F">
        <w:rPr>
          <w:rStyle w:val="Normal"/>
          <w:lang w:val="fr-FR"/>
        </w:rPr>
        <w:t>Dennis de JONG (GUE/NGL/NL)</w:t>
      </w:r>
    </w:p>
    <w:p w:rsidR="0035434F" w:rsidRPr="0035434F" w:rsidRDefault="0035434F" w:rsidP="0035434F">
      <w:pPr>
        <w:spacing w:after="240" w:line="240" w:lineRule="auto"/>
        <w:jc w:val="both"/>
        <w:rPr>
          <w:lang w:val="fr-FR"/>
        </w:rPr>
      </w:pPr>
      <w:r w:rsidRPr="0035434F">
        <w:rPr>
          <w:rStyle w:val="Normal"/>
          <w:b/>
          <w:lang w:val="fr-FR"/>
        </w:rPr>
        <w:t>2.</w:t>
      </w:r>
      <w:r w:rsidRPr="0035434F">
        <w:rPr>
          <w:rStyle w:val="Normal"/>
          <w:b/>
          <w:lang w:val="fr-FR"/>
        </w:rPr>
        <w:tab/>
        <w:t xml:space="preserve">Numéro de référence du </w:t>
      </w:r>
      <w:proofErr w:type="gramStart"/>
      <w:r w:rsidRPr="0035434F">
        <w:rPr>
          <w:rStyle w:val="Normal"/>
          <w:b/>
          <w:lang w:val="fr-FR"/>
        </w:rPr>
        <w:t>PE:</w:t>
      </w:r>
      <w:proofErr w:type="gramEnd"/>
      <w:r w:rsidRPr="0035434F">
        <w:rPr>
          <w:rStyle w:val="Normal"/>
          <w:b/>
          <w:lang w:val="fr-FR"/>
        </w:rPr>
        <w:t xml:space="preserve"> </w:t>
      </w:r>
      <w:r w:rsidRPr="0035434F">
        <w:rPr>
          <w:rStyle w:val="Normal"/>
          <w:lang w:val="fr-FR"/>
        </w:rPr>
        <w:t xml:space="preserve">A8-0165/2015 / </w:t>
      </w:r>
      <w:bookmarkStart w:id="0" w:name="TANumber"/>
      <w:r w:rsidRPr="0035434F">
        <w:rPr>
          <w:rStyle w:val="Normal"/>
          <w:lang w:val="fr-FR"/>
        </w:rPr>
        <w:t>P8_TA-PROV(2016)0</w:t>
      </w:r>
      <w:bookmarkEnd w:id="0"/>
      <w:r w:rsidRPr="0035434F">
        <w:rPr>
          <w:rStyle w:val="Normal"/>
          <w:lang w:val="fr-FR"/>
        </w:rPr>
        <w:t>368</w:t>
      </w:r>
    </w:p>
    <w:p w:rsidR="0035434F" w:rsidRPr="0035434F" w:rsidRDefault="0035434F" w:rsidP="0035434F">
      <w:pPr>
        <w:spacing w:after="240" w:line="240" w:lineRule="auto"/>
        <w:jc w:val="both"/>
        <w:rPr>
          <w:lang w:val="fr-FR"/>
        </w:rPr>
      </w:pPr>
      <w:r w:rsidRPr="0035434F">
        <w:rPr>
          <w:rStyle w:val="Normal"/>
          <w:b/>
          <w:lang w:val="fr-FR"/>
        </w:rPr>
        <w:t>3.</w:t>
      </w:r>
      <w:r w:rsidRPr="0035434F">
        <w:rPr>
          <w:rStyle w:val="Normal"/>
          <w:b/>
          <w:lang w:val="fr-FR"/>
        </w:rPr>
        <w:tab/>
        <w:t xml:space="preserve">Date d'adoption de la </w:t>
      </w:r>
      <w:proofErr w:type="gramStart"/>
      <w:r w:rsidRPr="0035434F">
        <w:rPr>
          <w:rStyle w:val="Normal"/>
          <w:b/>
          <w:lang w:val="fr-FR"/>
        </w:rPr>
        <w:t>résolution:</w:t>
      </w:r>
      <w:proofErr w:type="gramEnd"/>
      <w:r w:rsidRPr="0035434F">
        <w:rPr>
          <w:rStyle w:val="Normal"/>
          <w:b/>
          <w:lang w:val="fr-FR"/>
        </w:rPr>
        <w:t xml:space="preserve"> </w:t>
      </w:r>
      <w:r w:rsidRPr="0035434F">
        <w:rPr>
          <w:rStyle w:val="Normal"/>
          <w:lang w:val="fr-FR"/>
        </w:rPr>
        <w:t>4 octobre 2016</w:t>
      </w:r>
    </w:p>
    <w:p w:rsidR="0035434F" w:rsidRPr="0035434F" w:rsidRDefault="0035434F" w:rsidP="0035434F">
      <w:pPr>
        <w:spacing w:after="240" w:line="240" w:lineRule="auto"/>
        <w:jc w:val="both"/>
        <w:rPr>
          <w:lang w:val="fr-FR"/>
        </w:rPr>
      </w:pPr>
      <w:r w:rsidRPr="0035434F">
        <w:rPr>
          <w:rStyle w:val="Normal"/>
          <w:b/>
          <w:lang w:val="fr-FR"/>
        </w:rPr>
        <w:t>4.</w:t>
      </w:r>
      <w:r w:rsidRPr="0035434F">
        <w:rPr>
          <w:rStyle w:val="Normal"/>
          <w:b/>
          <w:lang w:val="fr-FR"/>
        </w:rPr>
        <w:tab/>
      </w:r>
      <w:proofErr w:type="gramStart"/>
      <w:r w:rsidRPr="0035434F">
        <w:rPr>
          <w:rStyle w:val="Normal"/>
          <w:b/>
          <w:lang w:val="fr-FR"/>
        </w:rPr>
        <w:t>Objet:</w:t>
      </w:r>
      <w:proofErr w:type="gramEnd"/>
      <w:r w:rsidRPr="0035434F">
        <w:rPr>
          <w:rStyle w:val="Normal"/>
          <w:b/>
          <w:lang w:val="fr-FR"/>
        </w:rPr>
        <w:t xml:space="preserve"> </w:t>
      </w:r>
      <w:r w:rsidRPr="0035434F">
        <w:rPr>
          <w:rStyle w:val="Normal"/>
          <w:lang w:val="fr-FR"/>
        </w:rPr>
        <w:t>aide juridictionnelle pour les suspects et les personnes poursuivies dans le cadre des procédures pénales et pour les personnes dont la remise est demandée dans le cadre des procédures relatives au mandat d'arrêt européen.</w:t>
      </w:r>
    </w:p>
    <w:p w:rsidR="0035434F" w:rsidRPr="0035434F" w:rsidRDefault="0035434F" w:rsidP="0035434F">
      <w:pPr>
        <w:spacing w:after="240" w:line="240" w:lineRule="auto"/>
        <w:jc w:val="both"/>
        <w:rPr>
          <w:lang w:val="fr-FR"/>
        </w:rPr>
      </w:pPr>
      <w:r w:rsidRPr="0035434F">
        <w:rPr>
          <w:rStyle w:val="Normal"/>
          <w:b/>
          <w:lang w:val="fr-FR"/>
        </w:rPr>
        <w:t>5.</w:t>
      </w:r>
      <w:r w:rsidRPr="0035434F">
        <w:rPr>
          <w:rStyle w:val="Normal"/>
          <w:b/>
          <w:lang w:val="fr-FR"/>
        </w:rPr>
        <w:tab/>
        <w:t xml:space="preserve">Numéro de référence </w:t>
      </w:r>
      <w:proofErr w:type="gramStart"/>
      <w:r w:rsidRPr="0035434F">
        <w:rPr>
          <w:rStyle w:val="Normal"/>
          <w:b/>
          <w:lang w:val="fr-FR"/>
        </w:rPr>
        <w:t>interinstitutionnel:</w:t>
      </w:r>
      <w:proofErr w:type="gramEnd"/>
      <w:r w:rsidRPr="0035434F">
        <w:rPr>
          <w:rStyle w:val="Normal"/>
          <w:b/>
          <w:lang w:val="fr-FR"/>
        </w:rPr>
        <w:t xml:space="preserve"> </w:t>
      </w:r>
      <w:r w:rsidRPr="0035434F">
        <w:rPr>
          <w:rStyle w:val="Normal"/>
          <w:lang w:val="fr-FR"/>
        </w:rPr>
        <w:t>2013/0409(COD)</w:t>
      </w:r>
    </w:p>
    <w:p w:rsidR="0035434F" w:rsidRPr="0035434F" w:rsidRDefault="0035434F" w:rsidP="0035434F">
      <w:pPr>
        <w:spacing w:after="240" w:line="240" w:lineRule="auto"/>
        <w:jc w:val="both"/>
        <w:rPr>
          <w:lang w:val="fr-FR"/>
        </w:rPr>
      </w:pPr>
      <w:r w:rsidRPr="0035434F">
        <w:rPr>
          <w:rStyle w:val="Normal"/>
          <w:b/>
          <w:lang w:val="fr-FR"/>
        </w:rPr>
        <w:t>6.</w:t>
      </w:r>
      <w:r w:rsidRPr="0035434F">
        <w:rPr>
          <w:rStyle w:val="Normal"/>
          <w:b/>
          <w:lang w:val="fr-FR"/>
        </w:rPr>
        <w:tab/>
        <w:t xml:space="preserve">Base </w:t>
      </w:r>
      <w:proofErr w:type="gramStart"/>
      <w:r w:rsidRPr="0035434F">
        <w:rPr>
          <w:rStyle w:val="Normal"/>
          <w:b/>
          <w:lang w:val="fr-FR"/>
        </w:rPr>
        <w:t>juridique:</w:t>
      </w:r>
      <w:proofErr w:type="gramEnd"/>
      <w:r w:rsidRPr="0035434F">
        <w:rPr>
          <w:rStyle w:val="Normal"/>
          <w:b/>
          <w:lang w:val="fr-FR"/>
        </w:rPr>
        <w:t xml:space="preserve"> </w:t>
      </w:r>
      <w:r w:rsidRPr="0035434F">
        <w:rPr>
          <w:rStyle w:val="Normal"/>
          <w:lang w:val="fr-FR"/>
        </w:rPr>
        <w:t>article 82, paragraphe 2, point b), du TFUE</w:t>
      </w:r>
    </w:p>
    <w:p w:rsidR="0035434F" w:rsidRPr="0035434F" w:rsidRDefault="0035434F" w:rsidP="0035434F">
      <w:pPr>
        <w:spacing w:after="240" w:line="240" w:lineRule="auto"/>
        <w:jc w:val="both"/>
        <w:rPr>
          <w:lang w:val="fr-FR"/>
        </w:rPr>
      </w:pPr>
      <w:r w:rsidRPr="0035434F">
        <w:rPr>
          <w:rStyle w:val="Normal"/>
          <w:b/>
          <w:lang w:val="fr-FR"/>
        </w:rPr>
        <w:t>7.</w:t>
      </w:r>
      <w:r w:rsidRPr="0035434F">
        <w:rPr>
          <w:rStyle w:val="Normal"/>
          <w:b/>
          <w:lang w:val="fr-FR"/>
        </w:rPr>
        <w:tab/>
        <w:t xml:space="preserve">Commission parlementaire </w:t>
      </w:r>
      <w:proofErr w:type="gramStart"/>
      <w:r w:rsidRPr="0035434F">
        <w:rPr>
          <w:rStyle w:val="Normal"/>
          <w:b/>
          <w:lang w:val="fr-FR"/>
        </w:rPr>
        <w:t>compétente:</w:t>
      </w:r>
      <w:proofErr w:type="gramEnd"/>
      <w:r w:rsidRPr="0035434F">
        <w:rPr>
          <w:rStyle w:val="Normal"/>
          <w:b/>
          <w:lang w:val="fr-FR"/>
        </w:rPr>
        <w:t xml:space="preserve"> </w:t>
      </w:r>
      <w:r w:rsidRPr="0035434F">
        <w:rPr>
          <w:rStyle w:val="Normal"/>
          <w:lang w:val="fr-FR"/>
        </w:rPr>
        <w:t>commission des libertés civiles, de la justice et des affaires intérieures (LIBE)</w:t>
      </w:r>
    </w:p>
    <w:p w:rsidR="0035434F" w:rsidRPr="0035434F" w:rsidRDefault="0035434F" w:rsidP="0035434F">
      <w:pPr>
        <w:spacing w:after="240" w:line="240" w:lineRule="auto"/>
        <w:jc w:val="both"/>
        <w:rPr>
          <w:lang w:val="fr-FR"/>
        </w:rPr>
      </w:pPr>
      <w:r w:rsidRPr="0035434F">
        <w:rPr>
          <w:rStyle w:val="Normal"/>
          <w:b/>
          <w:lang w:val="fr-FR"/>
        </w:rPr>
        <w:t>8.</w:t>
      </w:r>
      <w:r w:rsidRPr="0035434F">
        <w:rPr>
          <w:rStyle w:val="Normal"/>
          <w:b/>
          <w:lang w:val="fr-FR"/>
        </w:rPr>
        <w:tab/>
        <w:t xml:space="preserve">Position de la </w:t>
      </w:r>
      <w:proofErr w:type="gramStart"/>
      <w:r w:rsidRPr="0035434F">
        <w:rPr>
          <w:rStyle w:val="Normal"/>
          <w:b/>
          <w:lang w:val="fr-FR"/>
        </w:rPr>
        <w:t>Commission:</w:t>
      </w:r>
      <w:proofErr w:type="gramEnd"/>
      <w:r w:rsidRPr="0035434F">
        <w:rPr>
          <w:rStyle w:val="Normal"/>
          <w:b/>
          <w:lang w:val="fr-FR"/>
        </w:rPr>
        <w:t xml:space="preserve"> </w:t>
      </w:r>
      <w:r w:rsidRPr="0035434F">
        <w:rPr>
          <w:rStyle w:val="Normal"/>
          <w:u w:val="single"/>
          <w:lang w:val="fr-FR"/>
        </w:rPr>
        <w:t>la Commission peut accepter tous les amendements adoptés par le Parlement européen.</w:t>
      </w:r>
    </w:p>
    <w:p w:rsidR="0035434F" w:rsidRPr="0035434F" w:rsidRDefault="0035434F" w:rsidP="0035434F">
      <w:pPr>
        <w:spacing w:after="240" w:line="240" w:lineRule="auto"/>
        <w:jc w:val="both"/>
        <w:rPr>
          <w:lang w:val="fr-FR"/>
        </w:rPr>
      </w:pPr>
      <w:r w:rsidRPr="0035434F">
        <w:rPr>
          <w:rStyle w:val="Normal"/>
          <w:b/>
          <w:lang w:val="fr-FR"/>
        </w:rPr>
        <w:t>9.</w:t>
      </w:r>
      <w:r w:rsidRPr="0035434F">
        <w:rPr>
          <w:rStyle w:val="Normal"/>
          <w:b/>
          <w:lang w:val="fr-FR"/>
        </w:rPr>
        <w:tab/>
        <w:t xml:space="preserve">Prévisions quant à la modification de la </w:t>
      </w:r>
      <w:proofErr w:type="gramStart"/>
      <w:r w:rsidRPr="0035434F">
        <w:rPr>
          <w:rStyle w:val="Normal"/>
          <w:b/>
          <w:lang w:val="fr-FR"/>
        </w:rPr>
        <w:t>proposition:</w:t>
      </w:r>
      <w:proofErr w:type="gramEnd"/>
      <w:r w:rsidRPr="0035434F">
        <w:rPr>
          <w:rStyle w:val="Normal"/>
          <w:b/>
          <w:lang w:val="fr-FR"/>
        </w:rPr>
        <w:t xml:space="preserve"> </w:t>
      </w:r>
      <w:r w:rsidRPr="0035434F">
        <w:rPr>
          <w:rStyle w:val="Normal"/>
          <w:lang w:val="fr-FR"/>
        </w:rPr>
        <w:t>une proposition modifiée officielle n’est pas nécessaire dans la mesure où un accord, approuvé par la Commission, existe déjà entre le Parlement européen et le Conseil.</w:t>
      </w:r>
    </w:p>
    <w:p w:rsidR="0035434F" w:rsidRPr="0035434F" w:rsidRDefault="0035434F" w:rsidP="0035434F">
      <w:pPr>
        <w:spacing w:after="240" w:line="240" w:lineRule="auto"/>
        <w:jc w:val="both"/>
        <w:rPr>
          <w:lang w:val="fr-FR"/>
        </w:rPr>
      </w:pPr>
      <w:r w:rsidRPr="0035434F">
        <w:rPr>
          <w:rStyle w:val="Normal"/>
          <w:b/>
          <w:lang w:val="fr-FR"/>
        </w:rPr>
        <w:t>10.</w:t>
      </w:r>
      <w:r w:rsidRPr="0035434F">
        <w:rPr>
          <w:rStyle w:val="Normal"/>
          <w:b/>
          <w:lang w:val="fr-FR"/>
        </w:rPr>
        <w:tab/>
        <w:t xml:space="preserve">Prévisions quant à l'adoption de la position du </w:t>
      </w:r>
      <w:proofErr w:type="gramStart"/>
      <w:r w:rsidRPr="0035434F">
        <w:rPr>
          <w:rStyle w:val="Normal"/>
          <w:b/>
          <w:lang w:val="fr-FR"/>
        </w:rPr>
        <w:t>Conseil:</w:t>
      </w:r>
      <w:proofErr w:type="gramEnd"/>
      <w:r w:rsidRPr="0035434F">
        <w:rPr>
          <w:rStyle w:val="Normal"/>
          <w:b/>
          <w:lang w:val="fr-FR"/>
        </w:rPr>
        <w:t xml:space="preserve"> </w:t>
      </w:r>
      <w:r w:rsidRPr="0035434F">
        <w:rPr>
          <w:rStyle w:val="Normal"/>
          <w:lang w:val="fr-FR"/>
        </w:rPr>
        <w:t>un accord politique a été conclu sur la base d’un texte examiné lors du dernier trilogue le 23 juin 2016. Le 30 juin 2016, le Coreper a approuvé le texte de compromis arrêté d'un commun accord avec le Parlement européen. Le Conseil a adopté la proposition au Conseil JAI le 13 octobre 2016.</w:t>
      </w:r>
    </w:p>
    <w:p w:rsidR="004024D5" w:rsidRPr="0035434F" w:rsidRDefault="004024D5">
      <w:pPr>
        <w:rPr>
          <w:lang w:val="fr-FR"/>
        </w:rPr>
      </w:pPr>
      <w:bookmarkStart w:id="1" w:name="_GoBack"/>
      <w:bookmarkEnd w:id="1"/>
    </w:p>
    <w:sectPr w:rsidR="004024D5" w:rsidRPr="003543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34F"/>
    <w:rsid w:val="0035434F"/>
    <w:rsid w:val="00402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E3F1A-6E4D-4E90-9A2E-FC51159D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24E229A</Template>
  <TotalTime>0</TotalTime>
  <Pages>1</Pages>
  <Words>255</Words>
  <Characters>1455</Characters>
  <Application>Microsoft Office Word</Application>
  <DocSecurity>0</DocSecurity>
  <Lines>12</Lines>
  <Paragraphs>3</Paragraphs>
  <ScaleCrop>false</ScaleCrop>
  <Company>European Parliament</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BALAJKOVA Tatiana</dc:creator>
  <cp:keywords/>
  <dc:description/>
  <cp:lastModifiedBy>BALAJKOVA Tatiana</cp:lastModifiedBy>
  <cp:revision>1</cp:revision>
  <dcterms:created xsi:type="dcterms:W3CDTF">2017-01-23T10:49:00Z</dcterms:created>
  <dcterms:modified xsi:type="dcterms:W3CDTF">2017-01-23T10:49:00Z</dcterms:modified>
</cp:coreProperties>
</file>