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CF53D4">
      <w:pPr>
        <w:spacing w:after="600"/>
        <w:jc w:val="center"/>
        <w:rPr>
          <w:rFonts w:ascii="Times New Roman" w:eastAsia="Calibri" w:hAnsi="Times New Roman"/>
          <w:b/>
          <w:szCs w:val="24"/>
        </w:rPr>
      </w:pPr>
      <w:r>
        <w:rPr>
          <w:rFonts w:ascii="Times New Roman" w:hAnsi="Times New Roman"/>
          <w:b/>
        </w:rPr>
        <w:t>Последващи действия, приети от Комисията на 17 януари 2017 г., във връзка с резолюцията на Европейския парламент, съдържаща препоръки към Комисията относно създаването на механизъм на ЕС за демокрацията, принципите на правовата държава и основните права</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Резолюция, внесена съгласно членове 46 и 52 от Правилника за дейността на Европейския парламент от комисията по граждански свободи, правосъдие и вътрешни работи (LIBE), след становището на комисията по конституционни въпроси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Референтен номер на ЕП:</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Дата на приемане на резолюцията</w:t>
      </w:r>
      <w:r>
        <w:rPr>
          <w:rFonts w:ascii="Times New Roman" w:hAnsi="Times New Roman"/>
        </w:rPr>
        <w:t>: 25 октомври 2016 г.</w:t>
      </w:r>
    </w:p>
    <w:p w:rsidR="00FB4650" w:rsidRDefault="00FB4650" w:rsidP="00CF53D4">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Относно:</w:t>
      </w:r>
      <w:r>
        <w:rPr>
          <w:rFonts w:ascii="Times New Roman" w:hAnsi="Times New Roman"/>
        </w:rPr>
        <w:t xml:space="preserve"> Механизъм на ЕС за демокрация, принципите на правовата </w:t>
      </w:r>
      <w:bookmarkStart w:id="0" w:name="_GoBack"/>
      <w:bookmarkEnd w:id="0"/>
      <w:r>
        <w:rPr>
          <w:rFonts w:ascii="Times New Roman" w:hAnsi="Times New Roman"/>
        </w:rPr>
        <w:t>държава и основните права</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Кратък анализ/оценка на резолюцията и исканията в нея:</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В резолюцията Комисията се приканва да представи до септември 2017 г. предложение за сключването на Пакт на ЕС за демокрацията, принципите на правовата държава и основните права, под формата на междуинституционално споразумение въз основа на член 295 от ДФЕС, като следва подробните препоръки, изложени в приложението. В резолюцията също така се съдържат предложения за евентуално изменение на Договора (например преразглеждане на член 7 от ДЕС, премахване на член 51 от Хартата на основните права) и покана за присъединяване на Съюза към Европейската конвенция за защита на правата на човека.</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Приложението към резолюцията съдържа проект за междуинституционално споразумение, който съдържа подробности относно Пакта на ЕС за демокрацията, принципите на правовата държава и основните права („Пакта“):</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Той ще се състои от европейски доклад за демокрацията, принципите на правовата държава и основните права, със специфични за всяка държава препоръки („СДП“).</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Ще включва годишен междупарламентарен диалог въз основа на доклада, както и политически цикъл във връзка с демокрацията, принципите на правовата държава и основните права в институциите на Съюза.</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Годишният доклад за демокрацията, принципите на правовата държава и основните права, включително специфичните за всяка държава препоръки, се съставя от Комисията въз основа на проект на доклад, изготвен от независима комисия от експерти.</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Експертната група ще се състои от 38 членове; по един независим експерт от всяка държава членка, назначен от националния парламент на съответната държава, който е квалифициран съдия от националните конституционни или върховни съдилища и понастоящем не изпълнява активно служебните си функции, и десет допълнителни експерти, </w:t>
      </w:r>
      <w:r>
        <w:rPr>
          <w:rFonts w:ascii="Times New Roman" w:hAnsi="Times New Roman"/>
        </w:rPr>
        <w:lastRenderedPageBreak/>
        <w:t>назначени от Европейския парламент и избрани от списък с експерти, номинирани от предварително изготвен списък на организациите. Комисията осигурява секретариата на експертната група.</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Ако в проектите на специфичните за всяка държава препоръки, изготвени от експертната група, се заключава, че съществуват достатъчно основания за позоваване на член 7, параграфи 1 и 2 от ДЕС във връзка с дадена държава членка, Комисията, Съветът и Европейският парламент поотделно своевременно обсъждат въпроса и приемат мотивирано решение, което се оповестява.</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Експертната група също така извършва оценка на съблюдаването от Европейския парламент, Съвета и Комисията на демокрацията, принципите на правовата държава и основните права.</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Отговор на исканията и преглед на предприетите или планираните от Комисията действия:</w:t>
      </w:r>
    </w:p>
    <w:p w:rsidR="00742B27" w:rsidRDefault="00742B27" w:rsidP="00742B27">
      <w:pPr>
        <w:ind w:left="709"/>
        <w:rPr>
          <w:rFonts w:ascii="Times New Roman" w:eastAsia="Calibri" w:hAnsi="Times New Roman"/>
          <w:szCs w:val="24"/>
        </w:rPr>
      </w:pPr>
      <w:r>
        <w:rPr>
          <w:rFonts w:ascii="Times New Roman" w:hAnsi="Times New Roman"/>
        </w:rPr>
        <w:t>Комисията изказва благодарност на Европейския парламент за това, че повдига важния въпрос за защитата на общите ценности, демокрацията, принципите на правовата държава и основните права в ЕС. Комисията напълно подкрепя целта, залегнала в основата на резолюцията, която се състои в това да се гарантира, че нашите общи ценности и правила в тази област се зачитат и прилагат. Ключовият въпрос е да се определи най-добрият начин за постигането на тази цел.</w:t>
      </w:r>
    </w:p>
    <w:p w:rsidR="00742B27" w:rsidRDefault="00742B27" w:rsidP="00742B27">
      <w:pPr>
        <w:ind w:left="709"/>
        <w:rPr>
          <w:rFonts w:ascii="Times New Roman" w:eastAsia="Calibri" w:hAnsi="Times New Roman"/>
          <w:szCs w:val="24"/>
        </w:rPr>
      </w:pPr>
      <w:r>
        <w:rPr>
          <w:rFonts w:ascii="Times New Roman" w:hAnsi="Times New Roman"/>
        </w:rPr>
        <w:t>Комисията внимателно разгледа резолюцията и в нея са налице елементи, които Комисията подкрепя изцяло. По-специално, Комисията подкрепя един приобщаващ подход с участието на всички заинтересовани страни, в това число и институциите на ЕС, държавите членки и гражданското общество.</w:t>
      </w:r>
    </w:p>
    <w:p w:rsidR="00742B27" w:rsidRDefault="00742B27" w:rsidP="00742B27">
      <w:pPr>
        <w:ind w:left="709"/>
        <w:rPr>
          <w:rFonts w:ascii="Times New Roman" w:eastAsia="Calibri" w:hAnsi="Times New Roman"/>
          <w:szCs w:val="24"/>
        </w:rPr>
      </w:pPr>
      <w:r>
        <w:rPr>
          <w:rFonts w:ascii="Times New Roman" w:hAnsi="Times New Roman"/>
        </w:rPr>
        <w:t>Комисията също така подкрепя идеята на Европейския парламент да се установи междупарламентарен диалог между Европейския парламент и националните парламенти. Националните парламенти се ангажират в разглеждането на много от проблемите, свързани с принципите на правовата държава, които наблюдавахме в някои държави членки наскоро. Трябва да работим за постигането на общо разбиране за начина, по който следва да се зачитат общите ни ценности, както на национално, така и на европейско равнище. В междупарламентарния диалог, който Европейският парламент планира да създаде, би могло, като първа стъпка, да се обсъдят различните варианти и средства, които съществуват в момента за гарантиране на това, че нашите общи ценности в тази област се зачитат и прилагат. Комисията е готова да допринесе за такъв диалог.</w:t>
      </w:r>
    </w:p>
    <w:p w:rsidR="00742B27" w:rsidRDefault="00742B27" w:rsidP="00742B27">
      <w:pPr>
        <w:ind w:left="709"/>
        <w:rPr>
          <w:rFonts w:ascii="Times New Roman" w:eastAsia="Calibri" w:hAnsi="Times New Roman"/>
          <w:szCs w:val="24"/>
        </w:rPr>
      </w:pPr>
      <w:r>
        <w:rPr>
          <w:rFonts w:ascii="Times New Roman" w:hAnsi="Times New Roman"/>
        </w:rPr>
        <w:t>Що се отнася до предложенията в резолюцията за евентуална промяна на Договорите, Комисията не счита, че те са реалистични в краткосрочен или средносрочен план. Това важи особено за предложението за премахване на член 51 от Хартата на основните права на Европейския съюз.</w:t>
      </w:r>
    </w:p>
    <w:p w:rsidR="00742B27" w:rsidRDefault="00742B27" w:rsidP="00742B27">
      <w:pPr>
        <w:ind w:left="709"/>
        <w:rPr>
          <w:rFonts w:ascii="Times New Roman" w:eastAsia="Calibri" w:hAnsi="Times New Roman"/>
          <w:szCs w:val="24"/>
        </w:rPr>
      </w:pPr>
      <w:r>
        <w:rPr>
          <w:rFonts w:ascii="Times New Roman" w:hAnsi="Times New Roman"/>
        </w:rPr>
        <w:t xml:space="preserve">Комисията продължава да бъде изцяло ангажирана с присъединяването на Съюза към Европейската конвенция за защита на правата на човека. Това присъединяване ще укрепи нашите общи ценности, ще подобри ефективността на правото на ЕС и ще направи защитата на основните права в Европа по-съгласувана. Въпреки това становището на Съда на Европейския съюз повдигна сериозни правни въпроси. Някои от тях са юридически и политически сложни. Поради тази причина Комисията, в </w:t>
      </w:r>
      <w:r>
        <w:rPr>
          <w:rFonts w:ascii="Times New Roman" w:hAnsi="Times New Roman"/>
        </w:rPr>
        <w:lastRenderedPageBreak/>
        <w:t>качеството си на преговарящ от името на ЕС, продължава консултациите си със специалния комитет, определен от Съвета.</w:t>
      </w:r>
    </w:p>
    <w:p w:rsidR="00742B27" w:rsidRDefault="00742B27" w:rsidP="00742B27">
      <w:pPr>
        <w:ind w:left="709"/>
        <w:rPr>
          <w:rFonts w:ascii="Times New Roman" w:eastAsia="Calibri" w:hAnsi="Times New Roman"/>
          <w:szCs w:val="24"/>
        </w:rPr>
      </w:pPr>
      <w:r>
        <w:rPr>
          <w:rFonts w:ascii="Times New Roman" w:hAnsi="Times New Roman"/>
        </w:rPr>
        <w:t>На този етап Комисията има сериозни съмнения относно необходимостта от годишен доклад и политически цикъл, изготвени от група „експерти“, във връзка с демокрацията, принципите на правовата държава и основните права, както и осъществимостта на такова начинание, и относно необходимостта, осъществимостта и добавената стойност на междуинституционално споразумение по този въпрос. Някои от елементите на предложения подход, например централната роля, възложена на независима експертна група в предложения Пакт, също повдигат сериозни въпроси по отношение на законосъобразността, институционалната легитимност и отчетността. Освен това съществуват и въпроси от практически и политически характер, които могат да затруднят намирането на допирни точки по този проблем между всички ангажирани институции.</w:t>
      </w:r>
    </w:p>
    <w:p w:rsidR="00742B27" w:rsidRDefault="00742B27" w:rsidP="00742B27">
      <w:pPr>
        <w:ind w:left="709"/>
        <w:rPr>
          <w:rFonts w:ascii="Times New Roman" w:eastAsia="Calibri" w:hAnsi="Times New Roman"/>
          <w:szCs w:val="24"/>
        </w:rPr>
      </w:pPr>
      <w:r>
        <w:rPr>
          <w:rFonts w:ascii="Times New Roman" w:hAnsi="Times New Roman"/>
        </w:rPr>
        <w:t>Комисията счита, че на първо място следва да се използват съществуващите инструменти по възможно най-добрия начин, като в същото време се избягва дублирането им. Редица съществуващи инструменти и механизми вече предоставят набор от взаимно допълващи се и ефективни средства за насърчаване и отстояване на общи ценности. Комисията ще продължи да цени високо и доразвива тези средства.</w:t>
      </w:r>
    </w:p>
    <w:p w:rsidR="00742B27" w:rsidRDefault="00742B27" w:rsidP="00742B27">
      <w:pPr>
        <w:ind w:left="709"/>
        <w:rPr>
          <w:rFonts w:ascii="Times New Roman" w:eastAsia="Calibri" w:hAnsi="Times New Roman"/>
          <w:szCs w:val="24"/>
        </w:rPr>
      </w:pPr>
      <w:r>
        <w:rPr>
          <w:rFonts w:ascii="Times New Roman" w:hAnsi="Times New Roman"/>
        </w:rPr>
        <w:t>През 2014 г. Комисията прие рамка за принципите на правовата държава. Понастоящем Комисията прилага тази рамка по отношение на Полша. Това следва да не остави никакво съмнение относно факта, че Комисията възприема защитата на принципите на правовата държава много сериозно. Във връзка с това Комисията изразява своята благодарност за подкрепата по отношение на този подход, която Европейският парламент ѝ оказа с резолюцията си от 14 септември. Комисията също така оценява пленарните дебати, организирани по темата от Европейския парламент.</w:t>
      </w:r>
    </w:p>
    <w:p w:rsidR="00742B27" w:rsidRDefault="00742B27" w:rsidP="00742B27">
      <w:pPr>
        <w:ind w:left="709"/>
        <w:rPr>
          <w:rFonts w:ascii="Times New Roman" w:eastAsia="Calibri" w:hAnsi="Times New Roman"/>
          <w:szCs w:val="24"/>
        </w:rPr>
      </w:pPr>
      <w:r>
        <w:rPr>
          <w:rFonts w:ascii="Times New Roman" w:hAnsi="Times New Roman"/>
        </w:rPr>
        <w:t>През 2014 г. Съветът също организира диалог относно принципите на правовата държава, чрез който дебатира въпроси в тази област. На 15 ноември Съветът направи оценка на диалога и повечето държави членки подчертаха колко е важно да се осигури неговото продължаване и засилване с по-чести разисквания, които да бъдат по-структурирани и в по-голяма степен ориентирани към постигането на резултати. Освен това Съветът постигна съгласие, че диалогът относно принципите на правовата държава следва да бъде преразгледан отново до края на 2019 г., за да се обсъди възможността за превръщане му в годишна партньорска проверка.</w:t>
      </w:r>
    </w:p>
    <w:p w:rsidR="00742B27" w:rsidRDefault="00742B27" w:rsidP="00742B27">
      <w:pPr>
        <w:ind w:left="709"/>
        <w:rPr>
          <w:rFonts w:ascii="Times New Roman" w:eastAsia="Calibri" w:hAnsi="Times New Roman"/>
          <w:szCs w:val="24"/>
        </w:rPr>
      </w:pPr>
      <w:r>
        <w:rPr>
          <w:rFonts w:ascii="Times New Roman" w:hAnsi="Times New Roman"/>
        </w:rPr>
        <w:t>Комисията подкрепя идеята на резолюцията разнообразието от съществуващи данни и доклади да стане по-достъпно и видимо, включително на национално равнище. Съществуват и множество други актьори, в това число Съветът на Европа и неговата Венецианска комисия, Агенцията на ЕС за основните права, както и НПО, които допринасят за мониторинга на спазването на принципите на правовата държава, демокрацията и основните права в нашите държави членки.</w:t>
      </w:r>
    </w:p>
    <w:p w:rsidR="00742B27" w:rsidRDefault="00742B27" w:rsidP="00742B27">
      <w:pPr>
        <w:ind w:left="709"/>
        <w:rPr>
          <w:rFonts w:ascii="Times New Roman" w:eastAsia="Calibri" w:hAnsi="Times New Roman"/>
          <w:szCs w:val="24"/>
        </w:rPr>
      </w:pPr>
      <w:r>
        <w:rPr>
          <w:rFonts w:ascii="Times New Roman" w:hAnsi="Times New Roman"/>
        </w:rPr>
        <w:t>Агенцията на ЕС за основните права играе важна роля в процеса, като осигурява лесен достъп до ясно представен преглед на съществуващите информация и доклади, свързани с държави членки или конкретни теми, както е отразено в работната програма на Агенцията за 2017—2019 г.</w:t>
      </w:r>
    </w:p>
    <w:p w:rsidR="00742B27" w:rsidRDefault="00742B27" w:rsidP="00742B27">
      <w:pPr>
        <w:ind w:left="709"/>
        <w:rPr>
          <w:rFonts w:ascii="Times New Roman" w:eastAsia="Calibri" w:hAnsi="Times New Roman"/>
          <w:szCs w:val="24"/>
        </w:rPr>
      </w:pPr>
      <w:r>
        <w:rPr>
          <w:rFonts w:ascii="Times New Roman" w:hAnsi="Times New Roman"/>
        </w:rPr>
        <w:lastRenderedPageBreak/>
        <w:t>Комисията смята, че е от ключово значение да продължи да оказва съдействие на държавите членки за подобряването на ефективността на техните национални съдебни системи в рамките на Европейския семестър и подкрепа на реформите в сектора на правосъдието в държавите членки с финансови средства от ЕС и информационното табло на ЕС в областта на правосъдието. Като цяло държавите членки следва да бъдат насърчени да подобрят своя капацитет за прилагане и правните средства за защита.</w:t>
      </w:r>
    </w:p>
    <w:p w:rsidR="00742B27" w:rsidRDefault="00742B27" w:rsidP="00742B27">
      <w:pPr>
        <w:ind w:left="709"/>
        <w:rPr>
          <w:rFonts w:ascii="Times New Roman" w:eastAsia="Calibri" w:hAnsi="Times New Roman"/>
          <w:szCs w:val="24"/>
        </w:rPr>
      </w:pPr>
      <w:r>
        <w:rPr>
          <w:rFonts w:ascii="Times New Roman" w:hAnsi="Times New Roman"/>
        </w:rPr>
        <w:t>За да може предвидените в Хартата права да бъдат ефективни на място, Комисията подкрепя разработването на инструменти за подобряване на осведомеността на съдии, прокурори и юристи, както и на националните органи в областта на правата на човека в държавите членки.</w:t>
      </w:r>
    </w:p>
    <w:p w:rsidR="00742B27" w:rsidRDefault="00742B27" w:rsidP="00742B27">
      <w:pPr>
        <w:ind w:left="709"/>
        <w:rPr>
          <w:rFonts w:ascii="Times New Roman" w:eastAsia="Calibri" w:hAnsi="Times New Roman"/>
          <w:szCs w:val="24"/>
        </w:rPr>
      </w:pPr>
      <w:r>
        <w:rPr>
          <w:rFonts w:ascii="Times New Roman" w:hAnsi="Times New Roman"/>
        </w:rPr>
        <w:t>Комисията също така отдава особено значение на повишаването на разбирането на хората за начина, по който могат да се възползват от основните си права, и към кого могат да се обърнат за тази цел.</w:t>
      </w:r>
    </w:p>
    <w:p w:rsidR="00742B27" w:rsidRDefault="00742B27" w:rsidP="00742B27">
      <w:pPr>
        <w:ind w:left="709"/>
        <w:rPr>
          <w:rFonts w:ascii="Times New Roman" w:eastAsia="Calibri" w:hAnsi="Times New Roman"/>
          <w:szCs w:val="24"/>
        </w:rPr>
      </w:pPr>
      <w:r>
        <w:rPr>
          <w:rFonts w:ascii="Times New Roman" w:hAnsi="Times New Roman"/>
        </w:rPr>
        <w:t>С оглед прилагането на основните права на практика, Комисията ще се възползва по най-добрия възможен начин от съществуващите програми, за да повиши капацитета на организациите на гражданското общество и органите по правата на човека, които работят за повишаване на осведомеността за Хартата и за гарантиране на прилагането ѝ на национално равнище. Комисията обаче отбелязва, че, освен в граждански и наказателни производства, не съществува правно основание за приемането на правила на ЕС, свързани с правната помощ, в производства пред съдилищата на държавите членки. По отношение на производствата пред съдилищата на ЕС вече съществуват схеми за правна помощ, които са въведени в процедурните правилници на Съда и на Общия съд.</w:t>
      </w:r>
    </w:p>
    <w:p w:rsidR="00742B27" w:rsidRDefault="00742B27" w:rsidP="00742B27">
      <w:pPr>
        <w:ind w:left="709"/>
        <w:rPr>
          <w:rFonts w:ascii="Times New Roman" w:eastAsia="Calibri" w:hAnsi="Times New Roman"/>
          <w:szCs w:val="24"/>
        </w:rPr>
      </w:pPr>
      <w:r>
        <w:rPr>
          <w:rFonts w:ascii="Times New Roman" w:hAnsi="Times New Roman"/>
        </w:rPr>
        <w:t>Комисията също така счита, че е важно да се насърчава и гарантира демократичното участие и осведомеността относно правото на гласуване. Следователно Комисията, наред със заинтересованите страни, включително гражданското общество, ще подкрепя действия за предоставяне на по-големи възможности на гражданите на Съюза да се възползват в пълна степен от правата си на граждани на ЕС. Тези права, включително правото на гражданите да избират и да бъдат избирани в европейски и в местни избори, в която и да било държава членка, при същите условия, както и гражданите на тази държава, са в основата на демокрацията на равнището на Съюза и са израз на нашите споделени демократични ценности.</w:t>
      </w:r>
    </w:p>
    <w:p w:rsidR="00742B27" w:rsidRDefault="00742B27" w:rsidP="00742B27">
      <w:pPr>
        <w:ind w:left="709"/>
        <w:rPr>
          <w:rFonts w:ascii="Times New Roman" w:eastAsia="Calibri" w:hAnsi="Times New Roman"/>
          <w:szCs w:val="24"/>
          <w:highlight w:val="yellow"/>
        </w:rPr>
      </w:pPr>
      <w:r>
        <w:rPr>
          <w:rFonts w:ascii="Times New Roman" w:hAnsi="Times New Roman"/>
        </w:rPr>
        <w:t>Комисията постоянно оценява начините, по които съществуващите инструменти могат да се използват най-добре, за да се насърчават и отстояват принципите на правовата държава, демокрацията и основните права и е готова да продължи диалога с Европейския парламент в тази връзка.</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F53D4">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 européenne, B-1049 Bruxelles – Belgique. Телефон: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12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3D4"/>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bg-BG"/>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bg-BG"/>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bg-BG" w:eastAsia="bg-BG" w:bidi="bg-BG"/>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bg-BG" w:eastAsia="bg-BG" w:bidi="bg-BG"/>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bg-BG" w:eastAsia="bg-BG" w:bidi="bg-BG"/>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bg-BG" w:eastAsia="bg-BG" w:bidi="bg-BG"/>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bg-BG" w:eastAsia="bg-BG" w:bidi="bg-BG"/>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bg-BG" w:eastAsia="bg-BG" w:bidi="bg-BG"/>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bg-BG" w:eastAsia="bg-BG" w:bidi="bg-BG"/>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bg-BG" w:eastAsia="bg-BG" w:bidi="bg-BG"/>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bg-BG"/>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bg-BG" w:eastAsia="bg-BG" w:bidi="bg-BG"/>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bg-BG" w:eastAsia="bg-BG" w:bidi="bg-BG"/>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bg-BG" w:eastAsia="bg-BG" w:bidi="bg-BG"/>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bg-BG" w:eastAsia="bg-BG" w:bidi="bg-BG"/>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bg-BG" w:eastAsia="bg-BG" w:bidi="bg-BG"/>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bg-BG" w:eastAsia="bg-BG" w:bidi="bg-BG"/>
    </w:rPr>
  </w:style>
  <w:style w:type="character" w:customStyle="1" w:styleId="Normal12HangingZnak">
    <w:name w:val="Normal12Hanging Znak"/>
    <w:rsid w:val="006474F2"/>
    <w:rPr>
      <w:sz w:val="24"/>
      <w:lang w:val="bg-BG" w:eastAsia="bg-BG" w:bidi="bg-BG"/>
    </w:rPr>
  </w:style>
  <w:style w:type="character" w:customStyle="1" w:styleId="Text2Char1">
    <w:name w:val="Text 2 Char1"/>
    <w:link w:val="Text2"/>
    <w:rsid w:val="006474F2"/>
    <w:rPr>
      <w:rFonts w:ascii="Courier New" w:hAnsi="Courier New"/>
      <w:sz w:val="24"/>
      <w:lang w:val="bg-BG" w:eastAsia="bg-BG" w:bidi="bg-BG"/>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bg-BG" w:eastAsia="bg-BG" w:bidi="bg-BG"/>
    </w:rPr>
  </w:style>
  <w:style w:type="character" w:customStyle="1" w:styleId="ListBulletCharCharChar">
    <w:name w:val="List Bullet Char Char Char"/>
    <w:rsid w:val="00536069"/>
    <w:rPr>
      <w:sz w:val="24"/>
      <w:lang w:val="bg-BG" w:eastAsia="bg-BG" w:bidi="bg-BG"/>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bg-BG" w:eastAsia="bg-BG" w:bidi="bg-BG"/>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bg-BG" w:eastAsia="bg-BG" w:bidi="bg-BG"/>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bg-BG" w:eastAsia="bg-BG" w:bidi="bg-BG"/>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bg-BG" w:eastAsia="bg-BG" w:bidi="bg-BG"/>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bg-BG" w:eastAsia="bg-BG" w:bidi="bg-BG"/>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bg-BG" w:eastAsia="bg-BG" w:bidi="bg-BG"/>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bg-BG" w:eastAsia="bg-BG" w:bidi="bg-BG"/>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bg-BG" w:eastAsia="bg-BG" w:bidi="bg-BG"/>
    </w:rPr>
  </w:style>
  <w:style w:type="character" w:customStyle="1" w:styleId="InitialChar">
    <w:name w:val="Initial Char"/>
    <w:link w:val="Initial"/>
    <w:rsid w:val="00FD22F7"/>
    <w:rPr>
      <w:spacing w:val="-3"/>
      <w:sz w:val="24"/>
      <w:lang w:val="bg-BG" w:eastAsia="bg-BG" w:bidi="bg-BG"/>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bg-BG" w:eastAsia="bg-BG" w:bidi="bg-BG"/>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bg-BG" w:eastAsia="bg-BG" w:bidi="bg-BG"/>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bg-BG" w:eastAsia="bg-BG" w:bidi="bg-BG"/>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bg-BG"/>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bg-BG"/>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982F1-7B34-4552-AD61-EFB4768A2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4</Pages>
  <Words>1696</Words>
  <Characters>9670</Characters>
  <Application>Microsoft Office Word</Application>
  <DocSecurity>4</DocSecurity>
  <PresentationFormat>Microsoft Word 8.0b</PresentationFormat>
  <Lines>80</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2017-02-14T09:17:00Z</dcterms:created>
  <dcterms:modified xsi:type="dcterms:W3CDTF">2017-02-14T09:17:00Z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