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AA391D">
      <w:pPr>
        <w:spacing w:after="600"/>
        <w:jc w:val="center"/>
        <w:rPr>
          <w:rFonts w:ascii="Times New Roman" w:eastAsia="Calibri" w:hAnsi="Times New Roman"/>
          <w:b/>
          <w:szCs w:val="24"/>
        </w:rPr>
      </w:pPr>
      <w:r>
        <w:rPr>
          <w:rFonts w:ascii="Times New Roman" w:hAnsi="Times New Roman"/>
          <w:b/>
        </w:rPr>
        <w:t>Opfølgning af Europa-Parlamentets beslutning med henstillinger til Kommissionen om oprettelse af en EU-mekanisme for demokrati, retsstatsprincippet og grundlæggende rettigheder, vedtaget af Kommissionen den 17. januar 2017</w:t>
      </w:r>
    </w:p>
    <w:p w:rsidR="00FB4650" w:rsidRDefault="00FB4650" w:rsidP="00FB4650">
      <w:pPr>
        <w:ind w:left="720" w:hanging="720"/>
        <w:rPr>
          <w:rFonts w:ascii="Times New Roman" w:eastAsia="Calibri" w:hAnsi="Times New Roman"/>
          <w:b/>
          <w:szCs w:val="24"/>
        </w:rPr>
      </w:pPr>
      <w:bookmarkStart w:id="0" w:name="_GoBack"/>
      <w:bookmarkEnd w:id="0"/>
      <w:r>
        <w:rPr>
          <w:rFonts w:ascii="Times New Roman" w:hAnsi="Times New Roman"/>
          <w:b/>
        </w:rPr>
        <w:t>1.</w:t>
      </w:r>
      <w:r>
        <w:tab/>
      </w:r>
      <w:r>
        <w:rPr>
          <w:rFonts w:ascii="Times New Roman" w:hAnsi="Times New Roman"/>
          <w:b/>
        </w:rPr>
        <w:t>Beslutningen blev fremlagt i medfør af Europa-Parlamentets forretningsordens artikel 46 og 52 af Udvalget om Borgernes Rettigheder og Retlige og Indre Anliggender (LIBE) efter udtalelse fra Udvalget om Konstitutionelle Anliggender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EP-referencenummer:</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Datoen for beslutningens vedtagelse:</w:t>
      </w:r>
      <w:r>
        <w:rPr>
          <w:rFonts w:ascii="Times New Roman" w:hAnsi="Times New Roman"/>
        </w:rPr>
        <w:t xml:space="preserve"> 25. oktober 2016</w:t>
      </w:r>
    </w:p>
    <w:p w:rsidR="00FB4650" w:rsidRDefault="00FB4650" w:rsidP="00DB7E58">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Emne:</w:t>
      </w:r>
      <w:r>
        <w:rPr>
          <w:rFonts w:ascii="Times New Roman" w:hAnsi="Times New Roman"/>
        </w:rPr>
        <w:t xml:space="preserve"> EU-mekanisme for demokrati, retsstatsprincippet og grundlæggende rettigheder</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Kort analyse/vurdering af beslutningen og anmodningerne deri:</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I beslutningen anmodes Kommissionen om på grundlag af artikel 295 i TEUF inden september 2017 at fremlægge forslag til indgåelse af en EU-pagt for demokrati, retsstatsprincippet og grundlæggende rettigheder i form af en interinstitutionel aftale ud fra de detaljerede henstillinger, der er fremsat i bilaget. Beslutningen indeholder bl.a. også forslag om en eventuel traktatændring (f.eks. revision af artikel 7 i TEU og ophævelse af artikel 51 i chartret om grundlæggende rettigheder) og en opfordring til, at EU tiltræder den europæiske menneskerettighedskonvention.</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Bilaget til beslutningen indeholder et udkast til en interinstitutionel aftale med nærmere oplysninger om EU-pagten om demokrati, retsstatsprincippet og grundlæggende rettigheder.</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Den skal omfatte udarbejdelsen af en europæisk rapport om demokrati, retsstatsprincippet og grundlæggende rettigheder med landespecifikke henstillinger.</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Den skal bl.a. have form af en årlig interparlamentarisk dialog på grundlag af rapporten om demokrati, retsstatsprincippet og grundlæggende rettigheder og en politikcyklus om demokrati, retsstatsprincippet og grundlæggende rettigheder internt i EU-institutionerne.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Årsrapporten om demokrati, retsstatsprincippet og grundlæggende rettigheder, herunder de landespecifikke henstillinger, skal udarbejdes af Kommissionen på grundlag af et udkast til rapport udarbejdet af et uafhængigt panel af sagkyndige.</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Panelet skal have 38 medlemmer. En uafhængig sagkyndig udpeget af hver medlemsstats nationale parlament (beskikkede dommere ved forfatningsdomstole eller højesteretter, men ikke i aktiv tjeneste) og yderligere ti sagkyndige udpeget af Europa-Parlamentet og valgt fra en liste over sagkyndige, der er udpeget af organisationer på en forud fastsat liste. Kommissionen forestår panelets sekretariatsopgaver.</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 xml:space="preserve">Hvis det i udkastene til landespecifikke henstillinger, som panelet har udarbejdet, konkluderes, at der er tilstrækkelig grund til at påberåbe artikel </w:t>
      </w:r>
      <w:r>
        <w:rPr>
          <w:rFonts w:ascii="Times New Roman" w:hAnsi="Times New Roman"/>
        </w:rPr>
        <w:lastRenderedPageBreak/>
        <w:t>7, stk. 1 eller 2, i TEU i forhold til en bestemt medlemsstat, drøfter Kommissionen, Rådet og Europa-Parlamentet hver især straks sagen og træffer en begrundet afgørelse, som offentliggøres.</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Panelet af sagkyndige skal også vurdere, om Kommissionen, Europa-Parlamentet og Rådet overholder bestemmelserne om demokrati, retsstatsprincippet og grundlæggende rettigheder.</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Svar på anmodningerne og oversigt over foranstaltninger, der er truffet eller påtænkes truffet af Kommissionen:</w:t>
      </w:r>
    </w:p>
    <w:p w:rsidR="00742B27" w:rsidRDefault="00742B27" w:rsidP="00742B27">
      <w:pPr>
        <w:ind w:left="709"/>
        <w:rPr>
          <w:rFonts w:ascii="Times New Roman" w:eastAsia="Calibri" w:hAnsi="Times New Roman"/>
          <w:szCs w:val="24"/>
        </w:rPr>
      </w:pPr>
      <w:r>
        <w:rPr>
          <w:rFonts w:ascii="Times New Roman" w:hAnsi="Times New Roman"/>
        </w:rPr>
        <w:t>Kommissionen takker Europa-Parlamentet for at have rejst det vigtige spørgsmål om, hvordan det er muligt at opretholde de fælles værdier, demokratiet, retsstatsprincippet og de grundlæggende rettigheder i EU. Kommissionen støtter fuldt og helt det mål, der ligger til grund for beslutningen, nemlig at sikre, at vores fælles værdier og regler overholdes og håndhæves. Den vigtigste opgave består i at finde en måde at nå dette mål på.</w:t>
      </w:r>
    </w:p>
    <w:p w:rsidR="00742B27" w:rsidRDefault="00742B27" w:rsidP="00742B27">
      <w:pPr>
        <w:ind w:left="709"/>
        <w:rPr>
          <w:rFonts w:ascii="Times New Roman" w:eastAsia="Calibri" w:hAnsi="Times New Roman"/>
          <w:szCs w:val="24"/>
        </w:rPr>
      </w:pPr>
      <w:r>
        <w:rPr>
          <w:rFonts w:ascii="Times New Roman" w:hAnsi="Times New Roman"/>
        </w:rPr>
        <w:t>Kommissionen har nøje overvejet beslutningen, og der er dele, som Kommissionen fuldt ud støtter. Kommissionen støtter navnlig en inklusiv tilgang, der omfatter alle interesserede parter, herunder EU-institutionerne, medlemsstaterne og civilsamfundet.</w:t>
      </w:r>
    </w:p>
    <w:p w:rsidR="00742B27" w:rsidRDefault="00742B27" w:rsidP="00742B27">
      <w:pPr>
        <w:ind w:left="709"/>
        <w:rPr>
          <w:rFonts w:ascii="Times New Roman" w:eastAsia="Calibri" w:hAnsi="Times New Roman"/>
          <w:szCs w:val="24"/>
        </w:rPr>
      </w:pPr>
      <w:r>
        <w:rPr>
          <w:rFonts w:ascii="Times New Roman" w:hAnsi="Times New Roman"/>
        </w:rPr>
        <w:t>Kommissionen støtter også Europa-Parlamentets idé om at indføre en interparlamentarisk dialog mellem Europa-Parlamentet og de nationale parlamenter. De nationale parlamenter er involveret i mange af de problemer i forbindelse med retsstatsprincippet, som vi har oplevet i visse medlemsstater for nylig. Det er nødvendigt at arbejde hen imod en fælles forståelse af, hvordan vi bedst opretholder vores fælles værdier på nationalt og europæisk plan. Den interparlamentariske dialog, som Europa-Parlamentet har til hensigt at indføre, kan i første omgang tjene som grundlag for en drøftelse af de forskellige muligheder og måder, der på nuværende tidspunkt er fremsat forslag om, for at sikre, at vores fælles værdier overholdes og håndhæves. Kommissionen er parat til at bidrage til en sådan dialog.</w:t>
      </w:r>
    </w:p>
    <w:p w:rsidR="00742B27" w:rsidRDefault="00742B27" w:rsidP="00742B27">
      <w:pPr>
        <w:ind w:left="709"/>
        <w:rPr>
          <w:rFonts w:ascii="Times New Roman" w:eastAsia="Calibri" w:hAnsi="Times New Roman"/>
          <w:szCs w:val="24"/>
        </w:rPr>
      </w:pPr>
      <w:r>
        <w:rPr>
          <w:rFonts w:ascii="Times New Roman" w:hAnsi="Times New Roman"/>
        </w:rPr>
        <w:t>Hvad angår forslagene i beslutningen om en eventuel traktatændring, finder Kommissionen ikke, at de er realistiske på kort eller mellemlang sigt. Det gælder navnlig forslaget om at ophæve artikel 51 i Den Europæiske Unions charter om grundlæggende rettigheder.</w:t>
      </w:r>
    </w:p>
    <w:p w:rsidR="00742B27" w:rsidRDefault="00742B27" w:rsidP="00742B27">
      <w:pPr>
        <w:ind w:left="709"/>
        <w:rPr>
          <w:rFonts w:ascii="Times New Roman" w:eastAsia="Calibri" w:hAnsi="Times New Roman"/>
          <w:szCs w:val="24"/>
        </w:rPr>
      </w:pPr>
      <w:r>
        <w:rPr>
          <w:rFonts w:ascii="Times New Roman" w:hAnsi="Times New Roman"/>
        </w:rPr>
        <w:t>Kommissionen går fortsat fuldt og helt ind for, at EU tiltræder den europæiske menneskerettighedskonvention. Tiltrædelsen vil styrke vores fælles værdier, gøre EU-lovgivningen mere effektiv og øge sammenhængen i forbindelse med beskyttelsen af de grundlæggende rettigheder i Europa. Udtalelsen fra Den Europæiske Unions Domstol rejste dog en række alvorlige retlige spørgsmål. Nogle af dem er juridisk og politisk komplicerede. Kommissionen fortsætter derfor i sin egenskab af EU-forhandler konsultationerne med det særlige udvalg, Rådet har udpeget.</w:t>
      </w:r>
    </w:p>
    <w:p w:rsidR="00742B27" w:rsidRDefault="00742B27" w:rsidP="00742B27">
      <w:pPr>
        <w:ind w:left="709"/>
        <w:rPr>
          <w:rFonts w:ascii="Times New Roman" w:eastAsia="Calibri" w:hAnsi="Times New Roman"/>
          <w:szCs w:val="24"/>
        </w:rPr>
      </w:pPr>
      <w:r>
        <w:rPr>
          <w:rFonts w:ascii="Times New Roman" w:hAnsi="Times New Roman"/>
        </w:rPr>
        <w:t xml:space="preserve">På nuværende tidspunkt stiller Kommissionen sig meget tvivlende over for behovet og muligheden for, at et panel af sagkyndige udarbejder en årsrapport, og for at indføre en politikcyklus vedrørende demokrati, retsstatsprincippet og de grundlæggende rettigheder og over for behovet og muligheden for og merværdien af en interinstitutionel aftale på området. Visse dele af den foreslåede tilgang såsom den centrale rolle, det uafhængige panel af sagkyndige får i den foreslåede </w:t>
      </w:r>
      <w:r>
        <w:rPr>
          <w:rFonts w:ascii="Times New Roman" w:hAnsi="Times New Roman"/>
        </w:rPr>
        <w:lastRenderedPageBreak/>
        <w:t>pagt, rejser også alvorlige spørgsmål om lovlighed, institutionel legitimitet og ansvarlighed. Derudover er der praktiske og politiske problemer, som kan gøre det svært at opnå enighed herom mellem alle de berørte institutioner.</w:t>
      </w:r>
    </w:p>
    <w:p w:rsidR="00742B27" w:rsidRDefault="00742B27" w:rsidP="00742B27">
      <w:pPr>
        <w:ind w:left="709"/>
        <w:rPr>
          <w:rFonts w:ascii="Times New Roman" w:eastAsia="Calibri" w:hAnsi="Times New Roman"/>
          <w:szCs w:val="24"/>
        </w:rPr>
      </w:pPr>
      <w:r>
        <w:rPr>
          <w:rFonts w:ascii="Times New Roman" w:hAnsi="Times New Roman"/>
        </w:rPr>
        <w:t>Kommissionen finder, at man i første omgang bør udnytte de eksisterende instrumenter bedst muligt for at undgå overlapninger. En række eksisterende redskaber og aktører giver allerede et sæt supplerende og effektive midler til at fremme og opretholde de fælles værdier. Kommissionen vil fortsat tillægge disse midler værdi og bygge på dem.</w:t>
      </w:r>
    </w:p>
    <w:p w:rsidR="00742B27" w:rsidRDefault="00742B27" w:rsidP="00742B27">
      <w:pPr>
        <w:ind w:left="709"/>
        <w:rPr>
          <w:rFonts w:ascii="Times New Roman" w:eastAsia="Calibri" w:hAnsi="Times New Roman"/>
          <w:szCs w:val="24"/>
        </w:rPr>
      </w:pPr>
      <w:r>
        <w:rPr>
          <w:rFonts w:ascii="Times New Roman" w:hAnsi="Times New Roman"/>
        </w:rPr>
        <w:t>Kommissionen vedtog i 2014 en ramme for retsstatsprincippet. Den anvender på nuværende tidspunkt denne ramme i forbindelse med Polen. Der skal ikke herske tvivl om, at Kommissionen tager opgaven med at beskytte retsstatsprincippet meget alvorligt. Kommissionen glæder sig i den forbindelse over den støtte, Europa-Parlamentet har givet i sin beslutning af 14. september, til denne tilgang. Kommissionen værdsætter ligeledes plenardebatterne om emnet i Europa-Parlamentet.</w:t>
      </w:r>
    </w:p>
    <w:p w:rsidR="00742B27" w:rsidRDefault="00742B27" w:rsidP="00742B27">
      <w:pPr>
        <w:ind w:left="709"/>
        <w:rPr>
          <w:rFonts w:ascii="Times New Roman" w:eastAsia="Calibri" w:hAnsi="Times New Roman"/>
          <w:szCs w:val="24"/>
        </w:rPr>
      </w:pPr>
      <w:r>
        <w:rPr>
          <w:rFonts w:ascii="Times New Roman" w:hAnsi="Times New Roman"/>
        </w:rPr>
        <w:t>Også Rådet indførte i 2014 en dialog om retsstatsprincippet, hvor den drøfter spørgsmål vedrørende retsstatsprincippet. Den 15. november evaluerede Rådet dialogen, og de fleste medlemsstater understregede betydningen af at sikre, at denne dialog fortsætter og styrkes, ved at der tilrettelægges hyppigere debatter, som skal være mere resultatorienterede og bedre struktureret. Der er også opnået enighed om, at dialogen om retsstatsprincippet skal evalueres på ny ved udgangen af 2019 for at se nærmere på muligheden for at gøre dialogen til en årlig peer review.</w:t>
      </w:r>
    </w:p>
    <w:p w:rsidR="00742B27" w:rsidRDefault="00742B27" w:rsidP="00742B27">
      <w:pPr>
        <w:ind w:left="709"/>
        <w:rPr>
          <w:rFonts w:ascii="Times New Roman" w:eastAsia="Calibri" w:hAnsi="Times New Roman"/>
          <w:szCs w:val="24"/>
        </w:rPr>
      </w:pPr>
      <w:r>
        <w:rPr>
          <w:rFonts w:ascii="Times New Roman" w:hAnsi="Times New Roman"/>
        </w:rPr>
        <w:t>Kommissionen støtter idéen bag beslutningen om at gøre de mange forskellige disponible data og rapporter mere tilgængelige og synlige, også på nationalt plan. Der er mange andre aktører, herunder Europarådet og dets Venedigkommission, EU's Agentur for Grundlæggende Rettigheder og NGO'er, som er med til at holde øje med retsstatsprincippet, demokratiet og de grundlæggende rettigheder i medlemsstaterne.</w:t>
      </w:r>
    </w:p>
    <w:p w:rsidR="00742B27" w:rsidRDefault="00742B27" w:rsidP="00742B27">
      <w:pPr>
        <w:ind w:left="709"/>
        <w:rPr>
          <w:rFonts w:ascii="Times New Roman" w:eastAsia="Calibri" w:hAnsi="Times New Roman"/>
          <w:szCs w:val="24"/>
        </w:rPr>
      </w:pPr>
      <w:r>
        <w:rPr>
          <w:rFonts w:ascii="Times New Roman" w:hAnsi="Times New Roman"/>
        </w:rPr>
        <w:t>EU's Agentur for Grundlæggende Rettigheder har en rolle at spille med at gøre en klar oversigt over de eksisterende oplysninger og rapporter vedrørende medlemsstaterne eller særlige emner let tilgængelig, hvilket afspejles i agenturets programmeringsdokument for 2017-2019.</w:t>
      </w:r>
    </w:p>
    <w:p w:rsidR="00742B27" w:rsidRDefault="00742B27" w:rsidP="00742B27">
      <w:pPr>
        <w:ind w:left="709"/>
        <w:rPr>
          <w:rFonts w:ascii="Times New Roman" w:eastAsia="Calibri" w:hAnsi="Times New Roman"/>
          <w:szCs w:val="24"/>
        </w:rPr>
      </w:pPr>
      <w:r>
        <w:rPr>
          <w:rFonts w:ascii="Times New Roman" w:hAnsi="Times New Roman"/>
        </w:rPr>
        <w:t>Kommissionen finder det meget vigtigt fortsat at bistå medlemsstaterne med at forbedre effektiviteten af deres nationale retssystemer gennem det europæiske semester og støtte reformer af retsvæsenet i medlemsstaterne med EU-midler og EU's resultattavle for retlige anliggender. Mere generelt bør medlemsstaterne tilskyndes til at forbedre deres kapacitet i forbindelse med håndhævelse og retsmidler.</w:t>
      </w:r>
    </w:p>
    <w:p w:rsidR="00742B27" w:rsidRDefault="00742B27" w:rsidP="00742B27">
      <w:pPr>
        <w:ind w:left="709"/>
        <w:rPr>
          <w:rFonts w:ascii="Times New Roman" w:eastAsia="Calibri" w:hAnsi="Times New Roman"/>
          <w:szCs w:val="24"/>
        </w:rPr>
      </w:pPr>
      <w:r>
        <w:rPr>
          <w:rFonts w:ascii="Times New Roman" w:hAnsi="Times New Roman"/>
        </w:rPr>
        <w:t>For at sikre, at rettighederne i chartret er effektive i praksis, støtter Kommissionen udviklingen af redskaber, der skal forbedre kendskabet til disse rettigheder blandt dommere, anklagere, fagfolk i retsvæsenet samt nationale menneskerettighedsorganer i medlemsstaterne.</w:t>
      </w:r>
    </w:p>
    <w:p w:rsidR="00742B27" w:rsidRDefault="00742B27" w:rsidP="00742B27">
      <w:pPr>
        <w:ind w:left="709"/>
        <w:rPr>
          <w:rFonts w:ascii="Times New Roman" w:eastAsia="Calibri" w:hAnsi="Times New Roman"/>
          <w:szCs w:val="24"/>
        </w:rPr>
      </w:pPr>
      <w:r>
        <w:rPr>
          <w:rFonts w:ascii="Times New Roman" w:hAnsi="Times New Roman"/>
        </w:rPr>
        <w:t>Kommissionen lægger særlig stor vægt på at forbedre den enkeltes forståelse for, hvordan de kan gøre brug af deres grundlæggende rettigheder, og hvor de skal henvende sig for at håndhæve dem.</w:t>
      </w:r>
    </w:p>
    <w:p w:rsidR="00742B27" w:rsidRDefault="00742B27" w:rsidP="00742B27">
      <w:pPr>
        <w:ind w:left="709"/>
        <w:rPr>
          <w:rFonts w:ascii="Times New Roman" w:eastAsia="Calibri" w:hAnsi="Times New Roman"/>
          <w:szCs w:val="24"/>
        </w:rPr>
      </w:pPr>
      <w:r>
        <w:rPr>
          <w:rFonts w:ascii="Times New Roman" w:hAnsi="Times New Roman"/>
        </w:rPr>
        <w:lastRenderedPageBreak/>
        <w:t>For at de grundlæggende rettigheder skal fungere i praksis, vil Kommissionen gøre bedst mulig brug af de eksisterende programmer for at styrke civilsamfundsorganisationer og menneskerettighedsorganer, der arbejder med at øge bevidstheden om chartret og sikre dets anvendelse på nationalt plan. Kommissionen bemærker dog, at der bortset fra i civilretlige og strafferetlige sager ikke findes noget retsgrundlag for at anvende EU-bestemmelserne om retshjælp i forbindelse med retssager ved medlemsstaternes domstole. Hvad angår retssager ved EU-domstolene, er der allerede indført ordninger for retshjælp i Domstolens og Rettens procesreglement.</w:t>
      </w:r>
    </w:p>
    <w:p w:rsidR="00742B27" w:rsidRDefault="00742B27" w:rsidP="00742B27">
      <w:pPr>
        <w:ind w:left="709"/>
        <w:rPr>
          <w:rFonts w:ascii="Times New Roman" w:eastAsia="Calibri" w:hAnsi="Times New Roman"/>
          <w:szCs w:val="24"/>
        </w:rPr>
      </w:pPr>
      <w:r>
        <w:rPr>
          <w:rFonts w:ascii="Times New Roman" w:hAnsi="Times New Roman"/>
        </w:rPr>
        <w:t>Kommissionen finder det også vigtigt at fremme og sikre demokratisk deltagelse og bevidsthed om retten til at stemme. Kommissionen vil derfor sammen med interesserede parter, bl.a. civilsamfundet, arbejde på i højere grad at hjælpe unionsborgerne med fuldt ud at tage de rettigheder til sig, som unionsborgerskabet giver. Disse rettigheder, bl.a. retten til at stemme og opstille som kandidat til valget til Europa-Parlamentet og lokale valg i en hvilken som helst medlemsstat på samme betingelser som landets egne statsborgere, understøtter demokratiet på EU-plan og er et udtryk for vores fælles demokratiske værdier.</w:t>
      </w:r>
    </w:p>
    <w:p w:rsidR="00742B27" w:rsidRDefault="00742B27" w:rsidP="00742B27">
      <w:pPr>
        <w:ind w:left="709"/>
        <w:rPr>
          <w:rFonts w:ascii="Times New Roman" w:eastAsia="Calibri" w:hAnsi="Times New Roman"/>
          <w:szCs w:val="24"/>
          <w:highlight w:val="yellow"/>
        </w:rPr>
      </w:pPr>
      <w:r>
        <w:rPr>
          <w:rFonts w:ascii="Times New Roman" w:hAnsi="Times New Roman"/>
        </w:rPr>
        <w:t>Kommissionen vil fortsat vurdere, hvordan de eksisterende instrumenter bedst kan anvendes til at fremme og opretholde retsstatsprincippet, demokratiet og de grundlæggende rettigheder, og er parat til at fortsætte dialogen med Europa-Parlamentet herom.</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391D">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Europa-Kommissionen, 1049 Bruxelles – Belgien. Tlf.: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A3C"/>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91D"/>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4D3D"/>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E58"/>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da-DK"/>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da-DK" w:eastAsia="da-DK" w:bidi="da-DK"/>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da-DK" w:eastAsia="da-DK" w:bidi="da-DK"/>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da-DK" w:eastAsia="da-DK" w:bidi="da-DK"/>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da-DK" w:eastAsia="da-DK" w:bidi="da-DK"/>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da-DK" w:eastAsia="da-DK" w:bidi="da-DK"/>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da-DK" w:eastAsia="da-DK" w:bidi="da-DK"/>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da-DK" w:eastAsia="da-DK" w:bidi="da-DK"/>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da-DK" w:eastAsia="da-DK" w:bidi="da-DK"/>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da-DK"/>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da-DK" w:eastAsia="da-DK" w:bidi="da-DK"/>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da-DK" w:eastAsia="da-DK" w:bidi="da-DK"/>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da-DK" w:eastAsia="da-DK" w:bidi="da-DK"/>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da-DK" w:eastAsia="da-DK" w:bidi="da-DK"/>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da-DK" w:eastAsia="da-DK" w:bidi="da-DK"/>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da-DK" w:eastAsia="da-DK" w:bidi="da-DK"/>
    </w:rPr>
  </w:style>
  <w:style w:type="character" w:customStyle="1" w:styleId="Normal12HangingZnak">
    <w:name w:val="Normal12Hanging Znak"/>
    <w:rsid w:val="006474F2"/>
    <w:rPr>
      <w:sz w:val="24"/>
      <w:lang w:val="da-DK" w:eastAsia="da-DK" w:bidi="da-DK"/>
    </w:rPr>
  </w:style>
  <w:style w:type="character" w:customStyle="1" w:styleId="Text2Char1">
    <w:name w:val="Text 2 Char1"/>
    <w:link w:val="Text2"/>
    <w:rsid w:val="006474F2"/>
    <w:rPr>
      <w:rFonts w:ascii="Courier New" w:hAnsi="Courier New"/>
      <w:sz w:val="24"/>
      <w:lang w:val="da-DK" w:eastAsia="da-DK" w:bidi="da-DK"/>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da-DK" w:eastAsia="da-DK" w:bidi="da-DK"/>
    </w:rPr>
  </w:style>
  <w:style w:type="character" w:customStyle="1" w:styleId="ListBulletCharCharChar">
    <w:name w:val="List Bullet Char Char Char"/>
    <w:rsid w:val="00536069"/>
    <w:rPr>
      <w:sz w:val="24"/>
      <w:lang w:val="da-DK" w:eastAsia="da-DK" w:bidi="da-DK"/>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da-DK" w:eastAsia="da-DK" w:bidi="da-DK"/>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da-DK" w:eastAsia="da-DK" w:bidi="da-DK"/>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da-DK" w:eastAsia="da-DK" w:bidi="da-DK"/>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da-DK" w:eastAsia="da-DK" w:bidi="da-DK"/>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da-DK" w:eastAsia="da-DK" w:bidi="da-DK"/>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da-DK" w:eastAsia="da-DK" w:bidi="da-DK"/>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da-DK" w:eastAsia="da-DK" w:bidi="da-DK"/>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da-DK" w:eastAsia="da-DK" w:bidi="da-DK"/>
    </w:rPr>
  </w:style>
  <w:style w:type="character" w:customStyle="1" w:styleId="InitialChar">
    <w:name w:val="Initial Char"/>
    <w:link w:val="Initial"/>
    <w:rsid w:val="00FD22F7"/>
    <w:rPr>
      <w:spacing w:val="-3"/>
      <w:sz w:val="24"/>
      <w:lang w:val="da-DK" w:eastAsia="da-DK" w:bidi="da-DK"/>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da-DK" w:eastAsia="da-DK" w:bidi="da-DK"/>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da-DK" w:eastAsia="da-DK" w:bidi="da-DK"/>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da-DK" w:eastAsia="da-DK" w:bidi="da-DK"/>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da-DK"/>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da-DK"/>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91736-25D8-4FE8-9840-E0C9A6B22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1585</Words>
  <Characters>9037</Characters>
  <Application>Microsoft Office Word</Application>
  <DocSecurity>4</DocSecurity>
  <PresentationFormat>Microsoft Word 8.0b</PresentationFormat>
  <Lines>75</Lines>
  <Paragraphs>21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2017-02-14T09:11:00Z</dcterms:created>
  <dcterms:modified xsi:type="dcterms:W3CDTF">2017-02-14T09:11:00Z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