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175D4C">
      <w:pPr>
        <w:spacing w:after="600"/>
        <w:jc w:val="center"/>
        <w:rPr>
          <w:rFonts w:ascii="Times New Roman" w:eastAsia="Calibri" w:hAnsi="Times New Roman"/>
          <w:b/>
          <w:szCs w:val="24"/>
        </w:rPr>
      </w:pPr>
      <w:r>
        <w:rPr>
          <w:rFonts w:ascii="Times New Roman" w:hAnsi="Times New Roman"/>
          <w:b/>
        </w:rPr>
        <w:t>Seguimiento de la Resolución del Parlamento Europeo con recomendaciones destinadas a la Comisión sobre el establecimiento de un mecanismo de la UE sobre la democracia, el Estado de Derecho y los derechos fundamentales, aprobado por la Comisión el 17 de enero de 2017</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Resolución presentada de conformidad con los artículos</w:t>
      </w:r>
      <w:r w:rsidR="002647F6">
        <w:rPr>
          <w:rFonts w:ascii="Times New Roman" w:hAnsi="Times New Roman"/>
          <w:b/>
        </w:rPr>
        <w:t xml:space="preserve"> </w:t>
      </w:r>
      <w:r>
        <w:rPr>
          <w:rFonts w:ascii="Times New Roman" w:hAnsi="Times New Roman"/>
          <w:b/>
        </w:rPr>
        <w:t>46 y 52 del Reglamento del Parlamento Europeo, por la Comisión de Libertades Civiles, Justicia y Asuntos de Interior (LIBE) tras el dictamen de la Comisión de Asuntos Constitucionales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Número de referencia del PE:</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Fecha de adopción de la Resolución</w:t>
      </w:r>
      <w:r>
        <w:rPr>
          <w:rFonts w:ascii="Times New Roman" w:hAnsi="Times New Roman"/>
        </w:rPr>
        <w:t>: 25 de octubre de 2016</w:t>
      </w:r>
    </w:p>
    <w:p w:rsidR="00FB4650" w:rsidRDefault="00FB4650" w:rsidP="00175D4C">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Asunto:</w:t>
      </w:r>
      <w:r>
        <w:rPr>
          <w:rFonts w:ascii="Times New Roman" w:hAnsi="Times New Roman"/>
        </w:rPr>
        <w:t xml:space="preserve"> Mecanismo de la UE para la democracia, el Estado de Derecho y los </w:t>
      </w:r>
      <w:bookmarkStart w:id="0" w:name="_GoBack"/>
      <w:bookmarkEnd w:id="0"/>
      <w:r>
        <w:rPr>
          <w:rFonts w:ascii="Times New Roman" w:hAnsi="Times New Roman"/>
        </w:rPr>
        <w:t>derechos fundamentales</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Breve análisis o evaluación de la Resolución y de lo solicitado en ella:</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En la Resolución se pide a la Comisión que presente, a más tardar en septiembre de 2017, una propuesta sobre la celebración de un Pacto de la Unión Europea para la Democracia, el Estado de Derecho y los Derechos Fundamentales («DED») en forma de acuerdo interinstitucional en virtud del artículo</w:t>
      </w:r>
      <w:r w:rsidR="002647F6">
        <w:rPr>
          <w:rFonts w:ascii="Times New Roman" w:hAnsi="Times New Roman"/>
        </w:rPr>
        <w:t xml:space="preserve"> </w:t>
      </w:r>
      <w:r>
        <w:rPr>
          <w:rFonts w:ascii="Times New Roman" w:hAnsi="Times New Roman"/>
        </w:rPr>
        <w:t>295 del TFUE, de conformidad con las recomendaciones detalladas que figuran en el anexo. La Resolución también contiene, entre otras cosas, sugerencias sobre una posible modificación del Tratado (por ejemplo, revisión del artículo</w:t>
      </w:r>
      <w:r w:rsidR="002647F6">
        <w:rPr>
          <w:rFonts w:ascii="Times New Roman" w:hAnsi="Times New Roman"/>
        </w:rPr>
        <w:t xml:space="preserve"> </w:t>
      </w:r>
      <w:r>
        <w:rPr>
          <w:rFonts w:ascii="Times New Roman" w:hAnsi="Times New Roman"/>
        </w:rPr>
        <w:t>7 del TUE, supresión del artículo</w:t>
      </w:r>
      <w:r w:rsidR="002647F6">
        <w:rPr>
          <w:rFonts w:ascii="Times New Roman" w:hAnsi="Times New Roman"/>
        </w:rPr>
        <w:t xml:space="preserve"> </w:t>
      </w:r>
      <w:r>
        <w:rPr>
          <w:rFonts w:ascii="Times New Roman" w:hAnsi="Times New Roman"/>
        </w:rPr>
        <w:t>51 de la Carta de los Derechos Fundamentales) y un llamamiento en favor de la adhesión de la Unión al Convenio Europeo de Derechos Humanos.</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En el anexo de la Resolución figura un borrador de Acuerdo Interinstitucional con detalles sobre el Pacto de la UE para la Democracia, el Estado de Derecho y los Derechos Fundamentales:</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Constará de un informe europeo de la DED con recomendaciones específicas por país («REP»).</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Incluirá un diálogo interparlamentario anual basado en el informe y un ciclo estratégico de la sobre la Democracia, el Estado de Derecho y los Derechos Fundamentales en las instituciones de la Unión.</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La Comisión redactará el correspondiente informe anual, incluidas las recomendaciones específicas por país, basándose en un proyecto de informe elaborado por un grupo de expertos independientes.</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El grupo de expertos tendrá 38 miembros, a saber, un experto independiente, designado por el Parlamento nacional de cada Estado miembro, que sea un juez cualificado del Tribunal Constitucional o del Tribunal Supremo que no se encuentre actualmente en activo, y otros diez expertos designados por el Parlamento Europeo, elegidos de entre una lista de expertos nombrados por una lista preestablecida de organizaciones. La Comisión se hará cargo de la secretaría del grupo de expertos.</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 xml:space="preserve">Si en los proyectos de REP elaborados por el grupo de expertos se llega a la conclusión de que existen motivos suficientes para invocar el artículo 7, </w:t>
      </w:r>
      <w:r>
        <w:rPr>
          <w:rFonts w:ascii="Times New Roman" w:hAnsi="Times New Roman"/>
        </w:rPr>
        <w:lastRenderedPageBreak/>
        <w:t>apartados 1 o 2, del TUE en relación con un Estado miembro determinado, la Comisión, el Consejo y el Parlamento Europeo debatirán cada uno el asunto sin demora y adoptarán una decisión motivada, que se deberá hacer pública.</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El grupo de expertos evaluará también la observancia de la Democracia, el Estado de Derecho y los Derechos Fundamentales por la Comisión, el Parlamento Europeo y el Consejo.</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Respuesta a las solicitudes y resumen de las medidas adoptadas o por adoptar por la Comisión:</w:t>
      </w:r>
    </w:p>
    <w:p w:rsidR="00742B27" w:rsidRDefault="00742B27" w:rsidP="00742B27">
      <w:pPr>
        <w:ind w:left="709"/>
        <w:rPr>
          <w:rFonts w:ascii="Times New Roman" w:eastAsia="Calibri" w:hAnsi="Times New Roman"/>
          <w:szCs w:val="24"/>
        </w:rPr>
      </w:pPr>
      <w:r>
        <w:rPr>
          <w:rFonts w:ascii="Times New Roman" w:hAnsi="Times New Roman"/>
        </w:rPr>
        <w:t>La Comisión agradece al Parlamento Europeo que haya planteado el importante tema de la manera de defender los valores comunes, la democracia, el Estado de Derecho y los derechos fundamentales en la UE. La Comisión apoya plenamente el objetivo subyacente a la Resolución, que es garantizar que nuestros valores y normas</w:t>
      </w:r>
      <w:r w:rsidR="004F3CD0">
        <w:rPr>
          <w:rFonts w:ascii="Times New Roman" w:hAnsi="Times New Roman"/>
        </w:rPr>
        <w:t xml:space="preserve"> </w:t>
      </w:r>
      <w:r>
        <w:rPr>
          <w:rFonts w:ascii="Times New Roman" w:hAnsi="Times New Roman"/>
        </w:rPr>
        <w:t>comunes sean respetados y aplicados. La cuestión clave es determinar los mejores medios para alcanzar ese objetivo.</w:t>
      </w:r>
    </w:p>
    <w:p w:rsidR="00742B27" w:rsidRDefault="00742B27" w:rsidP="00742B27">
      <w:pPr>
        <w:ind w:left="709"/>
        <w:rPr>
          <w:rFonts w:ascii="Times New Roman" w:eastAsia="Calibri" w:hAnsi="Times New Roman"/>
          <w:szCs w:val="24"/>
        </w:rPr>
      </w:pPr>
      <w:r>
        <w:rPr>
          <w:rFonts w:ascii="Times New Roman" w:hAnsi="Times New Roman"/>
        </w:rPr>
        <w:t>La Comisión ha estudiado atentamente la Resolución, algunos de cuyos aspectos respalda plenamente. En particular, la Comisión apoya un enfoque integrador con todas las partes interesadas, incluidas las instituciones de la UE, los Estados miembros y la sociedad civil.</w:t>
      </w:r>
    </w:p>
    <w:p w:rsidR="00742B27" w:rsidRDefault="00742B27" w:rsidP="00742B27">
      <w:pPr>
        <w:ind w:left="709"/>
        <w:rPr>
          <w:rFonts w:ascii="Times New Roman" w:eastAsia="Calibri" w:hAnsi="Times New Roman"/>
          <w:szCs w:val="24"/>
        </w:rPr>
      </w:pPr>
      <w:r>
        <w:rPr>
          <w:rFonts w:ascii="Times New Roman" w:hAnsi="Times New Roman"/>
        </w:rPr>
        <w:t>También apoya la idea del Parlamento Europeo de entablar un diálogo interparlamentario entre el Parlamento Europeo y los Parlamentos nacionales. Estos están involucrados en muchos de los problemas relacionados con el Estado de Derecho de los que hemos sido testigos recientemente en algunos Estados miembros. Es necesario trabajar para llegar a un entendimiento común sobre la mejor manera de defender nuestros valores comunes, tanto a escala nacional como europea. En el diálogo interparlamentario que el Parlamento Europeo contempla la posibilidad de entablar se podría, como primer paso, debatir las distintas opciones y medios que están siendo actualmente objeto de examen para garantizar que nuestros valores comunes sean respetados y aplicados. La Comisión estaría dispuesta a contribuir a un diálogo de esta índole.</w:t>
      </w:r>
    </w:p>
    <w:p w:rsidR="00742B27" w:rsidRDefault="00742B27" w:rsidP="00742B27">
      <w:pPr>
        <w:ind w:left="709"/>
        <w:rPr>
          <w:rFonts w:ascii="Times New Roman" w:eastAsia="Calibri" w:hAnsi="Times New Roman"/>
          <w:szCs w:val="24"/>
        </w:rPr>
      </w:pPr>
      <w:r>
        <w:rPr>
          <w:rFonts w:ascii="Times New Roman" w:hAnsi="Times New Roman"/>
        </w:rPr>
        <w:t>En lo que respecta a las sugerencias de la Resolución relativas a un posible cambio en los Tratados, la Comisión no las considera realistas a corto o medio plazo. Esto vale sobre todo para la propuesta de suprimir el artículo</w:t>
      </w:r>
      <w:r w:rsidR="002647F6">
        <w:rPr>
          <w:rFonts w:ascii="Times New Roman" w:hAnsi="Times New Roman"/>
        </w:rPr>
        <w:t xml:space="preserve"> </w:t>
      </w:r>
      <w:r>
        <w:rPr>
          <w:rFonts w:ascii="Times New Roman" w:hAnsi="Times New Roman"/>
        </w:rPr>
        <w:t>51 de la Carta de los Derechos Fundamentales.</w:t>
      </w:r>
    </w:p>
    <w:p w:rsidR="00742B27" w:rsidRDefault="00742B27" w:rsidP="00742B27">
      <w:pPr>
        <w:ind w:left="709"/>
        <w:rPr>
          <w:rFonts w:ascii="Times New Roman" w:eastAsia="Calibri" w:hAnsi="Times New Roman"/>
          <w:szCs w:val="24"/>
        </w:rPr>
      </w:pPr>
      <w:r>
        <w:rPr>
          <w:rFonts w:ascii="Times New Roman" w:hAnsi="Times New Roman"/>
        </w:rPr>
        <w:t>La Comisión sigue estando plenamente comprometida con la adhesión de la Unión al Convenio Europeo de Derechos Humanos. Esta adhesión reforzará nuestros valores comunes, contribuirá a la eficacia del Derecho de la UE y mejorará la coherencia de la protección de los derechos fundamentales en Europa. No obstante, el dictamen del Tribunal de Justicia de la Unión Europea plantea graves cuestiones jurídicas, algunas de la cuales son jurídica y políticamente complejas. Por lo tanto, la Comisión, en su calidad de negociador de la UE, prosigue sus consultas con el Comité especial designado por el Consejo.</w:t>
      </w:r>
    </w:p>
    <w:p w:rsidR="00742B27" w:rsidRDefault="00742B27" w:rsidP="00742B27">
      <w:pPr>
        <w:ind w:left="709"/>
        <w:rPr>
          <w:rFonts w:ascii="Times New Roman" w:eastAsia="Calibri" w:hAnsi="Times New Roman"/>
          <w:szCs w:val="24"/>
        </w:rPr>
      </w:pPr>
      <w:r>
        <w:rPr>
          <w:rFonts w:ascii="Times New Roman" w:hAnsi="Times New Roman"/>
        </w:rPr>
        <w:t>En este momento, la Comisión abriga serias dudas acerca de la necesidad y la viabilidad de un informe anual y de un ciclo estratégico en materia de democracia, Estado de Derecho y derechos fundamentales preparados por un comité de «expertos», y también de la necesidad, la viabilidad y el valor añadido de un acuerdo interinstitucional sobre este asunto. Algunos aspectos del enfoque propuesto, por ejemplo, el papel central atribuido a un grupo de expertos independientes en el Pacto propuesto, también suscitan graves cuestiones de legalidad, legitimidad y rendición de cuentas. Además, también hay problemas de tipo práctico y político que pueden dificultar el que se alcance una postura común al respecto entre todas las instituciones interesadas.</w:t>
      </w:r>
    </w:p>
    <w:p w:rsidR="00742B27" w:rsidRDefault="00742B27" w:rsidP="00742B27">
      <w:pPr>
        <w:ind w:left="709"/>
        <w:rPr>
          <w:rFonts w:ascii="Times New Roman" w:eastAsia="Calibri" w:hAnsi="Times New Roman"/>
          <w:szCs w:val="24"/>
        </w:rPr>
      </w:pPr>
      <w:r>
        <w:rPr>
          <w:rFonts w:ascii="Times New Roman" w:hAnsi="Times New Roman"/>
        </w:rPr>
        <w:t>La Comisión considera que, en primer lugar, es preciso hacer el mejor uso posible de los instrumentos existentes, evitando a la vez los solapamientos. Una serie de agentes e instrumentos existentes ya aporta un conjunto de medios complementarios y eficaces para promover y defender los valores comunes. La Comisión seguirá valorando y aprovechando esos medios.</w:t>
      </w:r>
    </w:p>
    <w:p w:rsidR="00742B27" w:rsidRDefault="00742B27" w:rsidP="00742B27">
      <w:pPr>
        <w:ind w:left="709"/>
        <w:rPr>
          <w:rFonts w:ascii="Times New Roman" w:eastAsia="Calibri" w:hAnsi="Times New Roman"/>
          <w:szCs w:val="24"/>
        </w:rPr>
      </w:pPr>
      <w:r>
        <w:rPr>
          <w:rFonts w:ascii="Times New Roman" w:hAnsi="Times New Roman"/>
        </w:rPr>
        <w:t>En 2014, la Comisión adoptó el Marco del Estado de Derecho y lo está aplicando en el caso de Polonia. Esto debería despejar cualquier duda sobre el hecho de que la Comisión se toma muy en serio la protección del Estado de Derecho. A este respecto, la Comisión agradece el apoyo demostrado por el Parlamento a este planteamiento en su Resolución del pasado 14 de septiembre. La Comisión también aprecia los debates en el pleno sobre el tema organizados por el Parlamento Europeo.</w:t>
      </w:r>
    </w:p>
    <w:p w:rsidR="00742B27" w:rsidRDefault="00742B27" w:rsidP="00742B27">
      <w:pPr>
        <w:ind w:left="709"/>
        <w:rPr>
          <w:rFonts w:ascii="Times New Roman" w:eastAsia="Calibri" w:hAnsi="Times New Roman"/>
          <w:szCs w:val="24"/>
        </w:rPr>
      </w:pPr>
      <w:r>
        <w:rPr>
          <w:rFonts w:ascii="Times New Roman" w:hAnsi="Times New Roman"/>
        </w:rPr>
        <w:t>El Consejo también creó en 2014 un diálogo sobre el Estado de Derecho, en el cual se debaten temas relacionados con el Estado de Derecho. El pasado 15 de noviembre, el Consejo evaluó el diálogo y la mayoría de los Estados miembros señaló la importancia de garantizar la continuación y el refuerzo del mismo gracias a la celebración de debates con mayor frecuencia. Estos debates deberían estar mejor estructurados y guiarse en mayor medida por la búsqueda de resultados. También se acordó que el diálogo sobre el Estado de Derecho debe volver a evaluarse antes de que finalice 2019, a fin de estudiar la posibilidad de convertir el diálogo en una actividad anual de revisión inter pares.</w:t>
      </w:r>
    </w:p>
    <w:p w:rsidR="00742B27" w:rsidRDefault="00742B27" w:rsidP="00742B27">
      <w:pPr>
        <w:ind w:left="709"/>
        <w:rPr>
          <w:rFonts w:ascii="Times New Roman" w:eastAsia="Calibri" w:hAnsi="Times New Roman"/>
          <w:szCs w:val="24"/>
        </w:rPr>
      </w:pPr>
      <w:r>
        <w:rPr>
          <w:rFonts w:ascii="Times New Roman" w:hAnsi="Times New Roman"/>
        </w:rPr>
        <w:t>La Comisión apoya la idea subyacente en la Resolución de hacer más accesibles y visibles los variados datos e informes existentes, también a nivel nacional. Existen otras muchas instancias, incluidos el Consejo de Europa y su Comisión de Venecia, la Agencia Europea de Derechos Fundamentales y las organizaciones no gubernamentales, que contribuyen al control del Estado de Derecho, la democracia y los derechos fundamentales en los Estados miembros de la UE.</w:t>
      </w:r>
    </w:p>
    <w:p w:rsidR="00742B27" w:rsidRDefault="00742B27" w:rsidP="00742B27">
      <w:pPr>
        <w:ind w:left="709"/>
        <w:rPr>
          <w:rFonts w:ascii="Times New Roman" w:eastAsia="Calibri" w:hAnsi="Times New Roman"/>
          <w:szCs w:val="24"/>
        </w:rPr>
      </w:pPr>
      <w:r>
        <w:rPr>
          <w:rFonts w:ascii="Times New Roman" w:hAnsi="Times New Roman"/>
        </w:rPr>
        <w:t>La Agencia de los Derechos Fundamentales de la Unión Europea</w:t>
      </w:r>
      <w:r w:rsidR="004F3CD0">
        <w:rPr>
          <w:rFonts w:ascii="Times New Roman" w:hAnsi="Times New Roman"/>
        </w:rPr>
        <w:t xml:space="preserve"> </w:t>
      </w:r>
      <w:r>
        <w:rPr>
          <w:rFonts w:ascii="Times New Roman" w:hAnsi="Times New Roman"/>
        </w:rPr>
        <w:t>tiene un papel que desempeñar facilitando el acceso a un panorama claro de los datos e informes existentes relativos a los Estados miembros o a temas específicos, tal como se recoge en el documento de programación de la Agencia para el período comprendido entre 2017 y 2019.</w:t>
      </w:r>
    </w:p>
    <w:p w:rsidR="00742B27" w:rsidRDefault="00742B27" w:rsidP="00742B27">
      <w:pPr>
        <w:ind w:left="709"/>
        <w:rPr>
          <w:rFonts w:ascii="Times New Roman" w:eastAsia="Calibri" w:hAnsi="Times New Roman"/>
          <w:szCs w:val="24"/>
        </w:rPr>
      </w:pPr>
      <w:r>
        <w:rPr>
          <w:rFonts w:ascii="Times New Roman" w:hAnsi="Times New Roman"/>
        </w:rPr>
        <w:t>La Comisión considera de vital importancia seguir ayudando a los Estados miembros a mejorar la eficacia de sus sistemas judiciales nacionales mediante el Semestre Europeo, y apoyar las reformas de la justicia en los Estados miembros con fondos de la Unión y el cuadro de indicadores de la justicia en la UE. En términos más generales, se debe alentar a los Estados miembros a mejorar su capacidad de velar por el cumplimiento de la ley y ofrecer vías de recurso.</w:t>
      </w:r>
    </w:p>
    <w:p w:rsidR="00742B27" w:rsidRDefault="00742B27" w:rsidP="00742B27">
      <w:pPr>
        <w:ind w:left="709"/>
        <w:rPr>
          <w:rFonts w:ascii="Times New Roman" w:eastAsia="Calibri" w:hAnsi="Times New Roman"/>
          <w:szCs w:val="24"/>
        </w:rPr>
      </w:pPr>
      <w:r>
        <w:rPr>
          <w:rFonts w:ascii="Times New Roman" w:hAnsi="Times New Roman"/>
        </w:rPr>
        <w:t>Para que los derechos consagrados en la Carta sean efectivos en la práctica, la Comisión apoya la creación de herramientas para mejorar la concienciación de jueces, fiscales, profesionales de la justicia y organismos nacionales de derechos humanos de los Estados miembros.</w:t>
      </w:r>
    </w:p>
    <w:p w:rsidR="00742B27" w:rsidRDefault="00742B27" w:rsidP="00742B27">
      <w:pPr>
        <w:ind w:left="709"/>
        <w:rPr>
          <w:rFonts w:ascii="Times New Roman" w:eastAsia="Calibri" w:hAnsi="Times New Roman"/>
          <w:szCs w:val="24"/>
        </w:rPr>
      </w:pPr>
      <w:r>
        <w:rPr>
          <w:rFonts w:ascii="Times New Roman" w:hAnsi="Times New Roman"/>
        </w:rPr>
        <w:t>También concede especial importancia a que las personas conozcan mejor la manera en que pueden hacer valer sus derechos fundamentales y adónde dirigirse para exigir su observancia.</w:t>
      </w:r>
    </w:p>
    <w:p w:rsidR="00742B27" w:rsidRDefault="00742B27" w:rsidP="00742B27">
      <w:pPr>
        <w:ind w:left="709"/>
        <w:rPr>
          <w:rFonts w:ascii="Times New Roman" w:eastAsia="Calibri" w:hAnsi="Times New Roman"/>
          <w:szCs w:val="24"/>
        </w:rPr>
      </w:pPr>
      <w:r>
        <w:rPr>
          <w:rFonts w:ascii="Times New Roman" w:hAnsi="Times New Roman"/>
        </w:rPr>
        <w:t>Con vistas al cumplimiento en la práctica de los derechos fundamentales, la Comisión hará el mejor uso posible de los programas existentes a fin de capacitar a las organizaciones de la sociedad civil y a los organismos de derechos humanos que trabajan para aumentar el conocimiento de la Carta y garantizar su aplicación a escala nacional. No obstante, la Comisión señala que, salvo en los procesos civiles y penales, no existe ninguna base jurídica para la adopción de normas de la UE sobre la asistencia jurídica gratuita en los procesos ante los órganos jurisdiccionales de los Estados miembros. En lo que respecta a los procesos ante los tribunales de la UE, ya existen sistemas de asistencia jurídica gratuita en el Reglamento de Procedimiento del Tribunal de Justicia y del Tribunal General.</w:t>
      </w:r>
    </w:p>
    <w:p w:rsidR="00742B27" w:rsidRDefault="00742B27" w:rsidP="00742B27">
      <w:pPr>
        <w:ind w:left="709"/>
        <w:rPr>
          <w:rFonts w:ascii="Times New Roman" w:eastAsia="Calibri" w:hAnsi="Times New Roman"/>
          <w:szCs w:val="24"/>
        </w:rPr>
      </w:pPr>
      <w:r>
        <w:rPr>
          <w:rFonts w:ascii="Times New Roman" w:hAnsi="Times New Roman"/>
        </w:rPr>
        <w:t>La Comisión también considera importantes la promoción y la garantía de la participación democrática y la concienciación sobre el derecho de voto. Por lo tanto, la Comisión apoyará el trabajo, en colaboración con las partes interesadas, incluida la sociedad civil, dirigido a profundizar en la capacitación de los ciudadanos de la Unión para hacer plenamente suyos los derechos vinculados a la ciudadanía de la UE. Estos derechos, incluido el derecho a votar y a presentarse como candidato en las elecciones municipales y europeas en cualquier Estado miembro de la UE en las mismas condiciones que los nacionales de dicho Estado, consolidan la democracia a nivel de la Unión y son una manifestación de nuestros valores democráticos comunes.</w:t>
      </w:r>
    </w:p>
    <w:p w:rsidR="00742B27" w:rsidRDefault="00742B27" w:rsidP="00742B27">
      <w:pPr>
        <w:ind w:left="709"/>
        <w:rPr>
          <w:rFonts w:ascii="Times New Roman" w:eastAsia="Calibri" w:hAnsi="Times New Roman"/>
          <w:szCs w:val="24"/>
          <w:highlight w:val="yellow"/>
        </w:rPr>
      </w:pPr>
      <w:r>
        <w:rPr>
          <w:rFonts w:ascii="Times New Roman" w:hAnsi="Times New Roman"/>
        </w:rPr>
        <w:t>La Comisión evalúa permanentemente la manera en que pueden emplearse mejor los instrumentos existentes para promover y defender el Estado de Derecho, la democracia y los derechos fundamentales, y está dispuesta a continuar el diálogo con el Parlamento Europeo a este respecto.</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75D4C">
      <w:rPr>
        <w:rStyle w:val="PageNumber"/>
        <w:noProof/>
      </w:rPr>
      <w:t>4</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Comisión Europea, B-1049 Bruselas - Bélgica. Teléfono: +32 22991111.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5D4C"/>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7F6"/>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CD0"/>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es-ES"/>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s-ES"/>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es-ES" w:eastAsia="es-ES" w:bidi="es-ES"/>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s-ES" w:eastAsia="es-ES" w:bidi="es-ES"/>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s-ES" w:eastAsia="es-ES" w:bidi="es-ES"/>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s-ES" w:eastAsia="es-ES" w:bidi="es-ES"/>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es-ES" w:eastAsia="es-ES" w:bidi="es-ES"/>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s-ES" w:eastAsia="es-ES" w:bidi="es-ES"/>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es-ES" w:eastAsia="es-ES" w:bidi="es-ES"/>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s-ES" w:eastAsia="es-ES" w:bidi="es-ES"/>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es-ES"/>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s-ES" w:eastAsia="es-ES" w:bidi="es-ES"/>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es-ES" w:eastAsia="es-ES" w:bidi="es-ES"/>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s-ES" w:eastAsia="es-ES" w:bidi="es-ES"/>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s-ES" w:eastAsia="es-ES" w:bidi="es-ES"/>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s-ES" w:eastAsia="es-ES" w:bidi="es-ES"/>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es-ES" w:eastAsia="es-ES" w:bidi="es-ES"/>
    </w:rPr>
  </w:style>
  <w:style w:type="character" w:customStyle="1" w:styleId="Normal12HangingZnak">
    <w:name w:val="Normal12Hanging Znak"/>
    <w:rsid w:val="006474F2"/>
    <w:rPr>
      <w:sz w:val="24"/>
      <w:lang w:val="es-ES" w:eastAsia="es-ES" w:bidi="es-ES"/>
    </w:rPr>
  </w:style>
  <w:style w:type="character" w:customStyle="1" w:styleId="Text2Char1">
    <w:name w:val="Text 2 Char1"/>
    <w:link w:val="Text2"/>
    <w:rsid w:val="006474F2"/>
    <w:rPr>
      <w:rFonts w:ascii="Courier New" w:hAnsi="Courier New"/>
      <w:sz w:val="24"/>
      <w:lang w:val="es-ES" w:eastAsia="es-ES" w:bidi="es-ES"/>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s-ES" w:eastAsia="es-ES" w:bidi="es-ES"/>
    </w:rPr>
  </w:style>
  <w:style w:type="character" w:customStyle="1" w:styleId="ListBulletCharCharChar">
    <w:name w:val="List Bullet Char Char Char"/>
    <w:rsid w:val="00536069"/>
    <w:rPr>
      <w:sz w:val="24"/>
      <w:lang w:val="es-ES" w:eastAsia="es-ES" w:bidi="es-ES"/>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es-ES" w:eastAsia="es-ES" w:bidi="es-ES"/>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s-ES" w:eastAsia="es-ES" w:bidi="es-ES"/>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s-ES" w:eastAsia="es-ES" w:bidi="es-E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es-ES" w:eastAsia="es-ES" w:bidi="es-ES"/>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es-ES" w:eastAsia="es-ES" w:bidi="es-ES"/>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es-ES" w:eastAsia="es-ES" w:bidi="es-ES"/>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es-ES" w:eastAsia="es-ES" w:bidi="es-ES"/>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s-ES" w:eastAsia="es-ES" w:bidi="es-ES"/>
    </w:rPr>
  </w:style>
  <w:style w:type="character" w:customStyle="1" w:styleId="InitialChar">
    <w:name w:val="Initial Char"/>
    <w:link w:val="Initial"/>
    <w:rsid w:val="00FD22F7"/>
    <w:rPr>
      <w:spacing w:val="-3"/>
      <w:sz w:val="24"/>
      <w:lang w:val="es-ES" w:eastAsia="es-ES" w:bidi="es-ES"/>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s-ES" w:eastAsia="es-ES" w:bidi="es-ES"/>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s-ES" w:eastAsia="es-ES" w:bidi="es-ES"/>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s-ES" w:eastAsia="es-ES" w:bidi="es-ES"/>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es-E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es-E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DD312-F42A-4C64-803D-7961622A7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1723</Words>
  <Characters>9822</Characters>
  <Application>Microsoft Office Word</Application>
  <DocSecurity>4</DocSecurity>
  <PresentationFormat>Microsoft Word 8.0b</PresentationFormat>
  <Lines>81</Lines>
  <Paragraphs>23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2017-02-14T09:10:00Z</dcterms:created>
  <dcterms:modified xsi:type="dcterms:W3CDTF">2017-02-14T09:10:00Z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