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A05234">
      <w:pPr>
        <w:spacing w:after="600"/>
        <w:jc w:val="center"/>
        <w:rPr>
          <w:rFonts w:ascii="Times New Roman" w:eastAsia="Calibri" w:hAnsi="Times New Roman"/>
          <w:b/>
          <w:szCs w:val="24"/>
        </w:rPr>
      </w:pPr>
      <w:r>
        <w:rPr>
          <w:rFonts w:ascii="Times New Roman" w:hAnsi="Times New Roman"/>
          <w:b/>
        </w:rPr>
        <w:t>17. jaanuaril 2017 komisjoni vastu võetud järelmeede Euroopa Parlamendi resolutsioonile soovitustega komisjonile ELi demokraatia, õigusriigi põhimõtte ja põhiõiguste mehhanismi loomise kohta</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Resolutsioon, mille esitas kodanikuvabaduste, justiits- ja siseasjade komisjon (LIBE) parlamendi kodukorra artiklite 46 ja 52 kohaselt pärast Põhiseaduskomisjonilt (AFCO) arvamuse saamist</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Euroopa Parlamendi viitenumber:</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Resolutsiooni vastuvõtmise kuupäev:</w:t>
      </w:r>
      <w:r>
        <w:rPr>
          <w:rFonts w:ascii="Times New Roman" w:hAnsi="Times New Roman"/>
        </w:rPr>
        <w:t xml:space="preserve"> 25. oktoober 2016</w:t>
      </w:r>
    </w:p>
    <w:p w:rsidR="00FB4650" w:rsidRDefault="00FB4650" w:rsidP="00A05234">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Teema:</w:t>
      </w:r>
      <w:r>
        <w:rPr>
          <w:rFonts w:ascii="Times New Roman" w:hAnsi="Times New Roman"/>
        </w:rPr>
        <w:t xml:space="preserve"> ELi demokraatia, õigusriigi põhimõtte ja põhiõiguste mehhanismi </w:t>
      </w:r>
      <w:bookmarkStart w:id="0" w:name="_GoBack"/>
      <w:bookmarkEnd w:id="0"/>
      <w:r>
        <w:rPr>
          <w:rFonts w:ascii="Times New Roman" w:hAnsi="Times New Roman"/>
        </w:rPr>
        <w:t>loomine</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Resolutsiooni ja selles esitatud palvete lühianalüüs/hinnang:</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Resolutsioonis palutakse komisjonil esitada Euroopa Liidu toimimise lepingu artikli 295 alusel 2017. aasta septembriks ettepanek sõlmida demokraatiat, õigusriigi põhimõtet ja põhiõigusi käsitlev liidu pakt institutsioonidevahelise kokkuleppe vormis, järgides lisas toodud üksikasjalikke soovitusi. Resolutsioonis on esitatud ka soovitus aluslepingu võimalikuks muutmiseks (nt ELi lepingu artikli 7 läbivaatamine, põhiõiguste harta artikli 51 tühistamine) ja üleskutse liidu ühinemiseks Euroopa inimõiguste konventsiooniga.</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Resolutsiooni lisas on esitatud eelnõu institutsioonidevahelise kokkuleppe kohta, milles on täpsustatud demokraatiat, õigusriigi põhimõtet ja põhiõigusi käsitleva liidu pakti üksikasjad.</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Kokkuleppe osaks on aruanne demokraatia, õigusriigi põhimõtte ja põhiõiguste kohta koos riigipõhiste soovitustega (edaspidi „aruanne“).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See hõlmab aruande alusel peetavat iga-aastast parlamentidevahelist arutelu ning liidu institutsioonide demokraatia, õigusriigi põhimõtte ja põhiõiguste poliitikatsüklit.</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Iga-aastase aruande demokraatia, õigusriigi põhimõtte ja põhiõiguste kohta, sh riigipõhised soovitused, koostab komisjon aruande eelnõu alusel, mille on ette valmistanud sõltumatute ekspertide rühm.</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Ekspertide rühma kuulub 38 liiget: iga liikmesriigi parlamendi määratud üks sõltumatu ekspert, kes on kvalifitseeritud põhiseaduskohtu või ülemkohtu kohtunik, kes ei ole aktiivses teenistuses, ja kümme eksperti, kelle nimetab Euroopa Parlament kahekolmandikulise häälteenamusega ekspertide nimekirja alusel, millesse on eksperte nimetanud. Komisjoni ülesanne on tagada ekspertide rühmale sekretariaaditeenused.</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Kui sõltumatute ekspertide rühma ette valmistatud aruande eelnõus jõutakse järeldusele, et konkreetse liikmeriigi puhul on piisavalt alust Euroopa Liidu lepingu artikli 7 lõike 1 ja artikli 7 lõike 2 kohaldamiseks, arutavad komisjon, nõukogu ja Euroopa Parlament igaüks viivitamata seda küsimust ja iga institutsioon teeb põhjendatud otsuse, mis avalikustatakse.</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Ekspertide rühm hindab ka komisjoni, Euroopa Parlamendi ja nõukogu tegevuse vastavust demokraatia, õigusriigi põhimõtte ja põhiõiguste seisukohast.</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Vastus palvetele ja ülevaade meetmetest, mida komisjoni on võtnud või kavandab võtta</w:t>
      </w:r>
    </w:p>
    <w:p w:rsidR="00742B27" w:rsidRDefault="00742B27" w:rsidP="00742B27">
      <w:pPr>
        <w:ind w:left="709"/>
        <w:rPr>
          <w:rFonts w:ascii="Times New Roman" w:eastAsia="Calibri" w:hAnsi="Times New Roman"/>
          <w:szCs w:val="24"/>
        </w:rPr>
      </w:pPr>
      <w:r>
        <w:rPr>
          <w:rFonts w:ascii="Times New Roman" w:hAnsi="Times New Roman"/>
        </w:rPr>
        <w:t>Komisjon on tänulik, et Euroopa Parlament on tõstatanud olulise teema</w:t>
      </w:r>
      <w:r w:rsidR="002E3552">
        <w:rPr>
          <w:rFonts w:ascii="Times New Roman" w:hAnsi="Times New Roman"/>
        </w:rPr>
        <w:t>,</w:t>
      </w:r>
      <w:r>
        <w:rPr>
          <w:rFonts w:ascii="Times New Roman" w:hAnsi="Times New Roman"/>
        </w:rPr>
        <w:t xml:space="preserve"> kuidas kaitsta ELis ühiseid väärtusi, demokraatiat, õigusriigi põhimõtet ja põhiõiguseid. Komisjon toetab täielikult resolutsiooni eesmärki tagada meie ühiste väärtuste ja normide järgimine ja nende järgimise tagamine. Kõige olulisem on teha kindlaks selle eesmärgi saavutamiseks parimad vahendid. </w:t>
      </w:r>
    </w:p>
    <w:p w:rsidR="00742B27" w:rsidRDefault="00742B27" w:rsidP="00742B27">
      <w:pPr>
        <w:ind w:left="709"/>
        <w:rPr>
          <w:rFonts w:ascii="Times New Roman" w:eastAsia="Calibri" w:hAnsi="Times New Roman"/>
          <w:szCs w:val="24"/>
        </w:rPr>
      </w:pPr>
      <w:r>
        <w:rPr>
          <w:rFonts w:ascii="Times New Roman" w:hAnsi="Times New Roman"/>
        </w:rPr>
        <w:t>Komisjon on resolutsiooni hoolikalt läbi vaadanud ja toetab selle teatavaid osi täielikult. Eelkõige toetab komisjon kaasavat lähenemisviisi, mis hõlmab kõiki sidusrühmi, sh ELi institutsioone, liikmesriike ja kodanikuühiskonda.</w:t>
      </w:r>
    </w:p>
    <w:p w:rsidR="00742B27" w:rsidRDefault="00742B27" w:rsidP="00742B27">
      <w:pPr>
        <w:ind w:left="709"/>
        <w:rPr>
          <w:rFonts w:ascii="Times New Roman" w:eastAsia="Calibri" w:hAnsi="Times New Roman"/>
          <w:szCs w:val="24"/>
        </w:rPr>
      </w:pPr>
      <w:r>
        <w:rPr>
          <w:rFonts w:ascii="Times New Roman" w:hAnsi="Times New Roman"/>
        </w:rPr>
        <w:t>Komisjon toetab ka Euroopa Parlamendi ideed hakata Euroopa Parlamendi ja liikmesriikide parlamentide vahel pidama parlamentidevahelist arutelu. Liikmesriikide parlamendid on segatud nii mitmessegi õigusriigi põhimõttega seotud probleemi, mis mõnes liikmesriigis on hiljuti esinenud. Peame töötama selles suunas, et jõuda ühise arusaamani, kuidas kõige paremini kaitsta meie ühiseid väärtuseid nii liikmesriikides kui ka ELis. Euroopa Parlamendi kavandatava parlamentidevahelise arutelu raames võiks kõigepealt arutada nende eri võimaluste ja vahendite üle, mis on praegu kättesaadavad, et tagada meie ühiste väärtuste järgimine ja järgimise tagamine. Komisjon on valmis sellisesse dialoogi panustama.</w:t>
      </w:r>
    </w:p>
    <w:p w:rsidR="00742B27" w:rsidRDefault="00742B27" w:rsidP="00742B27">
      <w:pPr>
        <w:ind w:left="709"/>
        <w:rPr>
          <w:rFonts w:ascii="Times New Roman" w:eastAsia="Calibri" w:hAnsi="Times New Roman"/>
          <w:szCs w:val="24"/>
        </w:rPr>
      </w:pPr>
      <w:r>
        <w:rPr>
          <w:rFonts w:ascii="Times New Roman" w:hAnsi="Times New Roman"/>
        </w:rPr>
        <w:t>Mis puudutab resolutsioonis soovitatud võimalikku aluslepingute muutmist, siis ei pea komisjon seda ei lühikeses ega pikas perspektiivis reaalseks. Jutt käib eelkõige ettepanekust tühistada põhiõiguste harta artikkel 51.</w:t>
      </w:r>
    </w:p>
    <w:p w:rsidR="00742B27" w:rsidRDefault="00742B27" w:rsidP="00742B27">
      <w:pPr>
        <w:ind w:left="709"/>
        <w:rPr>
          <w:rFonts w:ascii="Times New Roman" w:eastAsia="Calibri" w:hAnsi="Times New Roman"/>
          <w:szCs w:val="24"/>
        </w:rPr>
      </w:pPr>
      <w:r>
        <w:rPr>
          <w:rFonts w:ascii="Times New Roman" w:hAnsi="Times New Roman"/>
        </w:rPr>
        <w:t>Liidu ühinemine Euroopa inimõiguste konventsiooniga on jätkuvalt komisjoni kindel eesmärk. Konventsiooniga ühinemine tugevdab meie ühiseid väärtusi, toetab ELi õiguse tõhusust ja muudab põhiõiguste kaitse Euroopas sidusamaks. Samas tõstatas Euroopa Liidu Kohus oma arvamuses tõsiseid õiguslikke probleeme. Mõned neist on õiguslikult ja poliitiliselt keerukad. Seepärast jätkab komisjon ELi läbirääkijana konsultatsioone nõukogu määratud erikomiteega.</w:t>
      </w:r>
    </w:p>
    <w:p w:rsidR="00742B27" w:rsidRDefault="00742B27" w:rsidP="00742B27">
      <w:pPr>
        <w:ind w:left="709"/>
        <w:rPr>
          <w:rFonts w:ascii="Times New Roman" w:eastAsia="Calibri" w:hAnsi="Times New Roman"/>
          <w:szCs w:val="24"/>
        </w:rPr>
      </w:pPr>
      <w:r>
        <w:rPr>
          <w:rFonts w:ascii="Times New Roman" w:hAnsi="Times New Roman"/>
        </w:rPr>
        <w:t>Praeguses etapis kahtleb komisjon tõsiselt iga-aastase aruande ning nn ekspertide komitee ettevalmistatud demokraatia, õigusriigi põhimõtte ja põhiõiguste poliitikatsükli vajaduses ja teostatavuses. Samuti on tal tõsiseid kahtlusi sellesisulise institutsioonidevahelise kokkuleppe vajaduses, teostatavuses ja lisaväärtuses. Samuti tekitavad kavandatud lähenemisviisi mõned osad, nt sõltumatute ekspertide rühma keskne roll kavandatud paktis, olulisi küsitavusi seoses õiguspärasuse, institutsionaalse legitiimsuse ja vastutusega. Lisaks on ka praktilist ja poliitilist laadi küsimusi, mis võivad muuta ühise keele leidmise kõigi asjaomaste institutsioonide vahel keeruliseks.</w:t>
      </w:r>
    </w:p>
    <w:p w:rsidR="00742B27" w:rsidRDefault="00742B27" w:rsidP="00742B27">
      <w:pPr>
        <w:ind w:left="709"/>
        <w:rPr>
          <w:rFonts w:ascii="Times New Roman" w:eastAsia="Calibri" w:hAnsi="Times New Roman"/>
          <w:szCs w:val="24"/>
        </w:rPr>
      </w:pPr>
      <w:r>
        <w:rPr>
          <w:rFonts w:ascii="Times New Roman" w:hAnsi="Times New Roman"/>
        </w:rPr>
        <w:t>Komisjon leiab, et esmalt tuleks võimalikult hästi kasutada ära olemasolevad vahendid, hoidudes samal ajal dubleerimisest. Mitmed olemasolevad vahendid ja osalejad pakuvad juba täiendavaid ja tõhusaid vahendeid, millega edendada ja kaitsta ühiseid väärtusi. Komisjon jätkab nende vahendite väärtustamist ja neile tuginemist.</w:t>
      </w:r>
    </w:p>
    <w:p w:rsidR="00742B27" w:rsidRDefault="00742B27" w:rsidP="00742B27">
      <w:pPr>
        <w:ind w:left="709"/>
        <w:rPr>
          <w:rFonts w:ascii="Times New Roman" w:eastAsia="Calibri" w:hAnsi="Times New Roman"/>
          <w:szCs w:val="24"/>
        </w:rPr>
      </w:pPr>
      <w:r>
        <w:rPr>
          <w:rFonts w:ascii="Times New Roman" w:hAnsi="Times New Roman"/>
        </w:rPr>
        <w:lastRenderedPageBreak/>
        <w:t xml:space="preserve">2014. aastal võttis komisjon vastu õigusriigi põhimõtete raamistiku. Praegu kohaldab komisjon seda raamistikku Poola suhtes. See ei tohiks jätta pisimatki kahtlust, et komisjon võtab õigusriigi põhimõtete kaitsmist vägagi tõsiselt. Siinkohal on komisjon tänulik toetuse eest, mida parlament on selle lähenemisviisi suhtes 14. septembri resolutsioonis väljendanud. Komisjon hindab ka täiskogu arutelusid, mida Euroopa Parlamendi on sel teemal korraldanud. </w:t>
      </w:r>
    </w:p>
    <w:p w:rsidR="00742B27" w:rsidRDefault="00742B27" w:rsidP="00742B27">
      <w:pPr>
        <w:ind w:left="709"/>
        <w:rPr>
          <w:rFonts w:ascii="Times New Roman" w:eastAsia="Calibri" w:hAnsi="Times New Roman"/>
          <w:szCs w:val="24"/>
        </w:rPr>
      </w:pPr>
      <w:r>
        <w:rPr>
          <w:rFonts w:ascii="Times New Roman" w:hAnsi="Times New Roman"/>
        </w:rPr>
        <w:t xml:space="preserve">Ka nõukogu algatas 2014. aastal õigusriiki käsitleva dialoogi, mille raames ta arutleb õigusriigi põhimõtetega seotud probleemide üle. Nõukogu hindas dialoogi 15. novembril ja enamik liikmesriike toonitas dialoogi jätkamise ja tugevdamise olulisust. Selleks tuleks sagedamini korraldada arutelusid, mis peaksid olema rohkem tulemustele suunatud ja paremini struktureeritud. Lepiti ka kokku, et dialoogi uus hindamine peaks toimuma 2019. aasta lõpus, et kaaluda võimalust muuta õigusriiki käsitlev dialoog iga-aastaseks vastastikuseks hindamiseks. </w:t>
      </w:r>
    </w:p>
    <w:p w:rsidR="00742B27" w:rsidRDefault="00742B27" w:rsidP="00742B27">
      <w:pPr>
        <w:ind w:left="709"/>
        <w:rPr>
          <w:rFonts w:ascii="Times New Roman" w:eastAsia="Calibri" w:hAnsi="Times New Roman"/>
          <w:szCs w:val="24"/>
        </w:rPr>
      </w:pPr>
      <w:r>
        <w:rPr>
          <w:rFonts w:ascii="Times New Roman" w:hAnsi="Times New Roman"/>
        </w:rPr>
        <w:t>Komisjon toetab resolutsiooni kandvat ideed muuta olemasolevad andmed ja aruanded kättesaadavamaks ja nähtavamaks ka liikmesriikides. Ka mitu muud osalejat, sh Euroopa Nõukogu ja selle Veneetsia komisjon, Euroopa Liidu Põhiõiguste Amet ja vabaühendused, panustavad õigusriigi põhimõtete, demokraatia ja põhiõiguste järelevalvesse meie liikmesriikides.</w:t>
      </w:r>
    </w:p>
    <w:p w:rsidR="00742B27" w:rsidRDefault="00742B27" w:rsidP="00742B27">
      <w:pPr>
        <w:ind w:left="709"/>
        <w:rPr>
          <w:rFonts w:ascii="Times New Roman" w:eastAsia="Calibri" w:hAnsi="Times New Roman"/>
          <w:szCs w:val="24"/>
        </w:rPr>
      </w:pPr>
      <w:r>
        <w:rPr>
          <w:rFonts w:ascii="Times New Roman" w:hAnsi="Times New Roman"/>
        </w:rPr>
        <w:t>Euroopa Liidu Põhiõiguste Amet saab siin kaasa aidata, tehes kergesti kättesaadavaks selge ülevaate olemasolevatest andmetest ja aruannetest, mis puudutavad liikmesriike või konkreetseid teemasid, nagu märgitud ameti programmidokumendis aastateks 2017–2019.</w:t>
      </w:r>
    </w:p>
    <w:p w:rsidR="00742B27" w:rsidRDefault="00742B27" w:rsidP="00742B27">
      <w:pPr>
        <w:ind w:left="709"/>
        <w:rPr>
          <w:rFonts w:ascii="Times New Roman" w:eastAsia="Calibri" w:hAnsi="Times New Roman"/>
          <w:szCs w:val="24"/>
        </w:rPr>
      </w:pPr>
      <w:r>
        <w:rPr>
          <w:rFonts w:ascii="Times New Roman" w:hAnsi="Times New Roman"/>
        </w:rPr>
        <w:t xml:space="preserve">Komisjon leiab, et on äärmiselt oluline, et </w:t>
      </w:r>
      <w:r w:rsidR="00492954">
        <w:rPr>
          <w:rFonts w:ascii="Times New Roman" w:hAnsi="Times New Roman"/>
        </w:rPr>
        <w:t xml:space="preserve">jätkataks </w:t>
      </w:r>
      <w:r>
        <w:rPr>
          <w:rFonts w:ascii="Times New Roman" w:hAnsi="Times New Roman"/>
        </w:rPr>
        <w:t>liikmesriik</w:t>
      </w:r>
      <w:r w:rsidR="00492954">
        <w:rPr>
          <w:rFonts w:ascii="Times New Roman" w:hAnsi="Times New Roman"/>
        </w:rPr>
        <w:t>ide</w:t>
      </w:r>
      <w:r>
        <w:rPr>
          <w:rFonts w:ascii="Times New Roman" w:hAnsi="Times New Roman"/>
        </w:rPr>
        <w:t xml:space="preserve"> abista</w:t>
      </w:r>
      <w:r w:rsidR="00492954">
        <w:rPr>
          <w:rFonts w:ascii="Times New Roman" w:hAnsi="Times New Roman"/>
        </w:rPr>
        <w:t>mist</w:t>
      </w:r>
      <w:r>
        <w:rPr>
          <w:rFonts w:ascii="Times New Roman" w:hAnsi="Times New Roman"/>
        </w:rPr>
        <w:t xml:space="preserve"> õigusemõistmise süsteemide tõhususe parandamisel Euroopa poolaasta kaudu</w:t>
      </w:r>
      <w:r w:rsidR="00492954">
        <w:rPr>
          <w:rFonts w:ascii="Times New Roman" w:hAnsi="Times New Roman"/>
        </w:rPr>
        <w:t>. Lisaks toetab ta</w:t>
      </w:r>
      <w:r>
        <w:rPr>
          <w:rFonts w:ascii="Times New Roman" w:hAnsi="Times New Roman"/>
        </w:rPr>
        <w:t xml:space="preserve"> õigusemõistmise reforme liikmesriikides ELi vahendite ja ELi õigusemõistmise tulemustabeli abil. Üldisemalt tuleks liikmesriike julgustada jõustamise ja õiguskaitsevahendite suutlikkuse parandamisel.</w:t>
      </w:r>
    </w:p>
    <w:p w:rsidR="00742B27" w:rsidRDefault="00742B27" w:rsidP="00742B27">
      <w:pPr>
        <w:ind w:left="709"/>
        <w:rPr>
          <w:rFonts w:ascii="Times New Roman" w:eastAsia="Calibri" w:hAnsi="Times New Roman"/>
          <w:szCs w:val="24"/>
        </w:rPr>
      </w:pPr>
      <w:r>
        <w:rPr>
          <w:rFonts w:ascii="Times New Roman" w:hAnsi="Times New Roman"/>
        </w:rPr>
        <w:t>Selleks et hartas kehtestatud õigused oleks ka kohapeal tõhusalt tagatud, toetab komisjon selliste vahendite väljatöötamist, millega suurendada kohtunike, süüdistajate, õiguspraktikute ja ka riiklike inimõigustega tegelevate organite teadlikkust liikmesriikides.</w:t>
      </w:r>
    </w:p>
    <w:p w:rsidR="00742B27" w:rsidRDefault="00742B27" w:rsidP="00742B27">
      <w:pPr>
        <w:ind w:left="709"/>
        <w:rPr>
          <w:rFonts w:ascii="Times New Roman" w:eastAsia="Calibri" w:hAnsi="Times New Roman"/>
          <w:szCs w:val="24"/>
        </w:rPr>
      </w:pPr>
      <w:r>
        <w:rPr>
          <w:rFonts w:ascii="Times New Roman" w:hAnsi="Times New Roman"/>
        </w:rPr>
        <w:t>Komisjon peab eriti oluliseks, et parandataks üksikisikute arusaamist sellest, kuidas nad saavad kasutada oma põhiõiguseid ja kuhu pöörduda nende õiguste maksmapanemiseks.</w:t>
      </w:r>
    </w:p>
    <w:p w:rsidR="00742B27" w:rsidRDefault="00742B27" w:rsidP="00742B27">
      <w:pPr>
        <w:ind w:left="709"/>
        <w:rPr>
          <w:rFonts w:ascii="Times New Roman" w:eastAsia="Calibri" w:hAnsi="Times New Roman"/>
          <w:szCs w:val="24"/>
        </w:rPr>
      </w:pPr>
      <w:r>
        <w:rPr>
          <w:rFonts w:ascii="Times New Roman" w:hAnsi="Times New Roman"/>
        </w:rPr>
        <w:t xml:space="preserve">Põhiõiguste kohaldamiseks praktikas kasutab komisjon nii hästi kui võimalik olemasolevaid programme, et avardada selliste kodanikuühiskonna organisatsioonide ja inimõigustega tegelevate organite võimalusi, kelle eesmärk on parandada teadlikkust hartast ja tagada selle kohaldamine liikmesriigi tasandil. Siiski märgib komisjon, et </w:t>
      </w:r>
      <w:r w:rsidRPr="002D7087">
        <w:rPr>
          <w:rFonts w:ascii="Times New Roman" w:hAnsi="Times New Roman"/>
        </w:rPr>
        <w:t>liikmesriikide kohtumenetlustes riigi õigusabi käsitlevate ELi õigusnormide sätestamiseks ei</w:t>
      </w:r>
      <w:r>
        <w:rPr>
          <w:rFonts w:ascii="Times New Roman" w:hAnsi="Times New Roman"/>
        </w:rPr>
        <w:t xml:space="preserve"> ole õiguslikku alust, v.a tsiviilkohtu- ja kriminaalmenetlused. Mis aga puudutab menetlusi ELi kohtutes, siis nende jaoks on tasuta õigusabi võimalused juba ette nähtud Euroopa Kohtu ja Üldkohtu kodukorraga.</w:t>
      </w:r>
    </w:p>
    <w:p w:rsidR="00742B27" w:rsidRDefault="00742B27" w:rsidP="00742B27">
      <w:pPr>
        <w:ind w:left="709"/>
        <w:rPr>
          <w:rFonts w:ascii="Times New Roman" w:eastAsia="Calibri" w:hAnsi="Times New Roman"/>
          <w:szCs w:val="24"/>
        </w:rPr>
      </w:pPr>
      <w:r>
        <w:rPr>
          <w:rFonts w:ascii="Times New Roman" w:hAnsi="Times New Roman"/>
        </w:rPr>
        <w:t>Komisjon leiab ka, et oluline on tagada demokraatlik osalus ja hääleõigus. Seepärast toetab komisjon muude sidusrühmade, sh kodanikuühiskonna kõrval tööd, mille eesmärk on suurenda</w:t>
      </w:r>
      <w:r w:rsidR="00AA2CB4">
        <w:rPr>
          <w:rFonts w:ascii="Times New Roman" w:hAnsi="Times New Roman"/>
        </w:rPr>
        <w:t>da</w:t>
      </w:r>
      <w:r>
        <w:rPr>
          <w:rFonts w:ascii="Times New Roman" w:hAnsi="Times New Roman"/>
        </w:rPr>
        <w:t xml:space="preserve"> veelgi liidu kodanike suutlikkust kasutada </w:t>
      </w:r>
      <w:r>
        <w:rPr>
          <w:rFonts w:ascii="Times New Roman" w:hAnsi="Times New Roman"/>
        </w:rPr>
        <w:lastRenderedPageBreak/>
        <w:t>täies ulatuses ELi kodakondsusega kaasnevaid õiguseid. Need õigused, sh õigus valida ja olla valitud nii Euroopa kui ka kohalikel valimistel mis tahes ELi liikmesriigis samadel tingimustel kui selle riigi kodanikel, kindlustavad demokraatiat liidu tasandil ja on meie ühiste demokraatlike väärtuste väljenduseks.</w:t>
      </w:r>
    </w:p>
    <w:p w:rsidR="00742B27" w:rsidRDefault="00742B27" w:rsidP="00742B27">
      <w:pPr>
        <w:ind w:left="709"/>
        <w:rPr>
          <w:rFonts w:ascii="Times New Roman" w:eastAsia="Calibri" w:hAnsi="Times New Roman"/>
          <w:szCs w:val="24"/>
          <w:highlight w:val="yellow"/>
        </w:rPr>
      </w:pPr>
      <w:r>
        <w:rPr>
          <w:rFonts w:ascii="Times New Roman" w:hAnsi="Times New Roman"/>
        </w:rPr>
        <w:t>Komisjon hindab pidevalt, kuidas olemasolevaid vahendeid kõige paremini kasutada, ja toetab õigusriigi põhimõtteid, demokraatiat ja põhiõiguseid ning on valmis jätkama selles küsimuses Euroopa Parlamendiga dialoogi.</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5234">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7851AB" w:rsidP="00442B2E">
    <w:pPr>
      <w:pStyle w:val="Footer"/>
    </w:pPr>
    <w:r w:rsidRPr="007851AB">
      <w:rPr>
        <w:rFonts w:cs="Arial"/>
        <w:bCs/>
        <w:szCs w:val="16"/>
      </w:rPr>
      <w:t>Commission européenne, B-1049 Bruxelles / Europese Commissie, B-1049 Brussel – Belgique/België</w:t>
    </w:r>
    <w:r w:rsidR="00011D79" w:rsidRPr="007851AB">
      <w:t>.</w:t>
    </w:r>
    <w:r w:rsidR="00011D79">
      <w:t xml:space="preserve"> 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8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552"/>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954"/>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1AB"/>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34"/>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49E"/>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2CB4"/>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1D"/>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5D3"/>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et-E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t-EE"/>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et-EE" w:eastAsia="et-EE" w:bidi="et-EE"/>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t-EE" w:eastAsia="et-EE" w:bidi="et-EE"/>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t-EE" w:eastAsia="et-EE" w:bidi="et-EE"/>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t-EE" w:eastAsia="et-EE" w:bidi="et-EE"/>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et-EE" w:eastAsia="et-EE" w:bidi="et-EE"/>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t-EE" w:eastAsia="et-EE" w:bidi="et-EE"/>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et-EE" w:eastAsia="et-EE" w:bidi="et-EE"/>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t-EE" w:eastAsia="et-EE" w:bidi="et-EE"/>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et-EE"/>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t-EE" w:eastAsia="et-EE" w:bidi="et-EE"/>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et-EE" w:eastAsia="et-EE" w:bidi="et-EE"/>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t-EE" w:eastAsia="et-EE" w:bidi="et-EE"/>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t-EE" w:eastAsia="et-EE" w:bidi="et-EE"/>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t-EE" w:eastAsia="et-EE" w:bidi="et-EE"/>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et-EE" w:eastAsia="et-EE" w:bidi="et-EE"/>
    </w:rPr>
  </w:style>
  <w:style w:type="character" w:customStyle="1" w:styleId="Normal12HangingZnak">
    <w:name w:val="Normal12Hanging Znak"/>
    <w:rsid w:val="006474F2"/>
    <w:rPr>
      <w:sz w:val="24"/>
      <w:lang w:val="et-EE" w:eastAsia="et-EE" w:bidi="et-EE"/>
    </w:rPr>
  </w:style>
  <w:style w:type="character" w:customStyle="1" w:styleId="Text2Char1">
    <w:name w:val="Text 2 Char1"/>
    <w:link w:val="Text2"/>
    <w:rsid w:val="006474F2"/>
    <w:rPr>
      <w:rFonts w:ascii="Courier New" w:hAnsi="Courier New"/>
      <w:sz w:val="24"/>
      <w:lang w:val="et-EE" w:eastAsia="et-EE" w:bidi="et-EE"/>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t-EE" w:eastAsia="et-EE" w:bidi="et-EE"/>
    </w:rPr>
  </w:style>
  <w:style w:type="character" w:customStyle="1" w:styleId="ListBulletCharCharChar">
    <w:name w:val="List Bullet Char Char Char"/>
    <w:rsid w:val="00536069"/>
    <w:rPr>
      <w:sz w:val="24"/>
      <w:lang w:val="et-EE" w:eastAsia="et-EE" w:bidi="et-EE"/>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et-EE" w:eastAsia="et-EE" w:bidi="et-EE"/>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t-EE" w:eastAsia="et-EE" w:bidi="et-EE"/>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t-EE" w:eastAsia="et-EE" w:bidi="et-E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et-EE" w:eastAsia="et-EE" w:bidi="et-EE"/>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et-EE" w:eastAsia="et-EE" w:bidi="et-EE"/>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et-EE" w:eastAsia="et-EE" w:bidi="et-EE"/>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et-EE" w:eastAsia="et-EE" w:bidi="et-EE"/>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t-EE" w:eastAsia="et-EE" w:bidi="et-EE"/>
    </w:rPr>
  </w:style>
  <w:style w:type="character" w:customStyle="1" w:styleId="InitialChar">
    <w:name w:val="Initial Char"/>
    <w:link w:val="Initial"/>
    <w:rsid w:val="00FD22F7"/>
    <w:rPr>
      <w:spacing w:val="-3"/>
      <w:sz w:val="24"/>
      <w:lang w:val="et-EE" w:eastAsia="et-EE" w:bidi="et-EE"/>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t-EE" w:eastAsia="et-EE" w:bidi="et-EE"/>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t-EE" w:eastAsia="et-EE" w:bidi="et-EE"/>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t-EE" w:eastAsia="et-EE" w:bidi="et-EE"/>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et-E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t-EE"/>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1D01-F5D7-455B-966D-EF032AA2B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1443</Words>
  <Characters>8231</Characters>
  <Application>Microsoft Office Word</Application>
  <DocSecurity>4</DocSecurity>
  <PresentationFormat>Microsoft Word 8.0b</PresentationFormat>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2017-02-14T09:18:00Z</dcterms:created>
  <dcterms:modified xsi:type="dcterms:W3CDTF">2017-02-14T09:18:00Z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