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AA2BDC">
      <w:pPr>
        <w:spacing w:after="600"/>
        <w:jc w:val="center"/>
        <w:rPr>
          <w:rFonts w:ascii="Times New Roman" w:eastAsia="Calibri" w:hAnsi="Times New Roman"/>
          <w:b/>
          <w:szCs w:val="24"/>
        </w:rPr>
      </w:pPr>
      <w:r>
        <w:rPr>
          <w:rFonts w:ascii="Times New Roman" w:hAnsi="Times New Roman"/>
          <w:b/>
        </w:rPr>
        <w:t>Dokument o daljnjem postupanju u vezi s Rezolucijom Europskog parlamenta s preporukama Komisiji o uspostavi mehanizma EU-a za demokraciju, vladavinu prava i temeljna prava, koji je Komisija donijela 17. siječnja 2017.</w:t>
      </w:r>
    </w:p>
    <w:p w:rsidR="00FB4650" w:rsidRDefault="00FB4650" w:rsidP="00FB4650">
      <w:pPr>
        <w:ind w:left="720" w:hanging="720"/>
        <w:rPr>
          <w:rFonts w:ascii="Times New Roman" w:eastAsia="Calibri" w:hAnsi="Times New Roman"/>
          <w:b/>
          <w:szCs w:val="24"/>
        </w:rPr>
      </w:pPr>
      <w:r>
        <w:rPr>
          <w:rFonts w:ascii="Times New Roman" w:hAnsi="Times New Roman"/>
          <w:b/>
        </w:rPr>
        <w:t>1.</w:t>
      </w:r>
      <w:r>
        <w:tab/>
      </w:r>
      <w:r>
        <w:rPr>
          <w:rFonts w:ascii="Times New Roman" w:hAnsi="Times New Roman"/>
          <w:b/>
        </w:rPr>
        <w:t>Rezolucija koju je na temelju članaka 46. i 52. Poslovnika Europskog parlamenta podnio Odbor za građanske slobode, pravosuđe i unutarnje poslove (LIBE) oslanjajući se na Mišljenje Odbora za ustavna pitanja (AFCO)</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Referentni broj EP-a:</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Datum donošenja rezolucije</w:t>
      </w:r>
      <w:r>
        <w:rPr>
          <w:rFonts w:ascii="Times New Roman" w:hAnsi="Times New Roman"/>
        </w:rPr>
        <w:t>: 25. listopada 2016.</w:t>
      </w:r>
    </w:p>
    <w:p w:rsidR="00FB4650" w:rsidRDefault="00FB4650" w:rsidP="00FB4650">
      <w:pPr>
        <w:rPr>
          <w:rFonts w:ascii="Times New Roman" w:eastAsia="Calibri" w:hAnsi="Times New Roman"/>
          <w:szCs w:val="24"/>
        </w:rPr>
      </w:pPr>
      <w:r>
        <w:rPr>
          <w:rFonts w:ascii="Times New Roman" w:hAnsi="Times New Roman"/>
          <w:b/>
        </w:rPr>
        <w:t>4.</w:t>
      </w:r>
      <w:r>
        <w:tab/>
      </w:r>
      <w:r>
        <w:rPr>
          <w:rFonts w:ascii="Times New Roman" w:hAnsi="Times New Roman"/>
          <w:b/>
        </w:rPr>
        <w:t>Predmet:</w:t>
      </w:r>
      <w:r>
        <w:rPr>
          <w:rFonts w:ascii="Times New Roman" w:hAnsi="Times New Roman"/>
        </w:rPr>
        <w:t xml:space="preserve"> Mehanizam EU-a za demokraciju, vladavinu prava i temeljna prava</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Kratka analiza/ocjena Rezolucije i zahtjeva koji su u njoj postavljeni:</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Rezolucijom se zahtijeva da Komisija do rujna 2017. podnese prijedlog za sklapanje Pakta EU-a za demokraciju, vladavinu prava i temeljna prava („DVT”) u obliku međuinstitucijskog sporazuma na temelju</w:t>
      </w:r>
      <w:r w:rsidR="000B78C0">
        <w:rPr>
          <w:rFonts w:ascii="Times New Roman" w:hAnsi="Times New Roman"/>
        </w:rPr>
        <w:t xml:space="preserve"> članka 295. UFEU-a slijedeći</w:t>
      </w:r>
      <w:r>
        <w:rPr>
          <w:rFonts w:ascii="Times New Roman" w:hAnsi="Times New Roman"/>
        </w:rPr>
        <w:t xml:space="preserve"> detaljne preporuke navedene u Prilogu. Rezolucija među ostalim sadržava i preporuke za moguću izmjenu Ugovora (npr. revizija članka 7. UEU-a, poništenje članka 51. Povelje o temeljnim pravima) i poziv na pristupanje Unije Europskoj konvenciji o ljudskim pravima.</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Prilog Rezoluciji sadržava nacrt međuinstitucijskog sporazuma s pojedinostima o Paktu EU-a za DVT</w:t>
      </w:r>
      <w:r w:rsidR="00EF3E84">
        <w:rPr>
          <w:rFonts w:ascii="Times New Roman" w:hAnsi="Times New Roman"/>
        </w:rPr>
        <w:t xml:space="preserve"> kako slijedi</w:t>
      </w:r>
      <w:r>
        <w:rPr>
          <w:rFonts w:ascii="Times New Roman" w:hAnsi="Times New Roman"/>
        </w:rPr>
        <w:t>:</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Pakt se sastoji od europskog izvješća o demokraciji, vladavini prava i temeljnim pravima s preporukama po državama članicama („CSR”).</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On uključuje godišnju međuparlamentarnu raspravu na temelju tog europskog izvješća kao i politički ciklus u području demokracije, vladavine prava i temeljnih prava u okviru institucija Unije.</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Godišnje izvješće o DVT-u, uključujući i preporuke po državama članicama, sastavlja Komisija na temelju nacrta izvješća koji sastavlja skupina neovisnih stručnjaka.</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Ta stručna skupina bit će sastavljena od 38 članova; po jednog neovisnog stručnjaka određuje nacionalni parlament svake države članice (koji je kvalificirani sudac ustavnog ili vrhovnog suda i trenutačno nije u aktivnoj službi), a deset dodatnih članova određuje Europski parlament odabirom s popisa stručnjaka koje su predložile unaprijed utvrđene institucije. Komisija stručnoj skupini pruža usluge tajništva.</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Ukoliko nacrt preporuka po državama članicama o određenoj državi članici uključuje procjenu stručne skupine da postoji dovoljno temelja za pozivanje na članak 7. stavak 1. ili članak 7. stavak 2. UEU-a, Komisija, Vijeće i Europski parlament pojedinačno i bez odgode raspravljaju o tom pitanju i donose obrazloženu odluku koja se objavljuje.</w:t>
      </w:r>
    </w:p>
    <w:p w:rsidR="00FB4650" w:rsidRPr="00AA2BDC"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Stručna skupina ocjenjuje i u kojoj mjeri Komisija, Europski parlament i Vijeće poštuju načela DVT-a.</w:t>
      </w:r>
    </w:p>
    <w:p w:rsidR="00AA2BDC" w:rsidRPr="00742B27" w:rsidRDefault="00AA2BDC" w:rsidP="00AA2BDC">
      <w:pPr>
        <w:pStyle w:val="Text1"/>
        <w:spacing w:before="100" w:beforeAutospacing="1" w:after="100" w:afterAutospacing="1"/>
        <w:rPr>
          <w:rFonts w:ascii="Times New Roman" w:eastAsia="Calibri" w:hAnsi="Times New Roman"/>
          <w:szCs w:val="24"/>
        </w:rPr>
      </w:pPr>
      <w:bookmarkStart w:id="0" w:name="_GoBack"/>
      <w:bookmarkEnd w:id="0"/>
    </w:p>
    <w:p w:rsidR="00FB4650" w:rsidRPr="00742B27" w:rsidRDefault="00FB4650" w:rsidP="00FB4650">
      <w:pPr>
        <w:ind w:left="720" w:hanging="720"/>
        <w:rPr>
          <w:rFonts w:ascii="Times New Roman" w:eastAsia="Calibri" w:hAnsi="Times New Roman"/>
          <w:b/>
          <w:szCs w:val="24"/>
        </w:rPr>
      </w:pPr>
      <w:r>
        <w:rPr>
          <w:rFonts w:ascii="Times New Roman" w:hAnsi="Times New Roman"/>
          <w:b/>
        </w:rPr>
        <w:lastRenderedPageBreak/>
        <w:t>6.</w:t>
      </w:r>
      <w:r>
        <w:tab/>
      </w:r>
      <w:r>
        <w:rPr>
          <w:rFonts w:ascii="Times New Roman" w:hAnsi="Times New Roman"/>
          <w:b/>
        </w:rPr>
        <w:t>Odgovor na zahtjeve i pregled mjera koje je Komisija poduzela ili koje namjerava poduzeti:</w:t>
      </w:r>
    </w:p>
    <w:p w:rsidR="00742B27" w:rsidRDefault="00742B27" w:rsidP="00742B27">
      <w:pPr>
        <w:ind w:left="709"/>
        <w:rPr>
          <w:rFonts w:ascii="Times New Roman" w:eastAsia="Calibri" w:hAnsi="Times New Roman"/>
          <w:szCs w:val="24"/>
        </w:rPr>
      </w:pPr>
      <w:r>
        <w:rPr>
          <w:rFonts w:ascii="Times New Roman" w:hAnsi="Times New Roman"/>
        </w:rPr>
        <w:t>Komisija je zahvalna Europskom parlamentu na pokretanju važnog pitanja kako očuvati zajedničke vrijednosti, demokraciju, vladavinu prava i temeljna prava unutar EU-a. Komisija u cijelosti podržava cilj te rezolucije, a to je osigurati poštovanje i primjenu naših zajedničkih vrijednosti i pravila. Ključna je zadaća sada utvrditi najbolja sredstva za postizanje toga cilja.</w:t>
      </w:r>
    </w:p>
    <w:p w:rsidR="00742B27" w:rsidRDefault="00742B27" w:rsidP="00742B27">
      <w:pPr>
        <w:ind w:left="709"/>
        <w:rPr>
          <w:rFonts w:ascii="Times New Roman" w:eastAsia="Calibri" w:hAnsi="Times New Roman"/>
          <w:szCs w:val="24"/>
        </w:rPr>
      </w:pPr>
      <w:r>
        <w:rPr>
          <w:rFonts w:ascii="Times New Roman" w:hAnsi="Times New Roman"/>
        </w:rPr>
        <w:t>Komisija je podrobno razmotrila rezoluciju i ustanovila da u njoj postoje elementi koje u potpunosti podržava. Komisija osobito podržava pristup koji uključuje sve dionike, uključujući institucije EU-a, države članice i civilno društvo.</w:t>
      </w:r>
    </w:p>
    <w:p w:rsidR="00742B27" w:rsidRDefault="00742B27" w:rsidP="00742B27">
      <w:pPr>
        <w:ind w:left="709"/>
        <w:rPr>
          <w:rFonts w:ascii="Times New Roman" w:eastAsia="Calibri" w:hAnsi="Times New Roman"/>
          <w:szCs w:val="24"/>
        </w:rPr>
      </w:pPr>
      <w:r>
        <w:rPr>
          <w:rFonts w:ascii="Times New Roman" w:hAnsi="Times New Roman"/>
        </w:rPr>
        <w:t>Komisija podržava i ideju Europskog parlamenta da se uspostavi međuparlamentarni dijalog između Europskog parlamenta i nacionalnih parlamenata. Nacionalni parlamenti sudjeluju u mnogima od problema povezanih s vladavinom prava kojih smo svjedoci u posljednje vrijeme u nekim državama članicama. Moramo raditi na postizanju zajedničkog dogovora o tome kako najbolje očuvati naše zajedničke vrijednosti, i na nacionalnoj i na europskoj razini. U okviru međuparlamentarnog dijaloga koji je predložio Europski parlament, kao prvi korak moglo bi se raspravljati o različitim opcijama i sredstvima koja nam trenutačno stoje na raspolaganju kako bismo osigurali poštovanje i primjenu naših zajedničkih vrijednosti. Komisija je spremna doprinijeti takvu dijalogu.</w:t>
      </w:r>
    </w:p>
    <w:p w:rsidR="00742B27" w:rsidRDefault="00742B27" w:rsidP="00742B27">
      <w:pPr>
        <w:ind w:left="709"/>
        <w:rPr>
          <w:rFonts w:ascii="Times New Roman" w:eastAsia="Calibri" w:hAnsi="Times New Roman"/>
          <w:szCs w:val="24"/>
        </w:rPr>
      </w:pPr>
      <w:r>
        <w:rPr>
          <w:rFonts w:ascii="Times New Roman" w:hAnsi="Times New Roman"/>
        </w:rPr>
        <w:t>Kad je riječ o preporukama iz rezolucije u pogledu moguće promjene Ugovora, stajalište je Komisije da te izmjene, kratkoročno i srednjoročno gledano, nisu realistične. To se osobito odnosi na preporuku za poništenje članka 51 Povelje o temeljnim pravima.</w:t>
      </w:r>
    </w:p>
    <w:p w:rsidR="00742B27" w:rsidRDefault="00742B27" w:rsidP="00742B27">
      <w:pPr>
        <w:ind w:left="709"/>
        <w:rPr>
          <w:rFonts w:ascii="Times New Roman" w:eastAsia="Calibri" w:hAnsi="Times New Roman"/>
          <w:szCs w:val="24"/>
        </w:rPr>
      </w:pPr>
      <w:r>
        <w:rPr>
          <w:rFonts w:ascii="Times New Roman" w:hAnsi="Times New Roman"/>
        </w:rPr>
        <w:t>Komisija je i dalje u potpunosti predana pristupanju Unije Europskoj konvenciji o ljudskim pravima. Pristupanjem će se ojačati naše zajedničke vrijednosti, poduprijeti djelotvornost prava EU-a i povećati dosljednost u zaštiti temeljnih prava u Europi. Međutim Sud Europske unije ukazao je u svojem Mišljenju na ozbiljna pravna pitanja. Neka od njih kompleksna su u pravnom i političkom smislu. Stoga Komisija, u svojem svojstvu pregovarača EU-a, nastavlja savjetovanje s posebnim odborom koji je imenovalo Vijeće.</w:t>
      </w:r>
    </w:p>
    <w:p w:rsidR="00742B27" w:rsidRDefault="00742B27" w:rsidP="00742B27">
      <w:pPr>
        <w:ind w:left="709"/>
        <w:rPr>
          <w:rFonts w:ascii="Times New Roman" w:eastAsia="Calibri" w:hAnsi="Times New Roman"/>
          <w:szCs w:val="24"/>
        </w:rPr>
      </w:pPr>
      <w:r>
        <w:rPr>
          <w:rFonts w:ascii="Times New Roman" w:hAnsi="Times New Roman"/>
        </w:rPr>
        <w:t>Komisija u ovoj fazi izražava ozbiljne dvojbe u pogledu potrebe i izvedivosti godišnjeg izvješća i političkog ciklusa o demokraciji, vladavini prava i temeljnim pravima koje bi pripremala skupina „stručnjaka” i u pogledu potrebe, izvedivosti i dodane vrijednosti odgovarajućeg međuinstitucijskog sporazuma. U pogledu nekih elemenata predloženog pristupa, primjerice središnje uloge koju bi u okviru predloženog pakta imala skupina neovisnih stručnjaka, postavljaju se i ozbiljna pitanja zakonitosti, institucionalne legitimnosti i odgovornosti. Usto postoje i praktična i politička pitanja koja bi mogla otežati pronalaženje zajedničkog stajališta o tome među svim uključenim institucijama.</w:t>
      </w:r>
    </w:p>
    <w:p w:rsidR="00742B27" w:rsidRDefault="00742B27" w:rsidP="00742B27">
      <w:pPr>
        <w:ind w:left="709"/>
        <w:rPr>
          <w:rFonts w:ascii="Times New Roman" w:eastAsia="Calibri" w:hAnsi="Times New Roman"/>
          <w:szCs w:val="24"/>
        </w:rPr>
      </w:pPr>
      <w:r>
        <w:rPr>
          <w:rFonts w:ascii="Times New Roman" w:hAnsi="Times New Roman"/>
        </w:rPr>
        <w:t xml:space="preserve">Komisija smatra da bi najprije trebalo </w:t>
      </w:r>
      <w:r w:rsidR="000B78C0">
        <w:rPr>
          <w:rFonts w:ascii="Times New Roman" w:hAnsi="Times New Roman"/>
        </w:rPr>
        <w:t>na</w:t>
      </w:r>
      <w:r>
        <w:rPr>
          <w:rFonts w:ascii="Times New Roman" w:hAnsi="Times New Roman"/>
        </w:rPr>
        <w:t xml:space="preserve"> naj</w:t>
      </w:r>
      <w:r w:rsidR="000B78C0">
        <w:rPr>
          <w:rFonts w:ascii="Times New Roman" w:hAnsi="Times New Roman"/>
        </w:rPr>
        <w:t>bolji</w:t>
      </w:r>
      <w:r>
        <w:rPr>
          <w:rFonts w:ascii="Times New Roman" w:hAnsi="Times New Roman"/>
        </w:rPr>
        <w:t xml:space="preserve"> moguć</w:t>
      </w:r>
      <w:r w:rsidR="000B78C0">
        <w:rPr>
          <w:rFonts w:ascii="Times New Roman" w:hAnsi="Times New Roman"/>
        </w:rPr>
        <w:t>i</w:t>
      </w:r>
      <w:r>
        <w:rPr>
          <w:rFonts w:ascii="Times New Roman" w:hAnsi="Times New Roman"/>
        </w:rPr>
        <w:t xml:space="preserve"> </w:t>
      </w:r>
      <w:r w:rsidR="000B78C0">
        <w:rPr>
          <w:rFonts w:ascii="Times New Roman" w:hAnsi="Times New Roman"/>
        </w:rPr>
        <w:t>nač</w:t>
      </w:r>
      <w:r>
        <w:rPr>
          <w:rFonts w:ascii="Times New Roman" w:hAnsi="Times New Roman"/>
        </w:rPr>
        <w:t>i</w:t>
      </w:r>
      <w:r w:rsidR="000B78C0">
        <w:rPr>
          <w:rFonts w:ascii="Times New Roman" w:hAnsi="Times New Roman"/>
        </w:rPr>
        <w:t>n</w:t>
      </w:r>
      <w:r>
        <w:rPr>
          <w:rFonts w:ascii="Times New Roman" w:hAnsi="Times New Roman"/>
        </w:rPr>
        <w:t xml:space="preserve"> iskoristiti postojeće instrumente i izbjeći dupliciranje. Spektar postojećih instrumenata i dionika već pruža niz komplementarnih i učinkovitih sredstava za promicanje i očuvanje zajedničkih vrijednosti. Komisija će nastaviti pridavati vrijednost tim sredstvima i oslanjati se na njih.</w:t>
      </w:r>
    </w:p>
    <w:p w:rsidR="00742B27" w:rsidRDefault="00742B27" w:rsidP="00742B27">
      <w:pPr>
        <w:ind w:left="709"/>
        <w:rPr>
          <w:rFonts w:ascii="Times New Roman" w:eastAsia="Calibri" w:hAnsi="Times New Roman"/>
          <w:szCs w:val="24"/>
        </w:rPr>
      </w:pPr>
      <w:r>
        <w:rPr>
          <w:rFonts w:ascii="Times New Roman" w:hAnsi="Times New Roman"/>
        </w:rPr>
        <w:lastRenderedPageBreak/>
        <w:t>Komisija je 2014. donijela okvir vladavine prava. Komisija trenutačno primjenjuje taj okvir u slučaju Poljske. To bi trebalo otkloniti svaku sumnju u činjenicu da Komisija zaštitu vladavine prava vrlo ozbiljno shvaća. U tom pogledu Komisija je zahvalna na podršci tom pristupu koju je Europski parlament iskazao u svojoj rezoluciji od 14. rujna. Komisija jednako tako cijeni plenarne rasprave koje je Europski parlament organizirao na tu temu.</w:t>
      </w:r>
    </w:p>
    <w:p w:rsidR="00742B27" w:rsidRDefault="00742B27" w:rsidP="00742B27">
      <w:pPr>
        <w:ind w:left="709"/>
        <w:rPr>
          <w:rFonts w:ascii="Times New Roman" w:eastAsia="Calibri" w:hAnsi="Times New Roman"/>
          <w:szCs w:val="24"/>
        </w:rPr>
      </w:pPr>
      <w:r>
        <w:rPr>
          <w:rFonts w:ascii="Times New Roman" w:hAnsi="Times New Roman"/>
        </w:rPr>
        <w:t>I Vijeće je u 2014. pokrenulo dijalog na temu vladavine prava u okviru kojega raspravlja o pitanjima vladavine prava. Vijeće je 15. studenoga ocijenilo taj dijalog pri čemu je većina država članica naglasila važnost osiguravanja nastavka i jačanja dijaloga time što bi rasprave trebale biti češće i više usmjerene prema rezultatima te bolje strukturirane. Također je postignut dogovor o tome da bi nova ocjena dijaloga o vladavini prava trebala biti obavljena do kraja 2019. kako bi se razmotrila mogućnost da se taj dijalog pretvori u godišn</w:t>
      </w:r>
      <w:r w:rsidR="000B78C0">
        <w:rPr>
          <w:rFonts w:ascii="Times New Roman" w:hAnsi="Times New Roman"/>
        </w:rPr>
        <w:t>je međusobno</w:t>
      </w:r>
      <w:r>
        <w:rPr>
          <w:rFonts w:ascii="Times New Roman" w:hAnsi="Times New Roman"/>
        </w:rPr>
        <w:t xml:space="preserve"> ocjenjivanje.</w:t>
      </w:r>
    </w:p>
    <w:p w:rsidR="00742B27" w:rsidRDefault="00742B27" w:rsidP="00742B27">
      <w:pPr>
        <w:ind w:left="709"/>
        <w:rPr>
          <w:rFonts w:ascii="Times New Roman" w:eastAsia="Calibri" w:hAnsi="Times New Roman"/>
          <w:szCs w:val="24"/>
        </w:rPr>
      </w:pPr>
      <w:r>
        <w:rPr>
          <w:rFonts w:ascii="Times New Roman" w:hAnsi="Times New Roman"/>
        </w:rPr>
        <w:t>Komisija podržava ideju na kojoj se temelji rezolucija da se brojni postojeći podaci i izvješća učine dostupnijima i vidljivijima, i na nacionalnoj razini. Postoje brojni drugi dionici, među ostalima Vijeće Europe i njegova Venecijanska komisija, Agencija EU-a za temeljna prava i nevladine organizacije, koji doprinose praćenju pitanja vladavine prava, demokracije i temeljnih prava u našim državama članicama.</w:t>
      </w:r>
    </w:p>
    <w:p w:rsidR="00742B27" w:rsidRDefault="00742B27" w:rsidP="00742B27">
      <w:pPr>
        <w:ind w:left="709"/>
        <w:rPr>
          <w:rFonts w:ascii="Times New Roman" w:eastAsia="Calibri" w:hAnsi="Times New Roman"/>
          <w:szCs w:val="24"/>
        </w:rPr>
      </w:pPr>
      <w:r>
        <w:rPr>
          <w:rFonts w:ascii="Times New Roman" w:hAnsi="Times New Roman"/>
        </w:rPr>
        <w:t>Uloga je Agencije EU-a za temeljna prava da čini lako dostupnim jasan pregled postojećih informacija i izvješća koja se odnose na države članice ili pojedine teme, kako je navedeno u programskom dokumentu Agencije za razdoblje 2017-2019.</w:t>
      </w:r>
    </w:p>
    <w:p w:rsidR="00742B27" w:rsidRDefault="00742B27" w:rsidP="00742B27">
      <w:pPr>
        <w:ind w:left="709"/>
        <w:rPr>
          <w:rFonts w:ascii="Times New Roman" w:eastAsia="Calibri" w:hAnsi="Times New Roman"/>
          <w:szCs w:val="24"/>
        </w:rPr>
      </w:pPr>
      <w:r>
        <w:rPr>
          <w:rFonts w:ascii="Times New Roman" w:hAnsi="Times New Roman"/>
        </w:rPr>
        <w:t>Komisija smatra da je od ključne važnosti da se kroz Europski semestar nastavi pomagati državama članicama u poboljšavanju učinkovitosti njihovih nacionalnih pravosudnih sustava i da se reforme pravosuđa u državama članicama podupiru financijskim sredstvima EU-a te kroz Pregled stanja u području pravosuđa u EU-u. Općenitije, trebalo bi poticati države članice da poboljšaju svoje kapacitete u pogledu provedbe i pravnih lijekova.</w:t>
      </w:r>
    </w:p>
    <w:p w:rsidR="00742B27" w:rsidRDefault="00742B27" w:rsidP="00742B27">
      <w:pPr>
        <w:ind w:left="709"/>
        <w:rPr>
          <w:rFonts w:ascii="Times New Roman" w:eastAsia="Calibri" w:hAnsi="Times New Roman"/>
          <w:szCs w:val="24"/>
        </w:rPr>
      </w:pPr>
      <w:r>
        <w:rPr>
          <w:rFonts w:ascii="Times New Roman" w:hAnsi="Times New Roman"/>
        </w:rPr>
        <w:t>Da bi prava sadržana u Povelji imala učinak na terenu, Komisija podupire razvoj instrumenata za podizanje razine osviještenosti sudaca, tužitelja, pravnog osoblja, kao i nacionalnih tijela za ljudska prava u državama članicama.</w:t>
      </w:r>
    </w:p>
    <w:p w:rsidR="00742B27" w:rsidRDefault="00742B27" w:rsidP="00742B27">
      <w:pPr>
        <w:ind w:left="709"/>
        <w:rPr>
          <w:rFonts w:ascii="Times New Roman" w:eastAsia="Calibri" w:hAnsi="Times New Roman"/>
          <w:szCs w:val="24"/>
        </w:rPr>
      </w:pPr>
      <w:r>
        <w:rPr>
          <w:rFonts w:ascii="Times New Roman" w:hAnsi="Times New Roman"/>
        </w:rPr>
        <w:t>Komisija također pridaje osobitu važnost boljem informiranju pojedinaca o tome kako mogu uživati svoja temeljna prava i kojoj instanci se mogu obratiti kako bi ih ostvarili.</w:t>
      </w:r>
    </w:p>
    <w:p w:rsidR="00742B27" w:rsidRDefault="00742B27" w:rsidP="00742B27">
      <w:pPr>
        <w:ind w:left="709"/>
        <w:rPr>
          <w:rFonts w:ascii="Times New Roman" w:eastAsia="Calibri" w:hAnsi="Times New Roman"/>
          <w:szCs w:val="24"/>
        </w:rPr>
      </w:pPr>
      <w:r>
        <w:rPr>
          <w:rFonts w:ascii="Times New Roman" w:hAnsi="Times New Roman"/>
        </w:rPr>
        <w:t>U cilju praktične primjene temeljnih prava Komisija će u najboljoj mjeri iskoristiti postojeće programe za jačanje organizacija civilnog društva i tijela za ljudska prava koja rade na podizanju razine osviještenosti o Povelji i osiguravanju njezine primjene na nacionalnoj razini. Komisija međutim napominje da, osim u građanskim i kaznenim postupcima, ne postoji pravna osnova za primjenu propisa EU-a o pravnoj pomoći u postupcima pred sudovima država članica. Kad je riječ o postupcima pred sudovima EU-a, u poslovnicima Suda Europske unije i Općeg suda već su uspostavljeni sustavi pravne pomoći.</w:t>
      </w:r>
    </w:p>
    <w:p w:rsidR="00742B27" w:rsidRDefault="00742B27" w:rsidP="00742B27">
      <w:pPr>
        <w:ind w:left="709"/>
        <w:rPr>
          <w:rFonts w:ascii="Times New Roman" w:eastAsia="Calibri" w:hAnsi="Times New Roman"/>
          <w:szCs w:val="24"/>
        </w:rPr>
      </w:pPr>
      <w:r>
        <w:rPr>
          <w:rFonts w:ascii="Times New Roman" w:hAnsi="Times New Roman"/>
        </w:rPr>
        <w:t xml:space="preserve">Komisija također smatra važnim promicanje i jamčenje demokratskoga sudjelovanja i osviještenosti o pravu na glasovanje. Komisija će zato, skupa s </w:t>
      </w:r>
      <w:r>
        <w:rPr>
          <w:rFonts w:ascii="Times New Roman" w:hAnsi="Times New Roman"/>
        </w:rPr>
        <w:lastRenderedPageBreak/>
        <w:t>drugim dionicima, uključujući civilno društvo, podupirati rad u cilju daljnjeg osnaženja građana Unije kako bi mogli u potpunosti uživati prava koja imaju kao građani EU-a. Ta prava, uključujući pravo na glasovanje i kandidiranje na europskim i lokalnim izborima u bilo kojoj državi članici pod istim uvjetima kao i državljani te države, podupiru demokraciju na razini Unije i izraz su naših zajedničkih demokratskih vrijednosti.</w:t>
      </w:r>
    </w:p>
    <w:p w:rsidR="00742B27" w:rsidRDefault="00742B27" w:rsidP="00742B27">
      <w:pPr>
        <w:ind w:left="709"/>
        <w:rPr>
          <w:rFonts w:ascii="Times New Roman" w:eastAsia="Calibri" w:hAnsi="Times New Roman"/>
          <w:szCs w:val="24"/>
          <w:highlight w:val="yellow"/>
        </w:rPr>
      </w:pPr>
      <w:r>
        <w:rPr>
          <w:rFonts w:ascii="Times New Roman" w:hAnsi="Times New Roman"/>
        </w:rPr>
        <w:t>Komisija stalno procjenjuje kako</w:t>
      </w:r>
      <w:r w:rsidR="00F6650B">
        <w:rPr>
          <w:rFonts w:ascii="Times New Roman" w:hAnsi="Times New Roman"/>
        </w:rPr>
        <w:t xml:space="preserve"> se postojeći instrumenti mogu na</w:t>
      </w:r>
      <w:r>
        <w:rPr>
          <w:rFonts w:ascii="Times New Roman" w:hAnsi="Times New Roman"/>
        </w:rPr>
        <w:t xml:space="preserve"> najbolj</w:t>
      </w:r>
      <w:r w:rsidR="00F6650B">
        <w:rPr>
          <w:rFonts w:ascii="Times New Roman" w:hAnsi="Times New Roman"/>
        </w:rPr>
        <w:t>i</w:t>
      </w:r>
      <w:r>
        <w:rPr>
          <w:rFonts w:ascii="Times New Roman" w:hAnsi="Times New Roman"/>
        </w:rPr>
        <w:t xml:space="preserve"> </w:t>
      </w:r>
      <w:r w:rsidR="00F6650B">
        <w:rPr>
          <w:rFonts w:ascii="Times New Roman" w:hAnsi="Times New Roman"/>
        </w:rPr>
        <w:t>način</w:t>
      </w:r>
      <w:r>
        <w:rPr>
          <w:rFonts w:ascii="Times New Roman" w:hAnsi="Times New Roman"/>
        </w:rPr>
        <w:t xml:space="preserve"> upotrebljavati za promociju i očuvanje vladavine prava, demokracije i temeljnih prava i spremna je nastaviti dijalog o tome s Europskim parlamentom.</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A2BDC">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Europska komisija, B-1049 Bruxelles – Belgija. Telefon: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8C0"/>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DC"/>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3E84"/>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50B"/>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hr-HR"/>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hr-HR"/>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hr-HR" w:eastAsia="hr-HR" w:bidi="hr-HR"/>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hr-HR" w:eastAsia="hr-HR" w:bidi="hr-HR"/>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hr-HR" w:eastAsia="hr-HR" w:bidi="hr-HR"/>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hr-HR" w:eastAsia="hr-HR" w:bidi="hr-HR"/>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hr-HR" w:eastAsia="hr-HR" w:bidi="hr-HR"/>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hr-HR" w:eastAsia="hr-HR" w:bidi="hr-HR"/>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hr-HR" w:eastAsia="hr-HR" w:bidi="hr-HR"/>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hr-HR" w:eastAsia="hr-HR" w:bidi="hr-HR"/>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hr-HR"/>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hr-HR" w:eastAsia="hr-HR" w:bidi="hr-HR"/>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hr-HR" w:eastAsia="hr-HR" w:bidi="hr-HR"/>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hr-HR" w:eastAsia="hr-HR" w:bidi="hr-HR"/>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hr-HR" w:eastAsia="hr-HR" w:bidi="hr-HR"/>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hr-HR" w:eastAsia="hr-HR" w:bidi="hr-HR"/>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hr-HR" w:eastAsia="hr-HR" w:bidi="hr-HR"/>
    </w:rPr>
  </w:style>
  <w:style w:type="character" w:customStyle="1" w:styleId="Normal12HangingZnak">
    <w:name w:val="Normal12Hanging Znak"/>
    <w:rsid w:val="006474F2"/>
    <w:rPr>
      <w:sz w:val="24"/>
      <w:lang w:val="hr-HR" w:eastAsia="hr-HR" w:bidi="hr-HR"/>
    </w:rPr>
  </w:style>
  <w:style w:type="character" w:customStyle="1" w:styleId="Text2Char1">
    <w:name w:val="Text 2 Char1"/>
    <w:link w:val="Text2"/>
    <w:rsid w:val="006474F2"/>
    <w:rPr>
      <w:rFonts w:ascii="Courier New" w:hAnsi="Courier New"/>
      <w:sz w:val="24"/>
      <w:lang w:val="hr-HR" w:eastAsia="hr-HR" w:bidi="hr-HR"/>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hr-HR" w:eastAsia="hr-HR" w:bidi="hr-HR"/>
    </w:rPr>
  </w:style>
  <w:style w:type="character" w:customStyle="1" w:styleId="ListBulletCharCharChar">
    <w:name w:val="List Bullet Char Char Char"/>
    <w:rsid w:val="00536069"/>
    <w:rPr>
      <w:sz w:val="24"/>
      <w:lang w:val="hr-HR" w:eastAsia="hr-HR" w:bidi="hr-HR"/>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hr-HR" w:eastAsia="hr-HR" w:bidi="hr-HR"/>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hr-HR" w:eastAsia="hr-HR" w:bidi="hr-HR"/>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hr-HR" w:eastAsia="hr-HR" w:bidi="hr-HR"/>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hr-HR" w:eastAsia="hr-HR" w:bidi="hr-HR"/>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hr-HR" w:eastAsia="hr-HR" w:bidi="hr-HR"/>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hr-HR" w:eastAsia="hr-HR" w:bidi="hr-HR"/>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hr-HR" w:eastAsia="hr-HR" w:bidi="hr-HR"/>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hr-HR" w:eastAsia="hr-HR" w:bidi="hr-HR"/>
    </w:rPr>
  </w:style>
  <w:style w:type="character" w:customStyle="1" w:styleId="InitialChar">
    <w:name w:val="Initial Char"/>
    <w:link w:val="Initial"/>
    <w:rsid w:val="00FD22F7"/>
    <w:rPr>
      <w:spacing w:val="-3"/>
      <w:sz w:val="24"/>
      <w:lang w:val="hr-HR" w:eastAsia="hr-HR" w:bidi="hr-HR"/>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hr-HR" w:eastAsia="hr-HR" w:bidi="hr-HR"/>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hr-HR" w:eastAsia="hr-HR" w:bidi="hr-HR"/>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hr-HR" w:eastAsia="hr-HR" w:bidi="hr-HR"/>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hr-HR"/>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hr-HR"/>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BBB54-8A93-46B3-9AAA-0C12CD893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4</Pages>
  <Words>1467</Words>
  <Characters>8367</Characters>
  <Application>Microsoft Office Word</Application>
  <DocSecurity>4</DocSecurity>
  <PresentationFormat>Microsoft Word 8.0b</PresentationFormat>
  <Lines>69</Lines>
  <Paragraphs>19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2017-02-14T09:05:00Z</dcterms:created>
  <dcterms:modified xsi:type="dcterms:W3CDTF">2017-02-14T09:05:00Z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