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02229C">
      <w:pPr>
        <w:spacing w:after="600"/>
        <w:jc w:val="center"/>
        <w:rPr>
          <w:rFonts w:ascii="Times New Roman" w:eastAsia="Calibri" w:hAnsi="Times New Roman"/>
          <w:b/>
          <w:szCs w:val="24"/>
        </w:rPr>
      </w:pPr>
      <w:r>
        <w:rPr>
          <w:rFonts w:ascii="Times New Roman" w:hAnsi="Times New Roman"/>
          <w:b/>
        </w:rPr>
        <w:t>A Bizottságnak szóló ajánlásokkal a demokráciával, a jogállamisággal és az alapvető jogokkal foglalkozó uniós mechanizmus létrehozásáról szóló európai parlamenti állásfoglalás nyomon követése, amelyet a Bizottság 2017. január 17-én fogadott el.</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Az Alkotmányügyi Bizottság (AFCO) véleményét követően az Állampolgári Jogi, Bel- és Igazságügyi Bizottság (LIBE) által, az Európai Parlament eljárási szabályzatának 46. és 52. cikke alapján előterjesztett állásfoglalás</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EP hivatkozási szám:</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Az állásfoglalás elfogadásának időpontja</w:t>
      </w:r>
      <w:r>
        <w:rPr>
          <w:rFonts w:ascii="Times New Roman" w:hAnsi="Times New Roman"/>
        </w:rPr>
        <w:t>: 2016. október 25.</w:t>
      </w:r>
    </w:p>
    <w:p w:rsidR="00FB4650" w:rsidRDefault="00FB4650" w:rsidP="0002229C">
      <w:pPr>
        <w:ind w:left="709" w:hanging="709"/>
        <w:rPr>
          <w:rFonts w:ascii="Times New Roman" w:eastAsia="Calibri" w:hAnsi="Times New Roman"/>
          <w:szCs w:val="24"/>
        </w:rPr>
      </w:pPr>
      <w:r>
        <w:rPr>
          <w:rFonts w:ascii="Times New Roman" w:hAnsi="Times New Roman"/>
          <w:b/>
        </w:rPr>
        <w:t>4.</w:t>
      </w:r>
      <w:r>
        <w:tab/>
      </w:r>
      <w:r>
        <w:rPr>
          <w:rFonts w:ascii="Times New Roman" w:hAnsi="Times New Roman"/>
          <w:b/>
        </w:rPr>
        <w:t>Tárgy:</w:t>
      </w:r>
      <w:r>
        <w:rPr>
          <w:rFonts w:ascii="Times New Roman" w:hAnsi="Times New Roman"/>
        </w:rPr>
        <w:t xml:space="preserve"> a demokráciával, a jogállamisággal és az alapvető jogokkal foglalkozó </w:t>
      </w:r>
      <w:bookmarkStart w:id="0" w:name="_GoBack"/>
      <w:bookmarkEnd w:id="0"/>
      <w:r>
        <w:rPr>
          <w:rFonts w:ascii="Times New Roman" w:hAnsi="Times New Roman"/>
        </w:rPr>
        <w:t>uniós mechanizmus</w:t>
      </w:r>
    </w:p>
    <w:p w:rsidR="00FB4650" w:rsidRPr="00FB4650" w:rsidRDefault="00FB4650" w:rsidP="0002229C">
      <w:pPr>
        <w:ind w:left="709" w:hanging="709"/>
        <w:rPr>
          <w:rFonts w:ascii="Times New Roman" w:eastAsia="Calibri" w:hAnsi="Times New Roman"/>
          <w:b/>
          <w:szCs w:val="24"/>
        </w:rPr>
      </w:pPr>
      <w:r>
        <w:rPr>
          <w:rFonts w:ascii="Times New Roman" w:hAnsi="Times New Roman"/>
          <w:b/>
        </w:rPr>
        <w:t>5.</w:t>
      </w:r>
      <w:r>
        <w:tab/>
      </w:r>
      <w:r>
        <w:rPr>
          <w:rFonts w:ascii="Times New Roman" w:hAnsi="Times New Roman"/>
          <w:b/>
        </w:rPr>
        <w:t>Az állásfoglalás és az abban megfogalmazott kérések rövid elemzése/értékelése:</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Az Európai Parlament az állásfoglalásban arra kéri a Bizottságot, hogy az EUMSZ 295. cikke alapján terjesszen elő javaslatot a demokráciára, a jogállamiságra és az alapvető jogokra irányuló európai uniós paktum megkötésére intézményközi megállapodás formájában, követve a mellékletbe foglalt részletes ajánlásokat. Az állásfoglalás többek között a Szerződés lehetséges módosítására vonatkozó javaslatokat (pl. az EUSZ 7. cikkének felülvizsgálata, az Alapjogi Charta 51. cikkének eltörlése), valamint az Uniónak az emberi jogok európai egyezményéhez való csatlakozására irányuló felhívást is tartalmaz.</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Az állásfoglalás mellékletében található a demokráciára, a jogállamiságra és az alapvető jogokra irányuló európai uniós paktumra vonatkozó részletes információkat nyújtó intézményközi megállapodás tervezete: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A paktumot a demokráciáról, a jogállamiságról és az alapvető jogokról szóló, országspecifikus ajánlásokkal ellátott európai jelentés alkotja.</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A paktum kiterjed a demokráciáról, a jogállamiságról és az alapvető jogokról szóló jelentésen alapuló éves parlamentközi párbeszédre, valamint az Unió intézményein belüli, a demokráciával, a jogállamisággal és az alapvető jogokkal foglalkozó szakpolitikai ciklusra.</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A demokráciáról, a jogállamiságról és az alapvető jogokról szóló, országspecifikus ajánlásokat tartalmazó éves jelentést a Bizottságnak kell megfogalmaznia egy független szakértői csoport által készített jelentéstervezet alapján.</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A szakértői csoportot az alábbi 38 tag alkotja; az egyes tagállamok nemzeti parlamentjei által kijelölt egy-egy független szakértő (aktív szolgálatban nem lévő, alkotmánybírósági vagy legfelsőbb bírósági bíró); valamint az előzetes jegyzéken szereplő szervezetek által kinevezett szakértők jegyzékéről kiválasztott, az Európai Parlament által kijelölt tíz további szakértő. A szakértői csoport titkárságát a Bizottságnak kell biztosítania.</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 xml:space="preserve">Ha a szakértői csoport az országspecifikus ajánlások általa készített tervezetében arra a következtetésre jutott, hogy kellően megalapozott az </w:t>
      </w:r>
      <w:r>
        <w:rPr>
          <w:rFonts w:ascii="Times New Roman" w:hAnsi="Times New Roman"/>
        </w:rPr>
        <w:lastRenderedPageBreak/>
        <w:t>EUSZ 7. cikkének (1) vagy (2) bekezdéséhez folyamodni egy adott tagállammal kapcsolatosan, akkor a Bizottság, a Tanács és az Európai Parlament haladéktalanul megvitatja az ügyet, és indokolással ellátott határozatot hoz, amelyet nyilvánosságra hoz.</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A szakértői csoport azt is értékeli, hogy a Bizottság, az Európai Parlament és a Tanács eleget tesz-e a demokráciáról, a jogállamiságról és az alapvető jogokról szóló jelentésnek.</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Válasz a kérésekre és a Bizottság által végrehajtott vagy végrehajtani szándékozott intézkedések áttekintése:</w:t>
      </w:r>
    </w:p>
    <w:p w:rsidR="00742B27" w:rsidRDefault="00742B27" w:rsidP="00742B27">
      <w:pPr>
        <w:ind w:left="709"/>
        <w:rPr>
          <w:rFonts w:ascii="Times New Roman" w:eastAsia="Calibri" w:hAnsi="Times New Roman"/>
          <w:szCs w:val="24"/>
        </w:rPr>
      </w:pPr>
      <w:r>
        <w:rPr>
          <w:rFonts w:ascii="Times New Roman" w:hAnsi="Times New Roman"/>
        </w:rPr>
        <w:t>A Bizottság hálás az Európai Parlamentnek azon fontos kérdés felvetéséért, hogy hogyan lehet megőrizni a közös értékeket, a demokráciát, a jogállamiságot és az alapvető jogokat az EU-n belül. A Bizottság teljes mértékben támogatja az állásfoglalás alapjául szolgáló azon célkitűzést, hogy gondoskodjunk közös értékeink és szabályaink tiszteletben tartásáról és érvényesítéséről. Az a legfontosabb feladat, hogy meghatározzuk az e cél elérésére legmegfelelőbb eszközöket.</w:t>
      </w:r>
    </w:p>
    <w:p w:rsidR="00742B27" w:rsidRDefault="00742B27" w:rsidP="00742B27">
      <w:pPr>
        <w:ind w:left="709"/>
        <w:rPr>
          <w:rFonts w:ascii="Times New Roman" w:eastAsia="Calibri" w:hAnsi="Times New Roman"/>
          <w:szCs w:val="24"/>
        </w:rPr>
      </w:pPr>
      <w:r>
        <w:rPr>
          <w:rFonts w:ascii="Times New Roman" w:hAnsi="Times New Roman"/>
        </w:rPr>
        <w:t>A Bizottság gondosan mérlegelte az állásfoglalást, amelynek egyes elemeit teljes mértékben támogatja. A Bizottság mindenekelőtt támogatja az összes érdekelt felet – így az uniós intézményeket, a tagállamokat és a civil társadalmat is – bevonó, inkluzív megközelítést.</w:t>
      </w:r>
    </w:p>
    <w:p w:rsidR="00742B27" w:rsidRDefault="00742B27" w:rsidP="00742B27">
      <w:pPr>
        <w:ind w:left="709"/>
        <w:rPr>
          <w:rFonts w:ascii="Times New Roman" w:eastAsia="Calibri" w:hAnsi="Times New Roman"/>
          <w:szCs w:val="24"/>
        </w:rPr>
      </w:pPr>
      <w:r>
        <w:rPr>
          <w:rFonts w:ascii="Times New Roman" w:hAnsi="Times New Roman"/>
        </w:rPr>
        <w:t>A Bizottság helyesli továbbá az Európai Parlament azon elképzelését, hogy parlamentközi párbeszédet alakít ki az Európai Parlament és a nemzeti parlamentek között. A nemzeti parlamentek szerepet játszanak számos olyan, jogállamisággal kapcsolatos problémában, melyeknek a közelmúltban voltunk tanúi egyes tagállamokban. Arra kell törekednünk, hogy közös egyetértést alakítsunk ki közös értékeink nemzeti és európai szintű megőrzésének legmegfelelőbb módja tekintetében. Az Európai Parlament által létrehozni tervezett parlamentközi együttműködés első lépésben megvitathatná a jelenleg napirenden lévő azon különféle választási lehetőségeket és eszközöket, amelyek közös értékeink tiszteletben tartását és érvényesítését hivatottak biztosítani. A Bizottság készen áll arra, hogy elősegítse ezt a párbeszédet.</w:t>
      </w:r>
    </w:p>
    <w:p w:rsidR="00742B27" w:rsidRDefault="00742B27" w:rsidP="00742B27">
      <w:pPr>
        <w:ind w:left="709"/>
        <w:rPr>
          <w:rFonts w:ascii="Times New Roman" w:eastAsia="Calibri" w:hAnsi="Times New Roman"/>
          <w:szCs w:val="24"/>
        </w:rPr>
      </w:pPr>
      <w:r>
        <w:rPr>
          <w:rFonts w:ascii="Times New Roman" w:hAnsi="Times New Roman"/>
        </w:rPr>
        <w:t>Ami az állásfoglalásba foglalt, a Szerződések lehetséges módosításával kapcsolatos javaslatokat illeti, a Bizottság rövid- és középtávon nem tekinti azokat reálisnak. Ez különösen az Alapjogi Charta 51. cikkének eltörlésére vonatkozik.</w:t>
      </w:r>
    </w:p>
    <w:p w:rsidR="00742B27" w:rsidRDefault="00742B27" w:rsidP="00742B27">
      <w:pPr>
        <w:ind w:left="709"/>
        <w:rPr>
          <w:rFonts w:ascii="Times New Roman" w:eastAsia="Calibri" w:hAnsi="Times New Roman"/>
          <w:szCs w:val="24"/>
        </w:rPr>
      </w:pPr>
      <w:r>
        <w:rPr>
          <w:rFonts w:ascii="Times New Roman" w:hAnsi="Times New Roman"/>
        </w:rPr>
        <w:t>A Bizottság továbbra is maradéktalanul elkötelezett az Uniónak az emberi jogok európai egyezményéhez való csatlakozása iránt. A csatlakozás megerősítené közös értékeinket, elősegítené az uniós jog hatékonyságát, és koherensebbé tenné az alapvető jogok védelmét Európában. Az Európai Unió Bíróságának véleménye azonban súlyos jogi problémákat vetett fel, amelyek némelyike jogilag és politikailag is bonyolult. A Bizottság ezért uniós főtárgyalói minőségében továbbra is konzultációt folytat a Tanács által kijelölt különbizottsággal.</w:t>
      </w:r>
    </w:p>
    <w:p w:rsidR="00742B27" w:rsidRDefault="00742B27" w:rsidP="00742B27">
      <w:pPr>
        <w:ind w:left="709"/>
        <w:rPr>
          <w:rFonts w:ascii="Times New Roman" w:eastAsia="Calibri" w:hAnsi="Times New Roman"/>
          <w:szCs w:val="24"/>
        </w:rPr>
      </w:pPr>
      <w:r>
        <w:rPr>
          <w:rFonts w:ascii="Times New Roman" w:hAnsi="Times New Roman"/>
        </w:rPr>
        <w:t xml:space="preserve">A Bizottságnak jelenleg komoly kétségei vannak a demokráciával, a jogállamisággal és az alapvető jogokkal foglalkozó, „szakértői” bizottság által előkészített éves jelentés és szakpolitikai ciklus szükségessége és megvalósíthatósága, valamint az e kérdésre vonatkozó intézményközi megállapodás szükségessége, megvalósíthatósága és hozzáadott értéke </w:t>
      </w:r>
      <w:r>
        <w:rPr>
          <w:rFonts w:ascii="Times New Roman" w:hAnsi="Times New Roman"/>
        </w:rPr>
        <w:lastRenderedPageBreak/>
        <w:t>tekintetében. A javasolt megközelítés egyes elemei, például az, hogy a javasolt paktumban központi szerepet biztosítanának egy független szakértői csoportnak, a törvényességet, az intézményi legitimációt és az elszámoltathatóságot illetően is súlyos kérdéseket vet fel. Ezenfelül olyan gyakorlati és politikai aggályok is felmerülnek, amelyek megnehezíthetik, hogy az érintett intézmények megtalálják a közös nevezőt.</w:t>
      </w:r>
    </w:p>
    <w:p w:rsidR="00742B27" w:rsidRDefault="00742B27" w:rsidP="00742B27">
      <w:pPr>
        <w:ind w:left="709"/>
        <w:rPr>
          <w:rFonts w:ascii="Times New Roman" w:eastAsia="Calibri" w:hAnsi="Times New Roman"/>
          <w:szCs w:val="24"/>
        </w:rPr>
      </w:pPr>
      <w:r>
        <w:rPr>
          <w:rFonts w:ascii="Times New Roman" w:hAnsi="Times New Roman"/>
        </w:rPr>
        <w:t>A Bizottság úgy véli, hogy először célszerű volna a lehető legjobban kihasználni a meglévő eszközöket, és elkerülni a párhuzamosságokat. A meglévő eszközök és szereplők skálája már jelenleg is egy sor hatékony kiegészítő eszközt biztosít a közös értékek előmozdításához és megőrzéséhez. A Bizottság folytatja ezen eszközök értékelését, és továbbra is épít azokra.</w:t>
      </w:r>
    </w:p>
    <w:p w:rsidR="00742B27" w:rsidRDefault="00742B27" w:rsidP="00742B27">
      <w:pPr>
        <w:ind w:left="709"/>
        <w:rPr>
          <w:rFonts w:ascii="Times New Roman" w:eastAsia="Calibri" w:hAnsi="Times New Roman"/>
          <w:szCs w:val="24"/>
        </w:rPr>
      </w:pPr>
      <w:r>
        <w:rPr>
          <w:rFonts w:ascii="Times New Roman" w:hAnsi="Times New Roman"/>
        </w:rPr>
        <w:t>A Bizottság 2014-ben jogállamisági keretet fogadott el, és Lengyelország ügyében jelenleg is alkalmazza ezt a keretet, ami nem hagy kétséget afelől, hogy nagyon komolyan veszi a jogállamiság védelmét. A fentiekkel összefüggésben a Bizottság hálás amiatt, hogy a Parlament szeptember 14-i állásfoglalásában támogatta a szóban forgó megközelítést. A Bizottság hasonlóképpen nagyra értékeli az Európai Parlamentben a témának szentelt plenáris vitákat.</w:t>
      </w:r>
    </w:p>
    <w:p w:rsidR="00742B27" w:rsidRDefault="00742B27" w:rsidP="00742B27">
      <w:pPr>
        <w:ind w:left="709"/>
        <w:rPr>
          <w:rFonts w:ascii="Times New Roman" w:eastAsia="Calibri" w:hAnsi="Times New Roman"/>
          <w:szCs w:val="24"/>
        </w:rPr>
      </w:pPr>
      <w:r>
        <w:rPr>
          <w:rFonts w:ascii="Times New Roman" w:hAnsi="Times New Roman"/>
        </w:rPr>
        <w:t>A Tanács 2014-ben szintén kialakított jogállamisági párbeszédet, amelynek keretében megvitatja a jogállamisági kérdéseket. A Tanács november 15-én értékelte a párbeszédet, és a legtöbb tagállam hangsúlyozta annak fontosságát, hogy gyakrabban megrendezésre kerülő vitákkal gondoskodjanak a párbeszéd folyamatosságáról és erősítéséről. E vitáknak eredményorientáltabbá és strukturáltabbá is kell válniuk. A tagállamok abban is egyetértettek, hogy 2019 végéig újra kell értékelni a jogállamisági párbeszédet annak mérlegelése céljából, hogy lehetőség nyílik-e a párbeszéd kölcsönös felülvizsgálattá alakítására.</w:t>
      </w:r>
    </w:p>
    <w:p w:rsidR="00742B27" w:rsidRDefault="00742B27" w:rsidP="00742B27">
      <w:pPr>
        <w:ind w:left="709"/>
        <w:rPr>
          <w:rFonts w:ascii="Times New Roman" w:eastAsia="Calibri" w:hAnsi="Times New Roman"/>
          <w:szCs w:val="24"/>
        </w:rPr>
      </w:pPr>
      <w:r>
        <w:rPr>
          <w:rFonts w:ascii="Times New Roman" w:hAnsi="Times New Roman"/>
        </w:rPr>
        <w:t>A Bizottság támogatja az állásfoglalás alapjául szolgáló azon elképzelést, miszerint nemzeti szinten is hozzáférhetőbbé és láthatóbbá teszik a sokféle meglévő adatot és jelentést. Számos egyéb szereplő, többek között az Európa Tanács és a Velencei Bizottság, az Európai Unió Alapjogi Ügynöksége és nem kormányzati szervezetek is hozzájárulnak ahhoz, hogy figyelemmel kísérjék a jogállamiság, a demokrácia és az alapvető jogok helyzetét tagállamainkban.</w:t>
      </w:r>
    </w:p>
    <w:p w:rsidR="00742B27" w:rsidRDefault="00742B27" w:rsidP="00742B27">
      <w:pPr>
        <w:ind w:left="709"/>
        <w:rPr>
          <w:rFonts w:ascii="Times New Roman" w:eastAsia="Calibri" w:hAnsi="Times New Roman"/>
          <w:szCs w:val="24"/>
        </w:rPr>
      </w:pPr>
      <w:r>
        <w:rPr>
          <w:rFonts w:ascii="Times New Roman" w:hAnsi="Times New Roman"/>
        </w:rPr>
        <w:t>Az Európai Unió Alapjogi Ügynökségének azáltal kell a szerepét betöltenie, hogy könnyen hozzáférhetővé tesz egy világos áttekintést a tagállamokkal vagy konkrét témákkal kapcsolatos meglévő információkról és jelentésekről, amint ez az Ügynökség 2017–2019-re vonatkozó programozási dokumentumában is tükröződik.</w:t>
      </w:r>
    </w:p>
    <w:p w:rsidR="00742B27" w:rsidRDefault="00742B27" w:rsidP="00742B27">
      <w:pPr>
        <w:ind w:left="709"/>
        <w:rPr>
          <w:rFonts w:ascii="Times New Roman" w:eastAsia="Calibri" w:hAnsi="Times New Roman"/>
          <w:szCs w:val="24"/>
        </w:rPr>
      </w:pPr>
      <w:r>
        <w:rPr>
          <w:rFonts w:ascii="Times New Roman" w:hAnsi="Times New Roman"/>
        </w:rPr>
        <w:t>A Bizottság alapvető fontosságúnak tartja, hogy az európai szemeszter keretében továbbra is segítséget nyújtson a tagállamoknak nemzeti igazságszolgáltatási rendszereik hatékonyságának javításához, továbbá hogy uniós források és az uniós igazságügyi eredménytábla segítségével támogassa a tagállamok igazságügyi reformjait. Általánosabban fogalmazva, célszerű arra ösztönözni a tagállamokat, hogy javítsák jogérvényesítésüket és jogorvoslati kapacitásukat.</w:t>
      </w:r>
    </w:p>
    <w:p w:rsidR="00742B27" w:rsidRDefault="00742B27" w:rsidP="00742B27">
      <w:pPr>
        <w:ind w:left="709"/>
        <w:rPr>
          <w:rFonts w:ascii="Times New Roman" w:eastAsia="Calibri" w:hAnsi="Times New Roman"/>
          <w:szCs w:val="24"/>
        </w:rPr>
      </w:pPr>
      <w:r>
        <w:rPr>
          <w:rFonts w:ascii="Times New Roman" w:hAnsi="Times New Roman"/>
        </w:rPr>
        <w:t>A Chartába foglalt jogok hatékony helyi érvényesülése érdekében a Bizottság támogatja olyan eszközök kidolgozását, amelyek fejlesztik a tagállami bírók, ügyészek, gyakorló, jogászok és a tagállami emberi jogi szervek tudatosságát.</w:t>
      </w:r>
    </w:p>
    <w:p w:rsidR="00742B27" w:rsidRDefault="00742B27" w:rsidP="00742B27">
      <w:pPr>
        <w:ind w:left="709"/>
        <w:rPr>
          <w:rFonts w:ascii="Times New Roman" w:eastAsia="Calibri" w:hAnsi="Times New Roman"/>
          <w:szCs w:val="24"/>
        </w:rPr>
      </w:pPr>
      <w:r>
        <w:rPr>
          <w:rFonts w:ascii="Times New Roman" w:hAnsi="Times New Roman"/>
        </w:rPr>
        <w:t>A Bizottság annak is kiemelt jelentőséget tulajdonít, hogy az egyének jobban tisztában legyenek azzal, miként élhetnek alapvető jogaikkal, és hová kell fordulniuk azok érvényesítése céljából.</w:t>
      </w:r>
    </w:p>
    <w:p w:rsidR="00742B27" w:rsidRDefault="00742B27" w:rsidP="00742B27">
      <w:pPr>
        <w:ind w:left="709"/>
        <w:rPr>
          <w:rFonts w:ascii="Times New Roman" w:eastAsia="Calibri" w:hAnsi="Times New Roman"/>
          <w:szCs w:val="24"/>
        </w:rPr>
      </w:pPr>
      <w:r>
        <w:rPr>
          <w:rFonts w:ascii="Times New Roman" w:hAnsi="Times New Roman"/>
        </w:rPr>
        <w:t>Az alapvető jogok gyakorlati megvalósítása érdekében a Bizottság a lehető legteljesebb mértékben kihasználja a meglévő programokat, hogy megerősítse azokat a civil társadalmi szervezeteket és emberi jogi szerveket, amelyek a Chartával kapcsolatos ismeretek terjesztésén és a nemzeti szintű alkalmazás biztosításán dolgoznak. A Bizottság megjegyzi azonban, hogy a polgári jogi és a büntetőjogi eljárások kivételével nem létezik jogalap a tagállami bíróságok előtti eljárások során biztosítandó jogi segítségnyújtásra vonatkozó uniós szabályok érvényesítésére. Ami az Európai Unió Bírósága előtti eljárásokat illeti, a Bíróság és a Törvényszék eljárási szabályzatában már jelenleg is szerepelnek jogi segítségnyújtási programok.</w:t>
      </w:r>
    </w:p>
    <w:p w:rsidR="00742B27" w:rsidRDefault="00742B27" w:rsidP="00742B27">
      <w:pPr>
        <w:ind w:left="709"/>
        <w:rPr>
          <w:rFonts w:ascii="Times New Roman" w:eastAsia="Calibri" w:hAnsi="Times New Roman"/>
          <w:szCs w:val="24"/>
        </w:rPr>
      </w:pPr>
      <w:r>
        <w:rPr>
          <w:rFonts w:ascii="Times New Roman" w:hAnsi="Times New Roman"/>
        </w:rPr>
        <w:t>A Bizottság fontosnak tartja továbbá a demokratikus részvétel és a választójog ismeretének előmozdítását és garantálását. A Bizottság ezért – az érdekelt felekkel, így a civil társadalommal vállvetve – támogatja az uniós polgárok helyzetének további erősítésére irányuló tevékenységet, hogy az érintettek teljességgel magukénak érezzék az uniós polgárként őket megillető jogokat. E jogok – többek között az aktív és passzív választójog, bármely uniós tagállam európai parlamenti és helyi választásain, amelynek feltételei megegyeznek azokkal, amelyek megilletik az adott tagállam állampolgárait – az uniós szintű demokrácia tartópillérei, és közös demokratikus értékeink jutnak általuk kifejezésre.</w:t>
      </w:r>
    </w:p>
    <w:p w:rsidR="00742B27" w:rsidRDefault="00742B27" w:rsidP="00742B27">
      <w:pPr>
        <w:ind w:left="709"/>
        <w:rPr>
          <w:rFonts w:ascii="Times New Roman" w:eastAsia="Calibri" w:hAnsi="Times New Roman"/>
          <w:szCs w:val="24"/>
          <w:highlight w:val="yellow"/>
        </w:rPr>
      </w:pPr>
      <w:r>
        <w:rPr>
          <w:rFonts w:ascii="Times New Roman" w:hAnsi="Times New Roman"/>
        </w:rPr>
        <w:t>A Bizottság folyamatosan értékeli, hogy miként lehet a legmegfelelőbben felhasználni a meglévő eszközöket a jogállamiság, a demokrácia és az alapvető jogok előmozdítására és megőrzésére, valamint készen áll arra, hogy továbbra is párbeszédet folytasson erről az Európai Parlamenttel.</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229C">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 européenne, B-1049 Bruxelles – Belgique. Téléphone :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29C"/>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8E4"/>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5A0"/>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hu-HU"/>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hu-HU"/>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hu-HU" w:eastAsia="hu-HU" w:bidi="hu-HU"/>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hu-HU" w:eastAsia="hu-HU" w:bidi="hu-HU"/>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hu-HU" w:eastAsia="hu-HU" w:bidi="hu-HU"/>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hu-HU" w:eastAsia="hu-HU" w:bidi="hu-HU"/>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hu-HU" w:eastAsia="hu-HU" w:bidi="hu-HU"/>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hu-HU" w:eastAsia="hu-HU" w:bidi="hu-HU"/>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hu-HU" w:eastAsia="hu-HU" w:bidi="hu-HU"/>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hu-HU" w:eastAsia="hu-HU" w:bidi="hu-HU"/>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hu-HU"/>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hu-HU" w:eastAsia="hu-HU" w:bidi="hu-HU"/>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hu-HU" w:eastAsia="hu-HU" w:bidi="hu-HU"/>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hu-HU" w:eastAsia="hu-HU" w:bidi="hu-HU"/>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hu-HU" w:eastAsia="hu-HU" w:bidi="hu-HU"/>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hu-HU" w:eastAsia="hu-HU" w:bidi="hu-HU"/>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hu-HU" w:eastAsia="hu-HU" w:bidi="hu-HU"/>
    </w:rPr>
  </w:style>
  <w:style w:type="character" w:customStyle="1" w:styleId="Normal12HangingZnak">
    <w:name w:val="Normal12Hanging Znak"/>
    <w:rsid w:val="006474F2"/>
    <w:rPr>
      <w:sz w:val="24"/>
      <w:lang w:val="hu-HU" w:eastAsia="hu-HU" w:bidi="hu-HU"/>
    </w:rPr>
  </w:style>
  <w:style w:type="character" w:customStyle="1" w:styleId="Text2Char1">
    <w:name w:val="Text 2 Char1"/>
    <w:link w:val="Text2"/>
    <w:rsid w:val="006474F2"/>
    <w:rPr>
      <w:rFonts w:ascii="Courier New" w:hAnsi="Courier New"/>
      <w:sz w:val="24"/>
      <w:lang w:val="hu-HU" w:eastAsia="hu-HU" w:bidi="hu-HU"/>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hu-HU" w:eastAsia="hu-HU" w:bidi="hu-HU"/>
    </w:rPr>
  </w:style>
  <w:style w:type="character" w:customStyle="1" w:styleId="ListBulletCharCharChar">
    <w:name w:val="List Bullet Char Char Char"/>
    <w:rsid w:val="00536069"/>
    <w:rPr>
      <w:sz w:val="24"/>
      <w:lang w:val="hu-HU" w:eastAsia="hu-HU" w:bidi="hu-HU"/>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hu-HU" w:eastAsia="hu-HU" w:bidi="hu-HU"/>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hu-HU" w:eastAsia="hu-HU" w:bidi="hu-HU"/>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hu-HU" w:eastAsia="hu-HU" w:bidi="hu-HU"/>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hu-HU" w:eastAsia="hu-HU" w:bidi="hu-HU"/>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hu-HU" w:eastAsia="hu-HU" w:bidi="hu-HU"/>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hu-HU" w:eastAsia="hu-HU" w:bidi="hu-HU"/>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hu-HU" w:eastAsia="hu-HU" w:bidi="hu-HU"/>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hu-HU" w:eastAsia="hu-HU" w:bidi="hu-HU"/>
    </w:rPr>
  </w:style>
  <w:style w:type="character" w:customStyle="1" w:styleId="InitialChar">
    <w:name w:val="Initial Char"/>
    <w:link w:val="Initial"/>
    <w:rsid w:val="00FD22F7"/>
    <w:rPr>
      <w:spacing w:val="-3"/>
      <w:sz w:val="24"/>
      <w:lang w:val="hu-HU" w:eastAsia="hu-HU" w:bidi="hu-HU"/>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hu-HU" w:eastAsia="hu-HU" w:bidi="hu-HU"/>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hu-HU" w:eastAsia="hu-HU" w:bidi="hu-HU"/>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hu-HU" w:eastAsia="hu-HU" w:bidi="hu-HU"/>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hu-HU"/>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hu-HU"/>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4A31-52FB-4D14-9B2F-107E3C03D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1673</Words>
  <Characters>9541</Characters>
  <Application>Microsoft Office Word</Application>
  <DocSecurity>4</DocSecurity>
  <PresentationFormat>Microsoft Word 8.0b</PresentationFormat>
  <Lines>79</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2017-02-14T09:14:00Z</dcterms:created>
  <dcterms:modified xsi:type="dcterms:W3CDTF">2017-02-14T09:14:00Z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