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993099">
      <w:pPr>
        <w:spacing w:after="600"/>
        <w:jc w:val="center"/>
        <w:rPr>
          <w:rFonts w:ascii="Times New Roman" w:eastAsia="Calibri" w:hAnsi="Times New Roman"/>
          <w:b/>
          <w:szCs w:val="24"/>
        </w:rPr>
      </w:pPr>
      <w:r>
        <w:rPr>
          <w:rFonts w:ascii="Times New Roman" w:hAnsi="Times New Roman"/>
          <w:b/>
        </w:rPr>
        <w:t>2017 m. sausio 17 d. priimtas Komisijos dokumentas dėl tolesnių veiksmų, susijusių su Europos Parlamento rezoliucija su rekomendacijomis Komisijai dėl ES demokratijos, teisinės valstybės ir pagrindinių teisių mechanizmo sukūrimo</w:t>
      </w:r>
    </w:p>
    <w:p w:rsidR="00FB4650" w:rsidRDefault="00FB4650" w:rsidP="00FB4650">
      <w:pPr>
        <w:ind w:left="720" w:hanging="720"/>
        <w:rPr>
          <w:rFonts w:ascii="Times New Roman" w:eastAsia="Calibri" w:hAnsi="Times New Roman"/>
          <w:b/>
          <w:szCs w:val="24"/>
        </w:rPr>
      </w:pPr>
      <w:bookmarkStart w:id="0" w:name="_GoBack"/>
      <w:bookmarkEnd w:id="0"/>
      <w:r>
        <w:rPr>
          <w:rFonts w:ascii="Times New Roman" w:hAnsi="Times New Roman"/>
          <w:b/>
        </w:rPr>
        <w:t>1.</w:t>
      </w:r>
      <w:r>
        <w:tab/>
      </w:r>
      <w:r>
        <w:rPr>
          <w:rFonts w:ascii="Times New Roman" w:hAnsi="Times New Roman"/>
          <w:b/>
        </w:rPr>
        <w:t>Rezoliuciją pateikė Piliečių laisvių, teisingumo ir vidaus reikalų komitetas (LIBE), atsižvelgdamas į Konstitucinių reikalų komiteto (AFCO) nuomonę ir remdamasis Europos Parlamento darbo tvarkos taisyklių 46 ir 52 straipsniais</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EP nuorodos numeris:</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Rezoliucijos priėmimo data</w:t>
      </w:r>
      <w:r>
        <w:rPr>
          <w:rFonts w:ascii="Times New Roman" w:hAnsi="Times New Roman"/>
        </w:rPr>
        <w:t>: 2016 m. spalio 25 d.</w:t>
      </w:r>
    </w:p>
    <w:p w:rsidR="00FB4650" w:rsidRDefault="00FB4650" w:rsidP="00FB4650">
      <w:pPr>
        <w:rPr>
          <w:rFonts w:ascii="Times New Roman" w:eastAsia="Calibri" w:hAnsi="Times New Roman"/>
          <w:szCs w:val="24"/>
        </w:rPr>
      </w:pPr>
      <w:r>
        <w:rPr>
          <w:rFonts w:ascii="Times New Roman" w:hAnsi="Times New Roman"/>
          <w:b/>
        </w:rPr>
        <w:t>4.</w:t>
      </w:r>
      <w:r>
        <w:tab/>
      </w:r>
      <w:r>
        <w:rPr>
          <w:rFonts w:ascii="Times New Roman" w:hAnsi="Times New Roman"/>
          <w:b/>
        </w:rPr>
        <w:t>Tema:</w:t>
      </w:r>
      <w:r>
        <w:rPr>
          <w:rFonts w:ascii="Times New Roman" w:hAnsi="Times New Roman"/>
        </w:rPr>
        <w:t xml:space="preserve"> ES demokratijos, teisinės valstybės ir pagrindinių teisių mechanizmas</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Rezoliucijos ir joje pateiktų prašymų trumpa analizė ir (arba) vertinimas</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Rezoliucijoje prašoma, kad Komisija, laikydamasi priede pateiktų išsamių rekomendacijų, iki 2017 m. rugsėjo pateiktų pasiūlymą dėl ES demokratijos, teisinės valstybės ir pagrindinių teisių pakto sudarymo sudarant tarpinstitucinį susitarimą remiantis SESV 295 straipsniu. Rezoliucijoje, be kita ko, pateikiama pasiūlymų dėl galimo Sutarties pakeitimo (pvz., ES sutarties 7 straipsnio persvarstymo, Pagrindinių teisių chartijos 51 straipsnio panaikinimo), taip pat raginama, kad Sąjunga prisijungtų prie Europos žmogaus teisių konvencijos.</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Rezoliucijos priede pateiktas tarpinstitucinio susitarimo projektas ir išsamiai apibūdintas ES demokratijos, teisinės valstybės ir pagrindinių teisių paktas:</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jis turi apimti Europos demokratijos, teisinės valstybės ir pagrindinių teisių ataskaitą, kurioje būtų pateikiamos konkrečioms šalims skirtos rekomendacijos;</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remiantis paktu, demokratijos, teisinės valstybės ir pagrindinių teisių ataskaitos pagrindu turi būti organizuojamos metinės tarpparlamentinės diskusijos ir vykdomas Sąjungos institucijų demokratijos, teisinės valstybės ir pagrindinių teisių politikos ciklas;</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Komisija, remdamasi nepriklausomų ekspertų grupės parengtu ataskaitos projektu, turi rengti metinę Europos demokratijos, teisinės valstybės ir pagrindinių teisių ataskaitą, įskaitant konkrečioms šalims skirtas rekomendacijas;</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ekspertų grupę turi sudaryti 38 nariai: po vieną kiekvienos valstybės narės nacionalinio parlamento paskirtą nepriklausomą ekspertą, kuris turi reikiamą kvalifikaciją eiti konstitucinio teismo teisėjo arba aukščiausiojo teismo teisėjo pareigas ir šiuo metu neina šių pareigų, ir dešimt kitų Europos Parlamento paskirtų ekspertų, pasirinktų iš sąrašo, kurį pasiūlo į iš anksto sudarytą sąrašą įtrauktos organizacijos. Komisija ekspertų grupei turi teikti sekretoriato paslaugas;</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 xml:space="preserve">jei ekspertų grupės parengtų konkrečioms šalims skirtų rekomendacijų projekte pateikiama išvada, kad tam tikros valstybės narės atžvilgiu yra pakankamai priežasčių pasinaudoti ES sutarties 7 straipsnio 1 dalimi arba 7 straipsnio 2 dalimi, kiekviena institucija – Komisija, Taryba ir Europos </w:t>
      </w:r>
      <w:r>
        <w:rPr>
          <w:rFonts w:ascii="Times New Roman" w:hAnsi="Times New Roman"/>
        </w:rPr>
        <w:lastRenderedPageBreak/>
        <w:t>Parlamentas – nedelsdama aptaria klausimą ir priima pagrįstą sprendimą, kuris paskelbiamas viešai;</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ekspertų grupė taip pat vertina, ar Komisija, Europos Parlamentas ir Taryba laikosi demokratijos, teisinės valstybės ir pagrindinių teisių principų.</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Komisijos atsakymas į prašymus ir veiksmų, kurių buvo imtasi arba ketinama imtis, apžvalga</w:t>
      </w:r>
    </w:p>
    <w:p w:rsidR="00742B27" w:rsidRDefault="00742B27" w:rsidP="00742B27">
      <w:pPr>
        <w:ind w:left="709"/>
        <w:rPr>
          <w:rFonts w:ascii="Times New Roman" w:eastAsia="Calibri" w:hAnsi="Times New Roman"/>
          <w:szCs w:val="24"/>
        </w:rPr>
      </w:pPr>
      <w:r>
        <w:rPr>
          <w:rFonts w:ascii="Times New Roman" w:hAnsi="Times New Roman"/>
        </w:rPr>
        <w:t>Komisija dėkoja Europos Parlamentui, kad jis iškėlė svarbų bendrų vertybių, demokratijos, pagrindinių teisių ir teisinės valstybės principų puoselėjimo ES klausimą. Komisija visapusiškai remia pagrindinį rezoliucijos tikslą užtikrinti, kad būtų gerbiamos ir įgyvendinamos mūsų bendros vertybės ir taisyklės. Svarbu nustatyti geriausias šio tikslo įgyvendinimo priemones.</w:t>
      </w:r>
    </w:p>
    <w:p w:rsidR="00742B27" w:rsidRDefault="00742B27" w:rsidP="00742B27">
      <w:pPr>
        <w:ind w:left="709"/>
        <w:rPr>
          <w:rFonts w:ascii="Times New Roman" w:eastAsia="Calibri" w:hAnsi="Times New Roman"/>
          <w:szCs w:val="24"/>
        </w:rPr>
      </w:pPr>
      <w:r>
        <w:rPr>
          <w:rFonts w:ascii="Times New Roman" w:hAnsi="Times New Roman"/>
        </w:rPr>
        <w:t>Komisija atidžiai apsvarstė rezoliuciją ir tam tikriems jos elementams visiškai pritaria. Komisija ypač palaiko požiūrį, kad turėtų būti įtrauktos visos suinteresuotosios šalys, įskaitant ES institucijas, valstybes nares ir pilietinę visuomenę.</w:t>
      </w:r>
    </w:p>
    <w:p w:rsidR="00742B27" w:rsidRDefault="00742B27" w:rsidP="00742B27">
      <w:pPr>
        <w:ind w:left="709"/>
        <w:rPr>
          <w:rFonts w:ascii="Times New Roman" w:eastAsia="Calibri" w:hAnsi="Times New Roman"/>
          <w:szCs w:val="24"/>
        </w:rPr>
      </w:pPr>
      <w:r>
        <w:rPr>
          <w:rFonts w:ascii="Times New Roman" w:hAnsi="Times New Roman"/>
        </w:rPr>
        <w:t>Komisijai taip pat pritaria Europos Parlamento idėjai vykdyti Europos Parlamento ir nacionalinių parlamentų tarpparlamentines diskusijas. Nacionaliniai parlamentai dalyvauja sprendžiant daugelį su teisine valstybe susijusių problemų, kurių neseniai patyrėme kai kuriose valstybėse narėse. Nacionaliniu ir europiniu lygmeniu turime siekti bendro sutarimo, kaip būtų geriausia puoselėti mūsų bendras vertybes. Europos Parlamento numatomos tarpparlamentinės diskusijos galėtų būti pirmasis žingsnis siekiant aptarti įvairias šiuo metu svarstomas galimybes ir priemones, skirtas užtikrinti, kad būtų gerbiamos ir įgyvendinamos mūsų bendros vertybės. Komisija pasirengusi dalyvauti tokiose diskusijose.</w:t>
      </w:r>
    </w:p>
    <w:p w:rsidR="00742B27" w:rsidRDefault="00742B27" w:rsidP="00742B27">
      <w:pPr>
        <w:ind w:left="709"/>
        <w:rPr>
          <w:rFonts w:ascii="Times New Roman" w:eastAsia="Calibri" w:hAnsi="Times New Roman"/>
          <w:szCs w:val="24"/>
        </w:rPr>
      </w:pPr>
      <w:r>
        <w:rPr>
          <w:rFonts w:ascii="Times New Roman" w:hAnsi="Times New Roman"/>
        </w:rPr>
        <w:t>Kalbant apie rezoliucijoje pateiktus pasiūlymus dėl galimo Sutarčių pakeitimo, Komisija nemano, kad tokius pasiūlymus būtų realu įgyvendinti per artimiausią ar vidutinį laikotarpį, ypač tai pasakytina apie pasiūlymą panaikinti Pagrindinių teisių chartijos 51 straipsnį.</w:t>
      </w:r>
    </w:p>
    <w:p w:rsidR="00742B27" w:rsidRDefault="00742B27" w:rsidP="00742B27">
      <w:pPr>
        <w:ind w:left="709"/>
        <w:rPr>
          <w:rFonts w:ascii="Times New Roman" w:eastAsia="Calibri" w:hAnsi="Times New Roman"/>
          <w:szCs w:val="24"/>
        </w:rPr>
      </w:pPr>
      <w:r>
        <w:rPr>
          <w:rFonts w:ascii="Times New Roman" w:hAnsi="Times New Roman"/>
        </w:rPr>
        <w:t>Komisija lieka visapusiškai įsipareigojusi siekti Sąjungos prisijungimo prie Europos žmogaus teisių konvencijos (EŽTK). Prisijungus prie EŽTK sustiprės mūsų bendros vertybės, padidės ES teisės veiksmingumas ir pagrindinių teisių apsaugos Europoje nuoseklumas. Tačiau Europos Sąjungos Teisingumo Teismo nuomonėje iškelta rimtų teisinių klausimų, o kai kurie iš jų yra sudėtingi teisiniu ir politiniu požiūriu. Todėl Komisija, veikdama kaip ES derybininkė, tęsia konsultacijas su Tarybos paskirtu specialiuoju komitetu.</w:t>
      </w:r>
    </w:p>
    <w:p w:rsidR="00742B27" w:rsidRDefault="00742B27" w:rsidP="00742B27">
      <w:pPr>
        <w:ind w:left="709"/>
        <w:rPr>
          <w:rFonts w:ascii="Times New Roman" w:eastAsia="Calibri" w:hAnsi="Times New Roman"/>
          <w:szCs w:val="24"/>
        </w:rPr>
      </w:pPr>
      <w:r>
        <w:rPr>
          <w:rFonts w:ascii="Times New Roman" w:hAnsi="Times New Roman"/>
        </w:rPr>
        <w:t>Šiuo etapu Komisija labai abejoja dėl būtinybės ir galimybės „ekspertų“ komitetui rengti demokratijos, pagrindinių teisių ir teisinės valstybės principų metinę ataskaitą ir politikos ciklą, taip pat dėl būtinybės ir galimybės šiuo klausimu sudaryti tarpinstitucinį susitarimą bei dėl tokio susitarimo pridėtinės vertės. Be to, kai kurie pasiūlymo elementai, pavyzdžiui, tai, kad siūlomame pakte pagrindinis vaidmuo skiriamas nepriklausomų ekspertų grupei, kelia rimtų abejonių teisėtumo, institucinio teisėtumo ir atskaitomybės požiūriu. Taip pat esama praktinių ir politinių aspektų, dėl kurių visoms susijusioms institucijoms gali būti sudėtinga pasiekti bendrą sutarimą šiuo klausimu.</w:t>
      </w:r>
    </w:p>
    <w:p w:rsidR="00742B27" w:rsidRDefault="00742B27" w:rsidP="00742B27">
      <w:pPr>
        <w:ind w:left="709"/>
        <w:rPr>
          <w:rFonts w:ascii="Times New Roman" w:eastAsia="Calibri" w:hAnsi="Times New Roman"/>
          <w:szCs w:val="24"/>
        </w:rPr>
      </w:pPr>
      <w:r>
        <w:rPr>
          <w:rFonts w:ascii="Times New Roman" w:hAnsi="Times New Roman"/>
        </w:rPr>
        <w:t xml:space="preserve">Komisija mano, kad visų pirma reikėtų kuo geriau išnaudoti turimas priemones ir išvengti dubliavimosi. Įvairios turimos priemonės ir dalyviai jau dabar suteikia </w:t>
      </w:r>
      <w:r>
        <w:rPr>
          <w:rFonts w:ascii="Times New Roman" w:hAnsi="Times New Roman"/>
        </w:rPr>
        <w:lastRenderedPageBreak/>
        <w:t>galimybę naudotis papildomais veiksmingais bendrų vertybių rėmimo ir puoselėjimo būdais. Komisija toliau vertins tuos būdus ir jais remsis.</w:t>
      </w:r>
    </w:p>
    <w:p w:rsidR="00742B27" w:rsidRDefault="00742B27" w:rsidP="00742B27">
      <w:pPr>
        <w:ind w:left="709"/>
        <w:rPr>
          <w:rFonts w:ascii="Times New Roman" w:eastAsia="Calibri" w:hAnsi="Times New Roman"/>
          <w:szCs w:val="24"/>
        </w:rPr>
      </w:pPr>
      <w:r>
        <w:rPr>
          <w:rFonts w:ascii="Times New Roman" w:hAnsi="Times New Roman"/>
        </w:rPr>
        <w:t>2014 m. Komisija patvirtino teisinės valstybės priemonių sistemą ir šiuo metu ją taiko Lenkijai. Todėl neturėtų kilti abejonių, kad Komisijos požiūris į teisinės valstybės apsaugos klausimą yra labai rimtas. Komisija dėkoja Parlamentui už rugsėjo 14 d. rezoliucijoje pareikštą paramą šiam požiūriui. Komisija taip pat vertina plenarinio posėdžio diskusijas, kurias šiuo klausimu organizavo Europos Parlamentas.</w:t>
      </w:r>
    </w:p>
    <w:p w:rsidR="00742B27" w:rsidRDefault="00742B27" w:rsidP="00742B27">
      <w:pPr>
        <w:ind w:left="709"/>
        <w:rPr>
          <w:rFonts w:ascii="Times New Roman" w:eastAsia="Calibri" w:hAnsi="Times New Roman"/>
          <w:szCs w:val="24"/>
        </w:rPr>
      </w:pPr>
      <w:r>
        <w:rPr>
          <w:rFonts w:ascii="Times New Roman" w:hAnsi="Times New Roman"/>
        </w:rPr>
        <w:t>Nuo 2014 m. Taryba taip pat vykdo dialogą teisinės valstybės klausimais įvairiems jos aspektams aptarti. Lapkričio 15 d. Taryba įvertino dialogą, o dauguma valstybių narių pabrėžė, kad svarbu užtikrinti dialogo tęstinumą ir jį stiprinti dažniau organizuojant diskusijas, kurios turėtų būti labiau orientuotos į rezultatus ir turėti aiškesnę struktūrą. Taip pat buvo sutarta, kad dialogas valstybės klausimais turėtų būti dar kartą įvertintas iki 2019 m. pabaigos, siekiant apsvarstyti galimybę, kad šis dialogas taptų metiniu tarpusavio vertinimo procesu.</w:t>
      </w:r>
    </w:p>
    <w:p w:rsidR="00742B27" w:rsidRDefault="00742B27" w:rsidP="00742B27">
      <w:pPr>
        <w:ind w:left="709"/>
        <w:rPr>
          <w:rFonts w:ascii="Times New Roman" w:eastAsia="Calibri" w:hAnsi="Times New Roman"/>
          <w:szCs w:val="24"/>
        </w:rPr>
      </w:pPr>
      <w:r>
        <w:rPr>
          <w:rFonts w:ascii="Times New Roman" w:hAnsi="Times New Roman"/>
        </w:rPr>
        <w:t>Komisija pritaria kitai rezoliucijos idėjai, kad įvairūs turimi duomenys ir ataskaitos turėtų būti labiau prieinami ir žinomi, taip pat ir nacionaliniu lygmeniu. Teisinės valstybės, demokratijos ir pagrindinių teisių stebėjimo valstybėse narėse procese dalyvauja daug kitų dalyvių, įskaitant Europos Tarybą ir jos Venecijos komisiją, ES pagrindinių teisių agentūrą bei NVO.</w:t>
      </w:r>
    </w:p>
    <w:p w:rsidR="00742B27" w:rsidRDefault="00742B27" w:rsidP="00742B27">
      <w:pPr>
        <w:ind w:left="709"/>
        <w:rPr>
          <w:rFonts w:ascii="Times New Roman" w:eastAsia="Calibri" w:hAnsi="Times New Roman"/>
          <w:szCs w:val="24"/>
        </w:rPr>
      </w:pPr>
      <w:r>
        <w:rPr>
          <w:rFonts w:ascii="Times New Roman" w:hAnsi="Times New Roman"/>
        </w:rPr>
        <w:t>Kaip nurodyta ES pagrindinių teisių agentūros 2017–2019 m. programavimo dokumente, agentūra turi padėti užtikrinti, kad būtų lengvai prieinama aiški su valstybėmis narėmis ar konkrečiomis temomis susijusios turimos informacijos ir ataskaitų apžvalga.</w:t>
      </w:r>
    </w:p>
    <w:p w:rsidR="00742B27" w:rsidRDefault="00742B27" w:rsidP="00742B27">
      <w:pPr>
        <w:ind w:left="709"/>
        <w:rPr>
          <w:rFonts w:ascii="Times New Roman" w:eastAsia="Calibri" w:hAnsi="Times New Roman"/>
          <w:szCs w:val="24"/>
        </w:rPr>
      </w:pPr>
      <w:r>
        <w:rPr>
          <w:rFonts w:ascii="Times New Roman" w:hAnsi="Times New Roman"/>
        </w:rPr>
        <w:t>Komisija mano, kad labai svarbu per Europos semestrą toliau padėti valstybėms narėms didinti savo nacionalinių teisingumo sistemų veiksmingumą ir ES lėšomis bei ES teisingumo rezultatų suvestine remti valstybių narių teisingumo reformas. Apskritai, valstybės narės turėtų būti skatinamos gerinti savo gebėjimus užtikrinti vykdymą ir teisių gynimo priemonių taikymą.</w:t>
      </w:r>
    </w:p>
    <w:p w:rsidR="00742B27" w:rsidRDefault="00742B27" w:rsidP="00742B27">
      <w:pPr>
        <w:ind w:left="709"/>
        <w:rPr>
          <w:rFonts w:ascii="Times New Roman" w:eastAsia="Calibri" w:hAnsi="Times New Roman"/>
          <w:szCs w:val="24"/>
        </w:rPr>
      </w:pPr>
      <w:r>
        <w:rPr>
          <w:rFonts w:ascii="Times New Roman" w:hAnsi="Times New Roman"/>
        </w:rPr>
        <w:t>Siekdama, kad Chartijoje įtvirtintos teisės būtų veiksmingai įgyvendinamos vietoje, Komisija skatina kurti priemones, kuriomis valstybėse narėse būtų didinamas teisėjų, prokurorų, praktikuojančių teisininkų ir nacionalinių žmogaus teisių organizacijų informuotumas.</w:t>
      </w:r>
    </w:p>
    <w:p w:rsidR="00742B27" w:rsidRDefault="00742B27" w:rsidP="00742B27">
      <w:pPr>
        <w:ind w:left="709"/>
        <w:rPr>
          <w:rFonts w:ascii="Times New Roman" w:eastAsia="Calibri" w:hAnsi="Times New Roman"/>
          <w:szCs w:val="24"/>
        </w:rPr>
      </w:pPr>
      <w:r>
        <w:rPr>
          <w:rFonts w:ascii="Times New Roman" w:hAnsi="Times New Roman"/>
        </w:rPr>
        <w:t>Be to, ypatingą dėmesį Komisija skiria piliečių supratimo apie tai, kaip jie gali naudotis savo pagrindinėmis teisėmis ir kur reikėtų kreiptis dėl jų vykdymo, gerinimui.</w:t>
      </w:r>
    </w:p>
    <w:p w:rsidR="00742B27" w:rsidRDefault="00742B27" w:rsidP="00742B27">
      <w:pPr>
        <w:ind w:left="709"/>
        <w:rPr>
          <w:rFonts w:ascii="Times New Roman" w:eastAsia="Calibri" w:hAnsi="Times New Roman"/>
          <w:szCs w:val="24"/>
        </w:rPr>
      </w:pPr>
      <w:r>
        <w:rPr>
          <w:rFonts w:ascii="Times New Roman" w:hAnsi="Times New Roman"/>
        </w:rPr>
        <w:t>Siekdama, kad pagrindinės teisės būtų įtvirtintos praktikoje, Komisija stengsis kuo geriau išnaudoti esamas programas, kad suteiktų galių pilietinės visuomenės ir žmogaus teisių organizacijoms, kurių veikla susijusi su informuotumo apie Chartiją didinimu ir jos taikymo nacionaliniu lygmeniu užtikrinimu. Tačiau Komisija pastebi, kad, išskyrus civilinį ir baudžiamąjį procesus, nėra teisinio pagrindo, kuriuo remiantis valstybių narių teismuose vykstančių procesų metų būtų įgyvendinamos ES taisyklės dėl teisinės pagalbos. Kalbant apie teismo procesą ES teismuose, Teisingumo Teismo ir Bendrojo Teismo procedūros reglamentuose teisinės pagalbos schemos jau nustatytos.</w:t>
      </w:r>
    </w:p>
    <w:p w:rsidR="00742B27" w:rsidRDefault="00742B27" w:rsidP="00742B27">
      <w:pPr>
        <w:ind w:left="709"/>
        <w:rPr>
          <w:rFonts w:ascii="Times New Roman" w:eastAsia="Calibri" w:hAnsi="Times New Roman"/>
          <w:szCs w:val="24"/>
        </w:rPr>
      </w:pPr>
      <w:r>
        <w:rPr>
          <w:rFonts w:ascii="Times New Roman" w:hAnsi="Times New Roman"/>
        </w:rPr>
        <w:lastRenderedPageBreak/>
        <w:t>Komisija taip pat mano, kad svarbu remti ir užtikrinti demokratinį dalyvavimą bei informuotumą apie balsavimo teisę. Todėl Komisija kartu su suinteresuotosiomis šalimis, be kita ko, pilietine visuomene, rems veiklą, kuria siekiama suteikti daugiau galių Sąjungos piliečiams visiškai prisiimti atsakomybę už savo, kaip ES piliečių, teises. Šios teisės, įskaitant teisę balsuoti ir kandidatuoti bet kokios ES valstybės narės ES ir vietos rinkimuose tokiomis pačiomis sąlygomis, kokios taikomos tos valstybės narės piliečiams, stiprina demokratiją ES lygmeniu ir išreiškia mūsų bendras demokratines vertybes.</w:t>
      </w:r>
    </w:p>
    <w:p w:rsidR="00742B27" w:rsidRDefault="00742B27" w:rsidP="00742B27">
      <w:pPr>
        <w:ind w:left="709"/>
        <w:rPr>
          <w:rFonts w:ascii="Times New Roman" w:eastAsia="Calibri" w:hAnsi="Times New Roman"/>
          <w:szCs w:val="24"/>
          <w:highlight w:val="yellow"/>
        </w:rPr>
      </w:pPr>
      <w:r>
        <w:rPr>
          <w:rFonts w:ascii="Times New Roman" w:hAnsi="Times New Roman"/>
        </w:rPr>
        <w:t>Komisija nuolat vertina, kaip esamomis priemonėmis būtų galima kuo geriau remti ir puoselėti teisinę valstybę, demokratiją ir pagrindines teises, ir yra pasirengusi su Europos Parlamentu tęsti diskusijas šiuo klausimu.</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3099">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Commission européenne, B-1049 Bruxelles – Belgique. Telefonas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099"/>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lt-LT"/>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lt-LT"/>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lt-LT" w:eastAsia="lt-LT" w:bidi="lt-LT"/>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lt-LT" w:eastAsia="lt-LT" w:bidi="lt-LT"/>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lt-LT" w:eastAsia="lt-LT" w:bidi="lt-LT"/>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lt-LT" w:eastAsia="lt-LT" w:bidi="lt-LT"/>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lt-LT" w:eastAsia="lt-LT" w:bidi="lt-LT"/>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lt-LT" w:eastAsia="lt-LT" w:bidi="lt-LT"/>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lt-LT" w:eastAsia="lt-LT" w:bidi="lt-LT"/>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lt-LT" w:eastAsia="lt-LT" w:bidi="lt-LT"/>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lt-LT"/>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lt-LT" w:eastAsia="lt-LT" w:bidi="lt-LT"/>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lt-LT" w:eastAsia="lt-LT" w:bidi="lt-LT"/>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lt-LT" w:eastAsia="lt-LT" w:bidi="lt-LT"/>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lt-LT" w:eastAsia="lt-LT" w:bidi="lt-LT"/>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lt-LT" w:eastAsia="lt-LT" w:bidi="lt-LT"/>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lt-LT" w:eastAsia="lt-LT" w:bidi="lt-LT"/>
    </w:rPr>
  </w:style>
  <w:style w:type="character" w:customStyle="1" w:styleId="Normal12HangingZnak">
    <w:name w:val="Normal12Hanging Znak"/>
    <w:rsid w:val="006474F2"/>
    <w:rPr>
      <w:sz w:val="24"/>
      <w:lang w:val="lt-LT" w:eastAsia="lt-LT" w:bidi="lt-LT"/>
    </w:rPr>
  </w:style>
  <w:style w:type="character" w:customStyle="1" w:styleId="Text2Char1">
    <w:name w:val="Text 2 Char1"/>
    <w:link w:val="Text2"/>
    <w:rsid w:val="006474F2"/>
    <w:rPr>
      <w:rFonts w:ascii="Courier New" w:hAnsi="Courier New"/>
      <w:sz w:val="24"/>
      <w:lang w:val="lt-LT" w:eastAsia="lt-LT" w:bidi="lt-LT"/>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lt-LT" w:eastAsia="lt-LT" w:bidi="lt-LT"/>
    </w:rPr>
  </w:style>
  <w:style w:type="character" w:customStyle="1" w:styleId="ListBulletCharCharChar">
    <w:name w:val="List Bullet Char Char Char"/>
    <w:rsid w:val="00536069"/>
    <w:rPr>
      <w:sz w:val="24"/>
      <w:lang w:val="lt-LT" w:eastAsia="lt-LT" w:bidi="lt-LT"/>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lt-LT" w:eastAsia="lt-LT" w:bidi="lt-LT"/>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lt-LT" w:eastAsia="lt-LT" w:bidi="lt-LT"/>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lt-LT" w:eastAsia="lt-LT" w:bidi="lt-L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lt-LT" w:eastAsia="lt-LT" w:bidi="lt-LT"/>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lt-LT" w:eastAsia="lt-LT" w:bidi="lt-LT"/>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lt-LT" w:eastAsia="lt-LT" w:bidi="lt-LT"/>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lt-LT" w:eastAsia="lt-LT" w:bidi="lt-LT"/>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lt-LT" w:eastAsia="lt-LT" w:bidi="lt-LT"/>
    </w:rPr>
  </w:style>
  <w:style w:type="character" w:customStyle="1" w:styleId="InitialChar">
    <w:name w:val="Initial Char"/>
    <w:link w:val="Initial"/>
    <w:rsid w:val="00FD22F7"/>
    <w:rPr>
      <w:spacing w:val="-3"/>
      <w:sz w:val="24"/>
      <w:lang w:val="lt-LT" w:eastAsia="lt-LT" w:bidi="lt-LT"/>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lt-LT" w:eastAsia="lt-LT" w:bidi="lt-LT"/>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lt-LT" w:eastAsia="lt-LT" w:bidi="lt-LT"/>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lt-LT" w:eastAsia="lt-LT" w:bidi="lt-LT"/>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lt-L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lt-LT"/>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B2810-C566-4F99-B9FC-74F84332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4</Pages>
  <Words>1517</Words>
  <Characters>8652</Characters>
  <Application>Microsoft Office Word</Application>
  <DocSecurity>4</DocSecurity>
  <PresentationFormat>Microsoft Word 8.0b</PresentationFormat>
  <Lines>72</Lines>
  <Paragraphs>20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2017-02-14T09:13:00Z</dcterms:created>
  <dcterms:modified xsi:type="dcterms:W3CDTF">2017-02-14T09:13:00Z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