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DB735C">
      <w:pPr>
        <w:spacing w:after="600"/>
        <w:jc w:val="center"/>
        <w:rPr>
          <w:rFonts w:ascii="Times New Roman" w:eastAsia="Calibri" w:hAnsi="Times New Roman"/>
          <w:b/>
          <w:szCs w:val="24"/>
        </w:rPr>
      </w:pPr>
      <w:r>
        <w:rPr>
          <w:rFonts w:ascii="Times New Roman" w:hAnsi="Times New Roman"/>
          <w:b/>
        </w:rPr>
        <w:t>Segwitu għar-riżoluzzjoni tal-Parlament Ewropew dwar ir-rakkomandazzjonijiet lill-Kummissjoni dwar l-istabbiliment ta’ mekkaniżmu tal-UE dwar id-demokrazija, l-istat tad-dritt u d-drittijiet fundamentali, adottata mill-Kummissjoni fis-17 ta’ Jannar 2017.</w:t>
      </w:r>
    </w:p>
    <w:p w:rsidR="00FB4650" w:rsidRDefault="00FB4650" w:rsidP="00FB4650">
      <w:pPr>
        <w:ind w:left="720" w:hanging="720"/>
        <w:rPr>
          <w:rFonts w:ascii="Times New Roman" w:eastAsia="Calibri" w:hAnsi="Times New Roman"/>
          <w:b/>
          <w:szCs w:val="24"/>
        </w:rPr>
      </w:pPr>
      <w:r>
        <w:rPr>
          <w:rFonts w:ascii="Times New Roman" w:hAnsi="Times New Roman"/>
          <w:b/>
        </w:rPr>
        <w:t>1.</w:t>
      </w:r>
      <w:r>
        <w:tab/>
      </w:r>
      <w:r>
        <w:rPr>
          <w:rFonts w:ascii="Times New Roman" w:hAnsi="Times New Roman"/>
          <w:b/>
        </w:rPr>
        <w:t>Riżoluzzjoni mqiegħda fuq il-Mejda skont ir-Regoli 46 u 52 tar-regoli ta’ proċedura tal-Parlament Ewropew mill-Kumitat għal-Libertajiet Ċivili, il-Ġustizzja u l-Intern (LIBE) b’segwitu għall-Opinjoni tal-Kumitat għall-Affarijiet Kostituzzjonali (AFCO)</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Numru ta’ referenza PE:</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Data tal-adozzjoni tar-riżoluzzjoni</w:t>
      </w:r>
      <w:r>
        <w:rPr>
          <w:rFonts w:ascii="Times New Roman" w:hAnsi="Times New Roman"/>
        </w:rPr>
        <w:t>: 25 ta’ Ottubru 2016</w:t>
      </w:r>
    </w:p>
    <w:p w:rsidR="00FB4650" w:rsidRDefault="00FB4650" w:rsidP="00DB735C">
      <w:pPr>
        <w:ind w:left="720" w:hanging="720"/>
        <w:rPr>
          <w:rFonts w:ascii="Times New Roman" w:eastAsia="Calibri" w:hAnsi="Times New Roman"/>
          <w:szCs w:val="24"/>
        </w:rPr>
      </w:pPr>
      <w:r>
        <w:rPr>
          <w:rFonts w:ascii="Times New Roman" w:hAnsi="Times New Roman"/>
          <w:b/>
        </w:rPr>
        <w:t>4.</w:t>
      </w:r>
      <w:r>
        <w:tab/>
      </w:r>
      <w:r>
        <w:rPr>
          <w:rFonts w:ascii="Times New Roman" w:hAnsi="Times New Roman"/>
          <w:b/>
        </w:rPr>
        <w:t>Suġġett:</w:t>
      </w:r>
      <w:r>
        <w:rPr>
          <w:rFonts w:ascii="Times New Roman" w:hAnsi="Times New Roman"/>
        </w:rPr>
        <w:t xml:space="preserve"> Mekkaniżmu tal-UE dwar id-demokrazija, l-istat tad-dritt u d-drittijiet fundamentali</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Analiżi/valutazzjoni qasira tar-riżoluzzjoni u t-talbiet li saru fiha:</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F’din ir-riżoluzzjoni, il-Kummissjoni hija mitluba tippreżenta – sa Settembru 2017 – proposta għall-konklużjoni ta’ Patt tal-UE għad-Demokrazija, l-Istat tad-Dritt u d-Drittijiet Fundamentali (DRF) fil-forma ta’ ftehim interistituzzjonali fuq il-bażi tal-Artikolu 295 TFUE, billi ssegwi rakkomandazzjonijiet dettaljati stabbiliti fl-Anness. Ir-riżoluzzjoni tinkludi wkoll, fost l-oħrajn, suġġerimenti għal tibdil possibbli fit-Trattat (eż. ir-rieżami tal-Artikolu 7 TUE, li jiġi abolit l-Artikolu 51 tal-Karta tad-Drittijiet Fundamentali) u sejħa għall-adeżjoni tal-Unjoni mal-Konvenzjoni Ewropea dwar id-Drittijiet tal-Bniedem.</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L-anness tar-riżoluzzjoni jistabbilixxi abbozz għal Ftehim Interistituzzjonali li jipprovdi dettalji dwar Patt tal-UE għad-DRF:</w:t>
      </w:r>
    </w:p>
    <w:p w:rsidR="00FB4650" w:rsidRPr="00FB4650" w:rsidRDefault="00DB735C"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Huwa</w:t>
      </w:r>
      <w:bookmarkStart w:id="0" w:name="_GoBack"/>
      <w:bookmarkEnd w:id="0"/>
      <w:r w:rsidR="00FB4650">
        <w:rPr>
          <w:rFonts w:ascii="Times New Roman" w:hAnsi="Times New Roman"/>
        </w:rPr>
        <w:t xml:space="preserve"> għandu jkun jikkonsisti f’rapport Ewropew tad-DRF b’Rakkomandazzjonijiet Speċifiċi għall-Pajjiżi (“CSRs”).</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Dan għandu jinkludi djalogu interparlamentari annwali abbażi tar-Rapporti tad-DRF, u ċiklu tal-politika tad-DRF fl-istituzzjonijiet tal-Unjoni.</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Ir-rapport annwali tad-DRF, inklużi s-CSRs, għandu li jiġi mfassal mill-Kummissjoni abbażi ta’ abbozz ta’ rapport imħejji minn bord ta’ esperti indipendenti.</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Il-bord ta’ esperti għandu jkollu 38 membru; espert indipendenti wieħed nominat mill-Parlament nazzjonali ta’ kull Stat Membru (imħallfin kwalifikati tal-qorti kostituzzjonali jew tal-qorti suprema, li ma jkunux f’servizz attiv) u għaxar esperti oħra maħtura mill-Parlament Ewropew, magħżula minn lista ta’ esperti nnominati minn lista stabbilita minn qabel ta’ organizzazzjonijiet. Il-Kummissjoni se tipprovdi s-segretarjat tal-bord ta’ esperti.</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Jekk l-abbozzi tas-CRS imħejjija mill-bord tal-esperti jikkonkludu li hemm raġunijiet biżżejjed biex jiġi invokat l-Artikolu 7(1) jew 7(2) TUE b’rabta ma’ Stat Membru partikolari, il-Kummissjoni, il-Kunsill u l-Parlament Ewropew għandhom kollha jiddiskutu l-kwistjoni mingħajr dewmien u jieħdu deċiżjoni raġunata li għandha tkun pubblika.</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lastRenderedPageBreak/>
        <w:t>Il-bord ta’ esperti għandu wkoll jivvaluta l-konformità mad-DRF mill-Kummissjoni, il-Parlament Ewropew u l-Kunsill.</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Tweġiba/reazzjoni għal talbiet u ġabra qasira ta' azzjoni li ġiet meħuda, jew li hija maħsuba li tiġi meħuda, mill-Kummissjoni:</w:t>
      </w:r>
    </w:p>
    <w:p w:rsidR="00742B27" w:rsidRDefault="00742B27" w:rsidP="00742B27">
      <w:pPr>
        <w:ind w:left="709"/>
        <w:rPr>
          <w:rFonts w:ascii="Times New Roman" w:eastAsia="Calibri" w:hAnsi="Times New Roman"/>
          <w:szCs w:val="24"/>
        </w:rPr>
      </w:pPr>
      <w:r>
        <w:rPr>
          <w:rFonts w:ascii="Times New Roman" w:hAnsi="Times New Roman"/>
        </w:rPr>
        <w:t>Il-Kummissjoni hija grata għall-Parlament Ewropew li qajjem il-kwistjoni importanti ta’ kif wieħed jiddefendi l-valuri komuni, id-demokrazija, l-istat tad-dritt u d-drittijiet fundamentali fl-UE. Il-Kummissjoni tappoġġja bis-sħiħ l-objettiv sottostanti tar-riżoluzzjoni, li huwa li jiżgura li l-valuri u r-regoli komuni tagħna jiġu rispettati u infurzati. Il-kwistjoni ewlenija hija biex jiġu identifikati l-aħjar mezzi biex jintlaħaq dan l-objettiv.</w:t>
      </w:r>
    </w:p>
    <w:p w:rsidR="00742B27" w:rsidRDefault="00742B27" w:rsidP="00742B27">
      <w:pPr>
        <w:ind w:left="709"/>
        <w:rPr>
          <w:rFonts w:ascii="Times New Roman" w:eastAsia="Calibri" w:hAnsi="Times New Roman"/>
          <w:szCs w:val="24"/>
        </w:rPr>
      </w:pPr>
      <w:r>
        <w:rPr>
          <w:rFonts w:ascii="Times New Roman" w:hAnsi="Times New Roman"/>
        </w:rPr>
        <w:t>Il-Kummissjoni kkunsidrat bir-reqqa r-riżoluzzjoni, u hemm elementi li l-Kummissjoni tappoġġja kompletament. B’mod partikolari, il-Kummissjoni tappoġġa approċċ inklużiv mal-partijiet ikkonċernati kollha, inklużi l-istituzzjonijiet tal-UE, l-Istati Membri u s-soċjetà ċivili.</w:t>
      </w:r>
    </w:p>
    <w:p w:rsidR="00742B27" w:rsidRDefault="00742B27" w:rsidP="00742B27">
      <w:pPr>
        <w:ind w:left="709"/>
        <w:rPr>
          <w:rFonts w:ascii="Times New Roman" w:eastAsia="Calibri" w:hAnsi="Times New Roman"/>
          <w:szCs w:val="24"/>
        </w:rPr>
      </w:pPr>
      <w:r>
        <w:rPr>
          <w:rFonts w:ascii="Times New Roman" w:hAnsi="Times New Roman"/>
        </w:rPr>
        <w:t>Il-Kummissjoni tappoġġa wkoll l-idea tal-Parlament Ewropew għat-twaqqif ta’ djalogu interparlamentari bejn il-Parlament Ewropew u l-parlamenti nazzjonali. Il-parlamenti nazzjonali huma involuti f’ħafna mill-problemi relatati mal-istat tad-dritt, li rajnihom iseħħu f’xi Stati Membri dan l-aħħar. Hemm bżonn li naħdmu lejn fehim komuni dwar l-aħjar mod li bih nistgħu niddefendu l-valuri komuni tagħna, kemm fil-livell nazzjonali kif ukoll fil-livell Ewropew. Id-djalogu interparlamentari li l-Parlament Ewropew qed jipprevedi li jwaqqaf jista’, bħala l-ewwel pass, jiddiskuti l-għażliet differenti u mezzi li attwalment huma għad-diskussjoni biex jiġi żgurat li l-valuri komuni tagħna jiġu rispettati u infurzati. Il-Kummissjoni tkun lesta li tikkontribwixxi għal dan it-tip ta’ djalogu.</w:t>
      </w:r>
    </w:p>
    <w:p w:rsidR="00742B27" w:rsidRDefault="00742B27" w:rsidP="00742B27">
      <w:pPr>
        <w:ind w:left="709"/>
        <w:rPr>
          <w:rFonts w:ascii="Times New Roman" w:eastAsia="Calibri" w:hAnsi="Times New Roman"/>
          <w:szCs w:val="24"/>
        </w:rPr>
      </w:pPr>
      <w:r>
        <w:rPr>
          <w:rFonts w:ascii="Times New Roman" w:hAnsi="Times New Roman"/>
        </w:rPr>
        <w:t>Fir-rigward tas-suġġerimenti fir-riżoluzzjoni għal bidla possibbli tat-Trattati, il-Kummissjoni ma tikkunsidrahomx realistiċi fi żmien qasir jew medju. Dan japplika b’mod partikolari għall-proposta biex jiġi abolit l-Artikolu 51 tal-Karta tad-Drittijiet Fundamentali.</w:t>
      </w:r>
    </w:p>
    <w:p w:rsidR="00742B27" w:rsidRDefault="00742B27" w:rsidP="00742B27">
      <w:pPr>
        <w:ind w:left="709"/>
        <w:rPr>
          <w:rFonts w:ascii="Times New Roman" w:eastAsia="Calibri" w:hAnsi="Times New Roman"/>
          <w:szCs w:val="24"/>
        </w:rPr>
      </w:pPr>
      <w:r>
        <w:rPr>
          <w:rFonts w:ascii="Times New Roman" w:hAnsi="Times New Roman"/>
        </w:rPr>
        <w:t>Il-Kummissjoni tibqa’ impenjata bis-sħiħ għall-adeżjoni tal-Unjoni mal-Konvenzjoni Ewropea dwar id-Drittijiet tal-Bniedem. L-adeżjoni se ssaħħaħ il-valuri komuni tagħna, issostni l-effikaċja tal-liġi tal-UE u tqawwi l-koerenza tal-protezzjoni tad-drittijiet fundamentali fl-Ewropa. Madankollu, l-opinjoni tal-Qorti tal-Ġustizzja tal-Unjoni Ewropea qajmet kwistjonijiet legali serji. Xi wħud minn dawn huma legalment u politikament kumplessi. Għalhekk, il-Kummissjoni, fil-kapaċità tagħha bħala n-negozjatur tal-UE, qed tkompli l-konsultazzjonijiet tagħha ma’ kumitat speċjali maħtur mill-Kunsill.</w:t>
      </w:r>
    </w:p>
    <w:p w:rsidR="00742B27" w:rsidRDefault="00742B27" w:rsidP="00742B27">
      <w:pPr>
        <w:ind w:left="709"/>
        <w:rPr>
          <w:rFonts w:ascii="Times New Roman" w:eastAsia="Calibri" w:hAnsi="Times New Roman"/>
          <w:szCs w:val="24"/>
        </w:rPr>
      </w:pPr>
      <w:r>
        <w:rPr>
          <w:rFonts w:ascii="Times New Roman" w:hAnsi="Times New Roman"/>
        </w:rPr>
        <w:t>F’dan l-istadju, il-Kummissjoni għandha dubji serji dwar il-ħtieġa u l-fattibbiltà ta’ Rapport annwali u ċiklu tal-politika dwar id-demokrazija, l-istat tad-dritt u d-drittijiet fundamentali mħejji minn kumitat ta’ “esperti” u dwar il-ħtieġa, il-fattibilità u l-valur miżjud ta’ ftehim interistituzzjonali dwar din il-kwistjoni. Xi elementi tal-approċċ propost, pereżempju, ir-rwol ċentrali attribwit lil bord ta’ esperti indipendenti fil-patt propost, jqajmu wkoll mistoqsijiet serji ta’ legalità, leġittimità u responsabbiltà istituzzjonali. Barra minn hekk, hemm ukoll tħassib prattiku u politiku li jista’ jagħmilha diffiċli biex tinstab bażi komuni dwar dan bejn l-istituzzjonijiet kollha kkonċernati.</w:t>
      </w:r>
    </w:p>
    <w:p w:rsidR="00742B27" w:rsidRDefault="00742B27" w:rsidP="00742B27">
      <w:pPr>
        <w:ind w:left="709"/>
        <w:rPr>
          <w:rFonts w:ascii="Times New Roman" w:eastAsia="Calibri" w:hAnsi="Times New Roman"/>
          <w:szCs w:val="24"/>
        </w:rPr>
      </w:pPr>
      <w:r>
        <w:rPr>
          <w:rFonts w:ascii="Times New Roman" w:hAnsi="Times New Roman"/>
        </w:rPr>
        <w:lastRenderedPageBreak/>
        <w:t>Il-Kummissjoni tqis li, l-ewwel nett, jenħtieġ li jsir l-aħjar użu possibbli tal-istrumenti eżistenti, waqt li tiġi evitata d-duplikazzjoni. Firxa ta’ għodod u atturi eżistenti diġà jipprovdu sett ta’ dejta komplementari u mezzi effikaċi biex jiġu promossi u appoġġati l-valuri komuni kondiviżi. Il-Kummissjoni se tkompli tivvalorizza u tibni fuq dawn il-mezzi.</w:t>
      </w:r>
    </w:p>
    <w:p w:rsidR="00742B27" w:rsidRDefault="00742B27" w:rsidP="00742B27">
      <w:pPr>
        <w:ind w:left="709"/>
        <w:rPr>
          <w:rFonts w:ascii="Times New Roman" w:eastAsia="Calibri" w:hAnsi="Times New Roman"/>
          <w:szCs w:val="24"/>
        </w:rPr>
      </w:pPr>
      <w:r>
        <w:rPr>
          <w:rFonts w:ascii="Times New Roman" w:hAnsi="Times New Roman"/>
        </w:rPr>
        <w:t>Il-Kummissjoni adottat, fl-2014, qafas tal-istat tad-dritt. Il-Kummissjoni bħalissa qiegħda tapplika dan il-qafas fil-każ tal-Polonja. Dan ma għandu jħalli l-ebda dubju dwar il-fatt li l-Kummissjoni tqis il-protezzjoni tal-istat tad-dritt b’serjetà kbira. F’dan ir-rigward, il-Kummissjoni hija grata għall-appoġġ li wera l-Parlament, fir-riżoluzzjoni tiegħu tal-14 ta’ Settembru, għal dan l-approċċ. Il-Kummissjoni bl-istess mod tapprezza d-dibattiti plenarji organizzati fuq dan is-suġġett mill-Parlament Ewropew.</w:t>
      </w:r>
    </w:p>
    <w:p w:rsidR="00742B27" w:rsidRDefault="00742B27" w:rsidP="00742B27">
      <w:pPr>
        <w:ind w:left="709"/>
        <w:rPr>
          <w:rFonts w:ascii="Times New Roman" w:eastAsia="Calibri" w:hAnsi="Times New Roman"/>
          <w:szCs w:val="24"/>
        </w:rPr>
      </w:pPr>
      <w:r>
        <w:rPr>
          <w:rFonts w:ascii="Times New Roman" w:hAnsi="Times New Roman"/>
        </w:rPr>
        <w:t>Il-Kunsill stabbilixxa wkoll djalogu dwar l-istat tad-dritt fl-2014, li permezz tiegħu jiddibatti kwistjonijiet dwar l-istat tad-dritt. Fil-15 ta’ Novembru, il-Kunsill evalwa d-djalogu u l-parti l-kbira tal-Istati Membri ssottolinjaw l-importanza li tiġi żgurata l-kontinwazzjoni u t-tisħiħ tad-djalogu billi jkun hemm dibattiti aktar frekwenti, li għandhom ikunu aktar orjentati lejn ir-riżultati u jkunu strutturati aħjar. Ġie maqbul ukoll li d-djalogu dwar l-istat tad-dritt jenħtieġ li jiġi rivalutat sa tmiem l-2019, biex titqies il-possibilità d-djalogu jinbidel f’eżerċizzju annwali ta’ rieżami bejn il-pari.</w:t>
      </w:r>
    </w:p>
    <w:p w:rsidR="00742B27" w:rsidRDefault="00742B27" w:rsidP="00742B27">
      <w:pPr>
        <w:ind w:left="709"/>
        <w:rPr>
          <w:rFonts w:ascii="Times New Roman" w:eastAsia="Calibri" w:hAnsi="Times New Roman"/>
          <w:szCs w:val="24"/>
        </w:rPr>
      </w:pPr>
      <w:r>
        <w:rPr>
          <w:rFonts w:ascii="Times New Roman" w:hAnsi="Times New Roman"/>
        </w:rPr>
        <w:t>Il-Kummissjoni tappoġġa l-idea sottostanti tar-riżoluzzjoni biex il-varjetà ta’ dejta u rapporti eżistenti ssir aktar aċċessibbli u viżibbli, anke fil-livell nazzjonali. Hemm ħafna atturi oħrajn, inkluż il-Kunsill tal-Ewropa u l-Kummissjoni ta’ Venezja tiegħu, l-Aġenzija tal-UE għad-Drittijiet Fundamentali u l-NGOs, li jikkontribwixxu għall-monitoraġġ tal-istat tad-dritt, tad-demokrazija u tad-drittijiet fundamentali fl-Istati Membri tagħna.</w:t>
      </w:r>
    </w:p>
    <w:p w:rsidR="00742B27" w:rsidRDefault="00742B27" w:rsidP="00742B27">
      <w:pPr>
        <w:ind w:left="709"/>
        <w:rPr>
          <w:rFonts w:ascii="Times New Roman" w:eastAsia="Calibri" w:hAnsi="Times New Roman"/>
          <w:szCs w:val="24"/>
        </w:rPr>
      </w:pPr>
      <w:r>
        <w:rPr>
          <w:rFonts w:ascii="Times New Roman" w:hAnsi="Times New Roman"/>
        </w:rPr>
        <w:t>L-Aġenzija tal-UE għad-Drittijiet Fundamentali għandha rwol x’taqdi billi tagħmel aċċessibbli faċilment ħarsa ġenerali ċara ta’ informazzjoni u rapporti eżistenti marbutin ma’ Stati Membri jew temi partikolari, kif rifless fid-dokument ta’ programmazzjoni tal-Aġenzija għall-2017-2019.</w:t>
      </w:r>
    </w:p>
    <w:p w:rsidR="00742B27" w:rsidRDefault="00742B27" w:rsidP="00742B27">
      <w:pPr>
        <w:ind w:left="709"/>
        <w:rPr>
          <w:rFonts w:ascii="Times New Roman" w:eastAsia="Calibri" w:hAnsi="Times New Roman"/>
          <w:szCs w:val="24"/>
        </w:rPr>
      </w:pPr>
      <w:r>
        <w:rPr>
          <w:rFonts w:ascii="Times New Roman" w:hAnsi="Times New Roman"/>
        </w:rPr>
        <w:t>Il-Kummissjoni tqis li huwa importanti li tkompli tgħin lill-Istati Membri jtejbu l-effikaċja ta’ sistemi nazzjonali tal-ġustizzja tagħhom permezz tas-Semestru Ewropew u li tappoġġa riformi fil-ġustizzja fl-Istati Membri b’fondi tal-UE u t-Tabella ta’ Valutazzjoni tal-Ġustizzja tal-UE. B’mod aktar ġenerali, l-Istati Membri jenħtieġ li jkunu mħeġġa biex itejbu l-kapaċità tagħhom ta’ infurzar u rimedji.</w:t>
      </w:r>
    </w:p>
    <w:p w:rsidR="00742B27" w:rsidRDefault="00742B27" w:rsidP="00742B27">
      <w:pPr>
        <w:ind w:left="709"/>
        <w:rPr>
          <w:rFonts w:ascii="Times New Roman" w:eastAsia="Calibri" w:hAnsi="Times New Roman"/>
          <w:szCs w:val="24"/>
        </w:rPr>
      </w:pPr>
      <w:r>
        <w:rPr>
          <w:rFonts w:ascii="Times New Roman" w:hAnsi="Times New Roman"/>
        </w:rPr>
        <w:t>Sabiex id-drittijiet li jinsabu fil-Karta jkunu effikaċi fil-post, il-Kummissjoni tappoġġa l-iżvilupp ta’ għodod li jtejbu s-sensibilizzazzjoni ta’ mħallfin, prosekuturi, professjonisti legali, kif ukoll korpi nazzjonali tad-drittijiet tal-bniedem fl-Istati Membri.</w:t>
      </w:r>
    </w:p>
    <w:p w:rsidR="00742B27" w:rsidRDefault="00742B27" w:rsidP="00742B27">
      <w:pPr>
        <w:ind w:left="709"/>
        <w:rPr>
          <w:rFonts w:ascii="Times New Roman" w:eastAsia="Calibri" w:hAnsi="Times New Roman"/>
          <w:szCs w:val="24"/>
        </w:rPr>
      </w:pPr>
      <w:r>
        <w:rPr>
          <w:rFonts w:ascii="Times New Roman" w:hAnsi="Times New Roman"/>
        </w:rPr>
        <w:t>Il-Kummissjoni tagħti wkoll importanza partikolari liż-żieda tal-fehim tal-individwi dwar kif jistgħu jużaw id-drittijiet fundamentali tagħhom u dwar fejn għandhom jirrikorru biex jinfurzawhom.</w:t>
      </w:r>
    </w:p>
    <w:p w:rsidR="00742B27" w:rsidRDefault="00742B27" w:rsidP="00742B27">
      <w:pPr>
        <w:ind w:left="709"/>
        <w:rPr>
          <w:rFonts w:ascii="Times New Roman" w:eastAsia="Calibri" w:hAnsi="Times New Roman"/>
          <w:szCs w:val="24"/>
        </w:rPr>
      </w:pPr>
      <w:r>
        <w:rPr>
          <w:rFonts w:ascii="Times New Roman" w:hAnsi="Times New Roman"/>
        </w:rPr>
        <w:t>Bl-għan li d-drittijiet fundamentali jitpoġġew fil-prattika, il-Kummissjoni se tagħmel l-aħjar użu possibbli minn programmi eżistenti biex tissaħħaħ il-parteċipazzjoni tal-organizzazzjonijiet tas-soċjetà ċivili u korpi tad-drittijiet tal-</w:t>
      </w:r>
      <w:r>
        <w:rPr>
          <w:rFonts w:ascii="Times New Roman" w:hAnsi="Times New Roman"/>
        </w:rPr>
        <w:lastRenderedPageBreak/>
        <w:t>bniedem li jaħdmu fuq is-sensibilizzazzjoni dwar il-Karta u l-applikazzjoni tagħha fil-livell nazzjonali. Madankollu, il-Kummissjoni tinnota li, minbarra fi proċeduri ċivili u kriminali, ma hemm l-ebda bażi ġuridika għall-adozzjoni tar-regoli tal-UE dwar l-għajnuna legali fi proċeduri quddiem il-qrati tal-Istati Membri. Fir-rigward tal-proċeduri quddiem il-qrati tal-UE, skemi dwar għajnuna legali huma diġà fis-seħħ, fir-regoli ta’ proċedura tal-Qorti tal-Ġustizzja u tal-Qorti Ġenerali.</w:t>
      </w:r>
    </w:p>
    <w:p w:rsidR="00742B27" w:rsidRDefault="00742B27" w:rsidP="00742B27">
      <w:pPr>
        <w:ind w:left="709"/>
        <w:rPr>
          <w:rFonts w:ascii="Times New Roman" w:eastAsia="Calibri" w:hAnsi="Times New Roman"/>
          <w:szCs w:val="24"/>
        </w:rPr>
      </w:pPr>
      <w:r>
        <w:rPr>
          <w:rFonts w:ascii="Times New Roman" w:hAnsi="Times New Roman"/>
        </w:rPr>
        <w:t>Il-Kummissjoni tqis ukoll li huwa importanti li tippromwovi u tassigura l-parteċipazzjoni demokratika u l-għarfien dwar id-dritt tal-vot. Il-Kummissjoni għalhekk ser tappoġġa l-ħidma, flimkien mal-partijiet ikkonċernati, inkluża s-soċjetà ċivili, biex tkompli tagħti s-setgħa liċ-ċittadini tal-Unjoni biex jieħdu sjieda sħiħa tad-drittijiet tagħhom bħala ċittadini tal-UE. Dawn id-drittijiet, inkluż id-dritt li wieħed jivvota u li joħroġ bħala kandidat fl-elezzjonijiet tal-UE u dawk lokali f’xi Stat Membru ieħor tal-UE taħt l-istess kundizzjonijiet bħaċ-ċittadini ta’ dak l-Istat, jirfdu d-demokrazija fil-livell tal-Unjoni, u huma espressjoni tal-valuri demokratiċi komuni tagħna.</w:t>
      </w:r>
    </w:p>
    <w:p w:rsidR="00742B27" w:rsidRDefault="00742B27" w:rsidP="00742B27">
      <w:pPr>
        <w:ind w:left="709"/>
        <w:rPr>
          <w:rFonts w:ascii="Times New Roman" w:eastAsia="Calibri" w:hAnsi="Times New Roman"/>
          <w:szCs w:val="24"/>
          <w:highlight w:val="yellow"/>
        </w:rPr>
      </w:pPr>
      <w:r>
        <w:rPr>
          <w:rFonts w:ascii="Times New Roman" w:hAnsi="Times New Roman"/>
        </w:rPr>
        <w:t>Il-Kummissjoni qiegħda kontinwament tevalwa kif strumenti eżistenti jistgħu jintużaw bl-aħjar mod biex jippromwovu u jiddefendu l-istat tad-dritt, id-demokrazija u d-drittijiet fundamentali, u tinsab lesta li tissokta d-djalogu mal-Parlament Ewropew f’dan ir-rigward.</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B735C">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Il-Kummissjoni Ewropea, B-1049 Bruxelles — Belgique. Telefon: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35C"/>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mt-MT" w:eastAsia="mt-MT" w:bidi="mt-MT"/>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mt-MT"/>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mt-MT" w:eastAsia="mt-MT" w:bidi="mt-MT"/>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mt-MT" w:eastAsia="mt-MT" w:bidi="mt-MT"/>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mt-MT" w:eastAsia="mt-MT" w:bidi="mt-MT"/>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mt-MT" w:eastAsia="mt-MT" w:bidi="mt-MT"/>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mt-MT" w:eastAsia="mt-MT" w:bidi="mt-MT"/>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mt-MT" w:eastAsia="mt-MT" w:bidi="mt-MT"/>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mt-MT" w:eastAsia="mt-MT" w:bidi="mt-MT"/>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mt-MT" w:eastAsia="mt-MT" w:bidi="mt-MT"/>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mt-MT"/>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mt-MT" w:eastAsia="mt-MT" w:bidi="mt-MT"/>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mt-MT" w:eastAsia="mt-MT" w:bidi="mt-MT"/>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mt-MT" w:eastAsia="mt-MT" w:bidi="mt-MT"/>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mt-MT" w:eastAsia="mt-MT" w:bidi="mt-MT"/>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mt-MT" w:eastAsia="mt-MT" w:bidi="mt-MT"/>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mt-MT" w:eastAsia="mt-MT" w:bidi="mt-MT"/>
    </w:rPr>
  </w:style>
  <w:style w:type="character" w:customStyle="1" w:styleId="Normal12HangingZnak">
    <w:name w:val="Normal12Hanging Znak"/>
    <w:rsid w:val="006474F2"/>
    <w:rPr>
      <w:sz w:val="24"/>
      <w:lang w:val="mt-MT" w:eastAsia="mt-MT" w:bidi="mt-MT"/>
    </w:rPr>
  </w:style>
  <w:style w:type="character" w:customStyle="1" w:styleId="Text2Char1">
    <w:name w:val="Text 2 Char1"/>
    <w:link w:val="Text2"/>
    <w:rsid w:val="006474F2"/>
    <w:rPr>
      <w:rFonts w:ascii="Courier New" w:hAnsi="Courier New"/>
      <w:sz w:val="24"/>
      <w:lang w:val="mt-MT" w:eastAsia="mt-MT" w:bidi="mt-MT"/>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mt-MT" w:eastAsia="mt-MT" w:bidi="mt-MT"/>
    </w:rPr>
  </w:style>
  <w:style w:type="character" w:customStyle="1" w:styleId="ListBulletCharCharChar">
    <w:name w:val="List Bullet Char Char Char"/>
    <w:rsid w:val="00536069"/>
    <w:rPr>
      <w:sz w:val="24"/>
      <w:lang w:val="mt-MT" w:eastAsia="mt-MT" w:bidi="mt-MT"/>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mt-MT" w:eastAsia="mt-MT" w:bidi="mt-MT"/>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mt-MT" w:eastAsia="mt-MT" w:bidi="mt-MT"/>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mt-MT" w:eastAsia="mt-MT" w:bidi="mt-M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mt-MT" w:eastAsia="mt-MT" w:bidi="mt-MT"/>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mt-MT" w:eastAsia="mt-MT" w:bidi="mt-MT"/>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mt-MT" w:eastAsia="mt-MT" w:bidi="mt-MT"/>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mt-MT" w:eastAsia="mt-MT" w:bidi="mt-MT"/>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mt-MT" w:eastAsia="mt-MT" w:bidi="mt-MT"/>
    </w:rPr>
  </w:style>
  <w:style w:type="character" w:customStyle="1" w:styleId="InitialChar">
    <w:name w:val="Initial Char"/>
    <w:link w:val="Initial"/>
    <w:rsid w:val="00FD22F7"/>
    <w:rPr>
      <w:spacing w:val="-3"/>
      <w:sz w:val="24"/>
      <w:lang w:val="mt-MT" w:eastAsia="mt-MT" w:bidi="mt-MT"/>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mt-MT" w:eastAsia="mt-MT" w:bidi="mt-MT"/>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mt-MT" w:eastAsia="mt-MT" w:bidi="mt-MT"/>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mt-MT" w:eastAsia="mt-MT" w:bidi="mt-MT"/>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mt-M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mt-MT"/>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93AA5-B8ED-4D3F-9FE8-C8CA8733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4</Pages>
  <Words>1623</Words>
  <Characters>9254</Characters>
  <Application>Microsoft Office Word</Application>
  <DocSecurity>4</DocSecurity>
  <PresentationFormat>Microsoft Word 8.0b</PresentationFormat>
  <Lines>77</Lines>
  <Paragraphs>21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2017-02-14T09:09:00Z</dcterms:created>
  <dcterms:modified xsi:type="dcterms:W3CDTF">2017-02-14T09:09:00Z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