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346D87">
      <w:pPr>
        <w:spacing w:after="600"/>
        <w:jc w:val="center"/>
        <w:rPr>
          <w:rFonts w:ascii="Times New Roman" w:eastAsia="Calibri" w:hAnsi="Times New Roman"/>
          <w:b/>
          <w:szCs w:val="24"/>
        </w:rPr>
      </w:pPr>
      <w:r>
        <w:rPr>
          <w:rFonts w:ascii="Times New Roman" w:hAnsi="Times New Roman"/>
          <w:b/>
        </w:rPr>
        <w:t>Follow-up van de resolutie van het Europees Parlement met aanbevelingen aan de Commissie betreffende de instelling van een EU-mechanisme voor democratie, de rechtsstaat en grondrechten, goedgekeurd door de Commissie op 17 januari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 xml:space="preserve">Resolutie ingediend </w:t>
      </w:r>
      <w:proofErr w:type="gramStart"/>
      <w:r>
        <w:rPr>
          <w:rFonts w:ascii="Times New Roman" w:hAnsi="Times New Roman"/>
          <w:b/>
        </w:rPr>
        <w:t>overeenkomstig</w:t>
      </w:r>
      <w:proofErr w:type="gramEnd"/>
      <w:r>
        <w:rPr>
          <w:rFonts w:ascii="Times New Roman" w:hAnsi="Times New Roman"/>
          <w:b/>
        </w:rPr>
        <w:t xml:space="preserve"> de artikelen 46 en 52 van het reglement van het Europees Parlement door de Commissie burgerlijke vrijheden, justitie en binnenlandse zaken (LIBE) in navolging van de conclusie van de Commissie constitutionele zaken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EP-referentienummer:</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 van aanneming van de resolutie</w:t>
      </w:r>
      <w:r>
        <w:rPr>
          <w:rFonts w:ascii="Times New Roman" w:hAnsi="Times New Roman"/>
        </w:rPr>
        <w:t>: 25 oktober 2016</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Betreft:</w:t>
      </w:r>
      <w:r>
        <w:rPr>
          <w:rFonts w:ascii="Times New Roman" w:hAnsi="Times New Roman"/>
        </w:rPr>
        <w:t xml:space="preserve"> EU-mechanisme voor democratie, de rechtsstaat en grondrechten</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Korte analyse/beoordeling en van de resolutie en de verzoeken daarin:</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In de resolutie wordt de Commissie verzocht – ui</w:t>
      </w:r>
      <w:r w:rsidR="00C82B97">
        <w:rPr>
          <w:rFonts w:ascii="Times New Roman" w:hAnsi="Times New Roman"/>
        </w:rPr>
        <w:t xml:space="preserve">terlijk tegen september 2017 – een voorstel </w:t>
      </w:r>
      <w:bookmarkStart w:id="0" w:name="_GoBack"/>
      <w:bookmarkEnd w:id="0"/>
      <w:r>
        <w:rPr>
          <w:rFonts w:ascii="Times New Roman" w:hAnsi="Times New Roman"/>
        </w:rPr>
        <w:t xml:space="preserve">in te dienen voor de sluiting van een EU-pact voor democratie, de rechtsstaat en grondrechten (DRG) in de vorm van een </w:t>
      </w:r>
      <w:proofErr w:type="spellStart"/>
      <w:r>
        <w:rPr>
          <w:rFonts w:ascii="Times New Roman" w:hAnsi="Times New Roman"/>
        </w:rPr>
        <w:t>interinstitutioneel</w:t>
      </w:r>
      <w:proofErr w:type="spellEnd"/>
      <w:r>
        <w:rPr>
          <w:rFonts w:ascii="Times New Roman" w:hAnsi="Times New Roman"/>
        </w:rPr>
        <w:t xml:space="preserve"> akkoord op basis van artikel 295 VWEU, en daarbij de gedetailleerde aanbevelingen in de bijlage te volgen. De resolutie bevat ook onder meer suggesties voor een mogelijke verdragswijziging (bv. herziening van artikel 7 VEU, afschaffing van artikel 51 van het Handvest van de grondrechten) en een oproep tot toetreding van de Unie tot het Europees Verdrag tot bescherming van de rechten van de mens.</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 xml:space="preserve">De bijlage bij de resolutie bevat een ontwerp voor een </w:t>
      </w:r>
      <w:proofErr w:type="spellStart"/>
      <w:r>
        <w:rPr>
          <w:rFonts w:ascii="Times New Roman" w:hAnsi="Times New Roman"/>
        </w:rPr>
        <w:t>interinstitutioneel</w:t>
      </w:r>
      <w:proofErr w:type="spellEnd"/>
      <w:r>
        <w:rPr>
          <w:rFonts w:ascii="Times New Roman" w:hAnsi="Times New Roman"/>
        </w:rPr>
        <w:t xml:space="preserve"> akkoord met details over het EU-Pact voor DRG:</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Het pact bestaat uit een Europees DRG-verslag met </w:t>
      </w:r>
      <w:proofErr w:type="spellStart"/>
      <w:r>
        <w:rPr>
          <w:rFonts w:ascii="Times New Roman" w:hAnsi="Times New Roman"/>
        </w:rPr>
        <w:t>landenspecifieke</w:t>
      </w:r>
      <w:proofErr w:type="spellEnd"/>
      <w:r>
        <w:rPr>
          <w:rFonts w:ascii="Times New Roman" w:hAnsi="Times New Roman"/>
        </w:rPr>
        <w:t xml:space="preserve"> aanbevelingen (</w:t>
      </w:r>
      <w:proofErr w:type="spellStart"/>
      <w:r>
        <w:rPr>
          <w:rFonts w:ascii="Times New Roman" w:hAnsi="Times New Roman"/>
        </w:rPr>
        <w:t>LSA’s</w:t>
      </w:r>
      <w:proofErr w:type="spellEnd"/>
      <w:r>
        <w:rPr>
          <w:rFonts w:ascii="Times New Roman" w:hAnsi="Times New Roman"/>
        </w:rPr>
        <w:t>).</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Het bevat een jaarlijkse interparlementaire dialoog op basis van het DRG-verslag en een DRG-beleidscyclus binnen de instellingen van de Unie.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Het jaarlijkse DRG-verslag, met inbegrip van de </w:t>
      </w:r>
      <w:proofErr w:type="spellStart"/>
      <w:r>
        <w:rPr>
          <w:rFonts w:ascii="Times New Roman" w:hAnsi="Times New Roman"/>
        </w:rPr>
        <w:t>LSA’s</w:t>
      </w:r>
      <w:proofErr w:type="spellEnd"/>
      <w:r>
        <w:rPr>
          <w:rFonts w:ascii="Times New Roman" w:hAnsi="Times New Roman"/>
        </w:rPr>
        <w:t>, wordt opgesteld door de Commissie op basis van een ontwerpverslag dat wordt voorbereid door een onafhankelijk deskundigenpanel.</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Het deskundigenpanel telt 38 leden; één door het nationaal parlement aangewezen onafhankelijke deskundige per lidstaat (een gekwalificeerde rechter van het grondwettelijk hof of de hoogste rechtbank die niet in actieve dienst is) en tien deskundigen die door het Europees Parlement zijn gekozen uit een lijst met deskundigen die zijn voorgedragen door een vooraf opgestelde lijst van organisaties. De Commissie verzorgt het secretariaat van het deskundigenpanel.</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Als uit de ontwerp-</w:t>
      </w:r>
      <w:proofErr w:type="spellStart"/>
      <w:r>
        <w:rPr>
          <w:rFonts w:ascii="Times New Roman" w:hAnsi="Times New Roman"/>
        </w:rPr>
        <w:t>LSA’s</w:t>
      </w:r>
      <w:proofErr w:type="spellEnd"/>
      <w:r>
        <w:rPr>
          <w:rFonts w:ascii="Times New Roman" w:hAnsi="Times New Roman"/>
        </w:rPr>
        <w:t>, voorbereid door een deskundigenpanel, blijkt dat er voldoende gronden aanwezig worden geacht voor het inroepen van artikel 7, lid 1 of artikel 7, lid 2, VEU, wordt deze aangelegenheid onverwijld besproken door het Europees Parlement, de Raad en de Commissie, die een met redenen omkleed besluit moet nemen, dat openbaar wordt gemaakt.</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Het deskundigenpanel moet ook de naleving van de DRG beoordelen met de Commissie, het Europees Parlement en de Raad.</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Antwoord op verzoeken en overzicht van de maatregelen die zijn of zullen worden genomen door de Commissie:</w:t>
      </w:r>
    </w:p>
    <w:p w:rsidR="00742B27" w:rsidRDefault="00742B27" w:rsidP="00742B27">
      <w:pPr>
        <w:ind w:left="709"/>
        <w:rPr>
          <w:rFonts w:ascii="Times New Roman" w:eastAsia="Calibri" w:hAnsi="Times New Roman"/>
          <w:szCs w:val="24"/>
        </w:rPr>
      </w:pPr>
      <w:r>
        <w:rPr>
          <w:rFonts w:ascii="Times New Roman" w:hAnsi="Times New Roman"/>
        </w:rPr>
        <w:t>De Commissie is het Europees Parlement dankbaar voor het aanbrengen van een belangrijk thema, namelijk het handhaven van de gemeenschappelijke waarden democratie, de rechtsstaat en de grondrechten in de EU. De Commissie staat volledig achter de doelstelling van de resolutie, namelijk ervoor zorgen dat onze gemeenschappelijke waarden en regels worden nageleefd en gehandhaafd. Het kernpunt is na te gaan welke de beste manier is om dit doel te bereiken.</w:t>
      </w:r>
    </w:p>
    <w:p w:rsidR="00742B27" w:rsidRDefault="00742B27" w:rsidP="00742B27">
      <w:pPr>
        <w:ind w:left="709"/>
        <w:rPr>
          <w:rFonts w:ascii="Times New Roman" w:eastAsia="Calibri" w:hAnsi="Times New Roman"/>
          <w:szCs w:val="24"/>
        </w:rPr>
      </w:pPr>
      <w:r>
        <w:rPr>
          <w:rFonts w:ascii="Times New Roman" w:hAnsi="Times New Roman"/>
        </w:rPr>
        <w:t>De Commissie heeft de resolutie met grote zorgvuldigheid behandeld, en er zijn elementen die de Commissie volledig steunt. De Commissie is in het bijzonder voorstander van een inclusieve aanpak met alle betrokken partijen, waaronder de EU-instellingen, de lidstaten en het maatschappelijk middenveld.</w:t>
      </w:r>
    </w:p>
    <w:p w:rsidR="00742B27" w:rsidRDefault="00742B27" w:rsidP="00742B27">
      <w:pPr>
        <w:ind w:left="709"/>
        <w:rPr>
          <w:rFonts w:ascii="Times New Roman" w:eastAsia="Calibri" w:hAnsi="Times New Roman"/>
          <w:szCs w:val="24"/>
        </w:rPr>
      </w:pPr>
      <w:r>
        <w:rPr>
          <w:rFonts w:ascii="Times New Roman" w:hAnsi="Times New Roman"/>
        </w:rPr>
        <w:t>De Commissie steunt ook het idee van het Europees Parlement om een interparlementaire dialoog tot stand te brengen tussen het Europees Parlement en de nationale parlementen. De nationale parlementen zijn betrokken bij veel van de problemen met betrekking tot de rechtsstaat die we onlangs nog zagen in sommige lidstaten. We moeten werken aan een gemeenschappelijke visie over wat de beste manier is om onze gemeenschappelijke waarden te handhaven, zowel op nationaal als op Europees niveau. De interparlementaire dialoog die het Europees Parlement tot stand wil brengen, zou, als eerste stap, de verschillende opties en middelen kunnen bespreken die momenteel op tafel liggen om ervoor te zorgen dat onze gemeenschappelijke waarden worden nageleefd en gehandhaafd. De Commissie is bereid bij te dragen aan een dergelijke dialoog.</w:t>
      </w:r>
    </w:p>
    <w:p w:rsidR="00742B27" w:rsidRDefault="00742B27" w:rsidP="00742B27">
      <w:pPr>
        <w:ind w:left="709"/>
        <w:rPr>
          <w:rFonts w:ascii="Times New Roman" w:eastAsia="Calibri" w:hAnsi="Times New Roman"/>
          <w:szCs w:val="24"/>
        </w:rPr>
      </w:pPr>
      <w:r>
        <w:rPr>
          <w:rFonts w:ascii="Times New Roman" w:hAnsi="Times New Roman"/>
        </w:rPr>
        <w:t>Inzake de voorstellen in de resolutie voor een eventuele wijziging van de Verdragen is de Commissie van mening dat zij niet realistisch zijn op korte of middellange termijn. Dit geldt met name voor het voorstel tot afschaffing van artikel 51 van het Handvest van de grondrechten.</w:t>
      </w:r>
    </w:p>
    <w:p w:rsidR="00742B27" w:rsidRDefault="00742B27" w:rsidP="00742B27">
      <w:pPr>
        <w:ind w:left="709"/>
        <w:rPr>
          <w:rFonts w:ascii="Times New Roman" w:eastAsia="Calibri" w:hAnsi="Times New Roman"/>
          <w:szCs w:val="24"/>
        </w:rPr>
      </w:pPr>
      <w:r>
        <w:rPr>
          <w:rFonts w:ascii="Times New Roman" w:hAnsi="Times New Roman"/>
        </w:rPr>
        <w:t xml:space="preserve">De Commissie blijft zich volledig inzetten voor de toetreding van de Unie tot het Europees Verdrag tot bescherming van de rechten van de mens. De toetreding versterkt onze fundamentele waarden, steunt de doeltreffendheid van het EU-recht en verstevigt de samenhang van de bescherming van de grondrechten in Europa. Het advies van het Hof van Justitie van de Europese Unie heeft evenwel gewezen op ernstige juridische problemen. Sommige problemen zijn juridisch en politiek complex. De Commissie, in haar hoedanigheid van onderhandelaar van de EU, zet daarom het overleg voort met het door de Raad aangewezen bijzonder comité. </w:t>
      </w:r>
    </w:p>
    <w:p w:rsidR="00742B27" w:rsidRDefault="00742B27" w:rsidP="00742B27">
      <w:pPr>
        <w:ind w:left="709"/>
        <w:rPr>
          <w:rFonts w:ascii="Times New Roman" w:eastAsia="Calibri" w:hAnsi="Times New Roman"/>
          <w:szCs w:val="24"/>
        </w:rPr>
      </w:pPr>
      <w:r>
        <w:rPr>
          <w:rFonts w:ascii="Times New Roman" w:hAnsi="Times New Roman"/>
        </w:rPr>
        <w:t xml:space="preserve">In dit stadium betwijfelt de Commissie ten zeerste de noodzaak en de haalbaarheid van een jaarverslag en een beleidscyclus over democratie, de rechtsstaat en de grondrechten, voorbereid door een comité van “deskundigen” en de noodzaak, de haalbaarheid en de toegevoegde waarde van een </w:t>
      </w:r>
      <w:proofErr w:type="spellStart"/>
      <w:r>
        <w:rPr>
          <w:rFonts w:ascii="Times New Roman" w:hAnsi="Times New Roman"/>
        </w:rPr>
        <w:t>interinstitutioneel</w:t>
      </w:r>
      <w:proofErr w:type="spellEnd"/>
      <w:r>
        <w:rPr>
          <w:rFonts w:ascii="Times New Roman" w:hAnsi="Times New Roman"/>
        </w:rPr>
        <w:t xml:space="preserve"> akkoord over deze kwestie. Sommige onderdelen van de voorgestelde aanpak, bijvoorbeeld de centrale rol die in het voorgestelde pact wordt toegekend aan een onafhankelijk deskundigenpanel, doen ook ernstige vragen rijzen over wettigheid, institutionele legitimiteit en verantwoordingsplicht. Bovendien zijn er ook praktische en politieke problemen die het moeilijk kunnen </w:t>
      </w:r>
      <w:r>
        <w:rPr>
          <w:rFonts w:ascii="Times New Roman" w:hAnsi="Times New Roman"/>
        </w:rPr>
        <w:lastRenderedPageBreak/>
        <w:t>maken om hierover overeenstemming te bereiken tussen alle betrokken instellingen.</w:t>
      </w:r>
    </w:p>
    <w:p w:rsidR="00742B27" w:rsidRDefault="00742B27" w:rsidP="00742B27">
      <w:pPr>
        <w:ind w:left="709"/>
        <w:rPr>
          <w:rFonts w:ascii="Times New Roman" w:eastAsia="Calibri" w:hAnsi="Times New Roman"/>
          <w:szCs w:val="24"/>
        </w:rPr>
      </w:pPr>
      <w:r>
        <w:rPr>
          <w:rFonts w:ascii="Times New Roman" w:hAnsi="Times New Roman"/>
        </w:rPr>
        <w:t>De Commissie is van mening dat er eerst en vooral zo goed mogelijk gebruik moet worden gemaakt van de bestaande instrumenten en tegelijkertijd overlappingen moeten worden vermeden. Een aantal bestaande instrumenten en actoren voorziet reeds in een reeks aanvullende en doeltreffende maatregelen om de gemeenschappelijke waarden te bevorderen en te handhaven. De Commissie blijft deze middelen waarderen en zal hierop verder bouwen.</w:t>
      </w:r>
    </w:p>
    <w:p w:rsidR="00742B27" w:rsidRDefault="00742B27" w:rsidP="00742B27">
      <w:pPr>
        <w:ind w:left="709"/>
        <w:rPr>
          <w:rFonts w:ascii="Times New Roman" w:eastAsia="Calibri" w:hAnsi="Times New Roman"/>
          <w:szCs w:val="24"/>
        </w:rPr>
      </w:pPr>
      <w:r>
        <w:rPr>
          <w:rFonts w:ascii="Times New Roman" w:hAnsi="Times New Roman"/>
        </w:rPr>
        <w:t>De Commissie heeft in 2014 een EU-kader voor de rechtsstaat goedgekeurd. De Commissie past dit kader momenteel toe in Polen. Dit laat geen twijfel over het feit dat de Commissie de bescherming van de rechtsstaat zeer ernstig neemt. In dit opzicht is de Commissie dankbaar voor de steun die het Parlement betuigd heeft aan deze aanpak in zijn resolutie van 14 september. De Commissie waardeert ook de plenaire debatten over dit onderwerp die zijn georganiseerd door het Europees Parlement.</w:t>
      </w:r>
    </w:p>
    <w:p w:rsidR="00742B27" w:rsidRDefault="00742B27" w:rsidP="00742B27">
      <w:pPr>
        <w:ind w:left="709"/>
        <w:rPr>
          <w:rFonts w:ascii="Times New Roman" w:eastAsia="Calibri" w:hAnsi="Times New Roman"/>
          <w:szCs w:val="24"/>
        </w:rPr>
      </w:pPr>
      <w:r>
        <w:rPr>
          <w:rFonts w:ascii="Times New Roman" w:hAnsi="Times New Roman"/>
        </w:rPr>
        <w:t>De Raad heeft ook in 2014 een dialoog over de rechtsstaat tot stand gebracht waarin zij debatten voert over rechtsstatelijke problemen. Op 15 november heeft de Raad de dialoog geëvalueerd en de meeste lidstaten onderstreepten het belang van het waarborgen van de voortzetting en de versterking van de dialoog door vaker debatten te voeren, maar dan wel resultaatgerichter en beter gestructureerd. Ook was men het erover eens dat de dialoog over de rechtsstaat opnieuw moet worden geëvalueerd aan het eind van 2019, om na te gaan of de dialoog kan worden omgezet in een jaarlijkse peerreview.</w:t>
      </w:r>
    </w:p>
    <w:p w:rsidR="00742B27" w:rsidRDefault="00742B27" w:rsidP="00742B27">
      <w:pPr>
        <w:ind w:left="709"/>
        <w:rPr>
          <w:rFonts w:ascii="Times New Roman" w:eastAsia="Calibri" w:hAnsi="Times New Roman"/>
          <w:szCs w:val="24"/>
        </w:rPr>
      </w:pPr>
      <w:r>
        <w:rPr>
          <w:rFonts w:ascii="Times New Roman" w:hAnsi="Times New Roman"/>
        </w:rPr>
        <w:t>De Commissie steunt de onderliggende gedachte van de resolutie om de verschillende bestaande gegevens en verslagen toegankelijker en beter zichtbaar te maken, ook op nationaal niveau.. Er zijn tal van andere actoren, waaronder de Raad van Europa en zijn Commissie van Venetië, het bureau van de EU voor de grondrechten en ngo’s, die een bijdrage leveren aan de monitoring van de rechtsstaat, de democratie en de grondrechten in onze lidstaten.</w:t>
      </w:r>
    </w:p>
    <w:p w:rsidR="00742B27" w:rsidRDefault="00742B27" w:rsidP="00742B27">
      <w:pPr>
        <w:ind w:left="709"/>
        <w:rPr>
          <w:rFonts w:ascii="Times New Roman" w:eastAsia="Calibri" w:hAnsi="Times New Roman"/>
          <w:szCs w:val="24"/>
        </w:rPr>
      </w:pPr>
      <w:r>
        <w:rPr>
          <w:rFonts w:ascii="Times New Roman" w:hAnsi="Times New Roman"/>
        </w:rPr>
        <w:t>Het EU-Bureau voor de grondrechten speelt een rol door een duidelijk overzicht van beschikbare informatie en verslagen betreffende de lidstaten of specifieke thema’s makkelijk toegankelijk te maken, zoals weergegeven in zijn programmeringsdocument voor de periode 2017-2019.</w:t>
      </w:r>
    </w:p>
    <w:p w:rsidR="00742B27" w:rsidRDefault="00742B27" w:rsidP="00742B27">
      <w:pPr>
        <w:ind w:left="709"/>
        <w:rPr>
          <w:rFonts w:ascii="Times New Roman" w:eastAsia="Calibri" w:hAnsi="Times New Roman"/>
          <w:szCs w:val="24"/>
        </w:rPr>
      </w:pPr>
      <w:r>
        <w:rPr>
          <w:rFonts w:ascii="Times New Roman" w:hAnsi="Times New Roman"/>
        </w:rPr>
        <w:t>De Commissie acht het van cruciaal belang de lidstaten te blijven helpen bij het verbeteren van de doeltreffendheid van hun nationale rechtsstelsels via het Europees Semester, en gerechtelijke hervormingen in de lidstaten te blijven steunen met EU-middelen en het EU-scorebord voor justitie. Meer in het algemeen moeten de lidstaten worden aangemoedigd om hun capaciteit wat betreft handhaving en rechtsmiddelen te verbeteren.</w:t>
      </w:r>
    </w:p>
    <w:p w:rsidR="00742B27" w:rsidRDefault="00742B27" w:rsidP="00742B27">
      <w:pPr>
        <w:ind w:left="709"/>
        <w:rPr>
          <w:rFonts w:ascii="Times New Roman" w:eastAsia="Calibri" w:hAnsi="Times New Roman"/>
          <w:szCs w:val="24"/>
        </w:rPr>
      </w:pPr>
      <w:r>
        <w:rPr>
          <w:rFonts w:ascii="Times New Roman" w:hAnsi="Times New Roman"/>
        </w:rPr>
        <w:t>Om de in het Handvest vervatte rechten in de praktijk doeltreffend te laten zijn, steunt de Commissie de ontwikkeling van instrumenten ter verbetering van de bewustmaking van rechters, aanklagers, rechtsbeoefenaars en nationale mensenrechteninstanties in de lidstaten.</w:t>
      </w:r>
    </w:p>
    <w:p w:rsidR="00742B27" w:rsidRDefault="00742B27" w:rsidP="00742B27">
      <w:pPr>
        <w:ind w:left="709"/>
        <w:rPr>
          <w:rFonts w:ascii="Times New Roman" w:eastAsia="Calibri" w:hAnsi="Times New Roman"/>
          <w:szCs w:val="24"/>
        </w:rPr>
      </w:pPr>
      <w:r>
        <w:rPr>
          <w:rFonts w:ascii="Times New Roman" w:hAnsi="Times New Roman"/>
        </w:rPr>
        <w:t>De Commissie vindt het ook heel belangrijk dat burgers leren hoe ze gebruik kunnen maken van hun grondrechten en waartoe ze zich moeten richten om deze af te dwingen.</w:t>
      </w:r>
    </w:p>
    <w:p w:rsidR="00742B27" w:rsidRDefault="00742B27" w:rsidP="00742B27">
      <w:pPr>
        <w:ind w:left="709"/>
        <w:rPr>
          <w:rFonts w:ascii="Times New Roman" w:eastAsia="Calibri" w:hAnsi="Times New Roman"/>
          <w:szCs w:val="24"/>
        </w:rPr>
      </w:pPr>
      <w:r>
        <w:rPr>
          <w:rFonts w:ascii="Times New Roman" w:hAnsi="Times New Roman"/>
        </w:rPr>
        <w:lastRenderedPageBreak/>
        <w:t>Met het oog op het in de praktijk brengen van de grondrechten zal de Commissie zoveel mogelijk gebruik maken van bestaande programma’s om organisaties van het maatschappelijk middenveld en mensenrechtenorganisaties te versterken die werken aan bewustmaking over het Handvest en de toepassing op nationaal niveau garanderen. De Commissie merkt evenwel op dat, met uitzondering van civiele en strafrechtelijke procedures, er geen rechtsgrondslag is voor de vaststelling van EU-voorschriften inzake rechtsbijstand in procedures voor de rechtbanken van de lidstaten. Wat de procedures voor de rechtbanken van de EU betreft, zijn de regelingen inzake rechtsbijstand reeds beschikbaar in het reglement voor de procesvoering van het Hof van Justitie en het Gerecht van de EU.</w:t>
      </w:r>
    </w:p>
    <w:p w:rsidR="00742B27" w:rsidRDefault="00742B27" w:rsidP="00742B27">
      <w:pPr>
        <w:ind w:left="709"/>
        <w:rPr>
          <w:rFonts w:ascii="Times New Roman" w:eastAsia="Calibri" w:hAnsi="Times New Roman"/>
          <w:szCs w:val="24"/>
        </w:rPr>
      </w:pPr>
      <w:r>
        <w:rPr>
          <w:rFonts w:ascii="Times New Roman" w:hAnsi="Times New Roman"/>
        </w:rPr>
        <w:t>De Commissie is ook van mening dat het bevorderen en het waarborgen van de democratische participatie en het bewustzijn van het kiesrecht belangrijk zijn. De Commissie zal dan ook steun verlenen aan werkzaamheden, samen met betrokken partijen, met inbegrip van het maatschappelijk middenveld, om burgers van de Unie beter in staat te stellen om hun rechten als EU-burger volledig uit te oefenen. Deze rechten, waaronder het recht op actief en passief kiesrecht bij Europese en lokale verkiezingen in iedere EU-lidstaat onder dezelfde voorwaarden als de onderdanen van die staat, ondersteunen de democratie op het niveau van de Unie, en geven blijk van onze gezamenlijke democratische waarden.</w:t>
      </w:r>
    </w:p>
    <w:p w:rsidR="00742B27" w:rsidRDefault="00742B27" w:rsidP="00742B27">
      <w:pPr>
        <w:ind w:left="709"/>
        <w:rPr>
          <w:rFonts w:ascii="Times New Roman" w:eastAsia="Calibri" w:hAnsi="Times New Roman"/>
          <w:szCs w:val="24"/>
          <w:highlight w:val="yellow"/>
        </w:rPr>
      </w:pPr>
      <w:r>
        <w:rPr>
          <w:rFonts w:ascii="Times New Roman" w:hAnsi="Times New Roman"/>
        </w:rPr>
        <w:t>De Commissie onderzoekt voortdurend hoe bestaande instrumenten het best kunnen worden benut ter bevordering en handhaving van de rechtsstaat, de democratie en de grondrechten, en is bereid om de dialoog daarover voort te zetten met het Europees Parlement.</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82B97">
      <w:rPr>
        <w:rStyle w:val="PageNumber"/>
        <w:noProof/>
      </w:rPr>
      <w:t>4</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Europese Commissie, B-1049 Brussel — België. Telefoon: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D87"/>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B97"/>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nl-NL"/>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nl-NL" w:eastAsia="nl-NL" w:bidi="nl-NL"/>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nl-NL" w:eastAsia="nl-NL" w:bidi="nl-NL"/>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nl-NL" w:eastAsia="nl-NL" w:bidi="nl-NL"/>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nl-NL" w:eastAsia="nl-NL" w:bidi="nl-NL"/>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nl-NL" w:eastAsia="nl-NL" w:bidi="nl-NL"/>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nl-NL" w:eastAsia="nl-NL" w:bidi="nl-NL"/>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nl-NL" w:eastAsia="nl-NL" w:bidi="nl-NL"/>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nl-NL" w:eastAsia="nl-NL" w:bidi="nl-NL"/>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nl-NL"/>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nl-NL" w:eastAsia="nl-NL" w:bidi="nl-NL"/>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nl-NL" w:eastAsia="nl-NL" w:bidi="nl-NL"/>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nl-NL" w:eastAsia="nl-NL" w:bidi="nl-NL"/>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nl-NL" w:eastAsia="nl-NL" w:bidi="nl-NL"/>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nl-NL" w:eastAsia="nl-NL" w:bidi="nl-NL"/>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nl-NL" w:eastAsia="nl-NL" w:bidi="nl-NL"/>
    </w:rPr>
  </w:style>
  <w:style w:type="character" w:customStyle="1" w:styleId="Normal12HangingZnak">
    <w:name w:val="Normal12Hanging Znak"/>
    <w:rsid w:val="006474F2"/>
    <w:rPr>
      <w:sz w:val="24"/>
      <w:lang w:val="nl-NL" w:eastAsia="nl-NL" w:bidi="nl-NL"/>
    </w:rPr>
  </w:style>
  <w:style w:type="character" w:customStyle="1" w:styleId="Text2Char1">
    <w:name w:val="Text 2 Char1"/>
    <w:link w:val="Text2"/>
    <w:rsid w:val="006474F2"/>
    <w:rPr>
      <w:rFonts w:ascii="Courier New" w:hAnsi="Courier New"/>
      <w:sz w:val="24"/>
      <w:lang w:val="nl-NL" w:eastAsia="nl-NL" w:bidi="nl-NL"/>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nl-NL" w:eastAsia="nl-NL" w:bidi="nl-NL"/>
    </w:rPr>
  </w:style>
  <w:style w:type="character" w:customStyle="1" w:styleId="ListBulletCharCharChar">
    <w:name w:val="List Bullet Char Char Char"/>
    <w:rsid w:val="00536069"/>
    <w:rPr>
      <w:sz w:val="24"/>
      <w:lang w:val="nl-NL" w:eastAsia="nl-NL" w:bidi="nl-NL"/>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nl-NL" w:eastAsia="nl-NL" w:bidi="nl-NL"/>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nl-NL" w:eastAsia="nl-NL" w:bidi="nl-NL"/>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nl-NL" w:eastAsia="nl-NL" w:bidi="nl-NL"/>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nl-NL" w:eastAsia="nl-NL" w:bidi="nl-NL"/>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nl-NL" w:eastAsia="nl-NL" w:bidi="nl-NL"/>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nl-NL" w:eastAsia="nl-NL" w:bidi="nl-NL"/>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nl-NL" w:eastAsia="nl-NL" w:bidi="nl-NL"/>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nl-NL" w:eastAsia="nl-NL" w:bidi="nl-NL"/>
    </w:rPr>
  </w:style>
  <w:style w:type="character" w:customStyle="1" w:styleId="InitialChar">
    <w:name w:val="Initial Char"/>
    <w:link w:val="Initial"/>
    <w:rsid w:val="00FD22F7"/>
    <w:rPr>
      <w:spacing w:val="-3"/>
      <w:sz w:val="24"/>
      <w:lang w:val="nl-NL" w:eastAsia="nl-NL" w:bidi="nl-NL"/>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nl-NL" w:eastAsia="nl-NL" w:bidi="nl-NL"/>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nl-NL" w:eastAsia="nl-NL" w:bidi="nl-NL"/>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nl-NL" w:eastAsia="nl-NL" w:bidi="nl-NL"/>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nl-N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nl-NL"/>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C14BA-CA4A-48C5-B276-77E11C317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1649</Words>
  <Characters>9403</Characters>
  <Application>Microsoft Office Word</Application>
  <DocSecurity>0</DocSecurity>
  <PresentationFormat>Microsoft Word 8.0b</PresentationFormat>
  <Lines>78</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3</cp:revision>
  <cp:lastPrinted>2016-05-27T16:58:00Z</cp:lastPrinted>
  <dcterms:created xsi:type="dcterms:W3CDTF">2017-02-14T08:59:00Z</dcterms:created>
  <dcterms:modified xsi:type="dcterms:W3CDTF">2017-02-14T09:00:00Z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