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263B20">
      <w:pPr>
        <w:spacing w:after="600"/>
        <w:jc w:val="center"/>
        <w:rPr>
          <w:rFonts w:ascii="Times New Roman" w:eastAsia="Calibri" w:hAnsi="Times New Roman"/>
          <w:b/>
          <w:szCs w:val="24"/>
        </w:rPr>
      </w:pPr>
      <w:r>
        <w:rPr>
          <w:rFonts w:ascii="Times New Roman" w:hAnsi="Times New Roman"/>
          <w:b/>
        </w:rPr>
        <w:t>Seguimento da resolução do Parlamento Europeu com recomendações à Comissão sobre a criação de um mecanismo da UE para a democracia, o Estado de direito e os direitos fundamentais, adotado pela Comissão em 17 de janeiro de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Resolução apresentada em conformidade com os artigos 46.º e 52.º do Regimento do Parlamento Europeu pela Comissão das Liberdades Cívicas, da Justiça e dos Assuntos Internos (LIBE), na sequência do parecer da Comissão dos Assuntos Constitucionais (AFCO)</w:t>
      </w:r>
    </w:p>
    <w:p w:rsidR="00FB4650" w:rsidRDefault="00FB4650" w:rsidP="00FB4650">
      <w:pPr>
        <w:rPr>
          <w:rFonts w:ascii="Times New Roman" w:eastAsia="Calibri" w:hAnsi="Times New Roman"/>
          <w:szCs w:val="24"/>
        </w:rPr>
      </w:pPr>
      <w:r>
        <w:rPr>
          <w:rFonts w:ascii="Times New Roman" w:hAnsi="Times New Roman"/>
          <w:b/>
        </w:rPr>
        <w:t>2.</w:t>
      </w:r>
      <w:r>
        <w:tab/>
      </w:r>
      <w:r w:rsidR="0024747E">
        <w:rPr>
          <w:rFonts w:ascii="Times New Roman" w:hAnsi="Times New Roman"/>
          <w:b/>
        </w:rPr>
        <w:t>N.º</w:t>
      </w:r>
      <w:r>
        <w:rPr>
          <w:rFonts w:ascii="Times New Roman" w:hAnsi="Times New Roman"/>
          <w:b/>
        </w:rPr>
        <w:t xml:space="preserve"> de referência PE:</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Data de adoção da resolução</w:t>
      </w:r>
      <w:r>
        <w:rPr>
          <w:rFonts w:ascii="Times New Roman" w:hAnsi="Times New Roman"/>
        </w:rPr>
        <w:t>: 25 de outubro de 2016</w:t>
      </w:r>
    </w:p>
    <w:p w:rsidR="00FB4650" w:rsidRDefault="00FB4650" w:rsidP="00263B20">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Assunto:</w:t>
      </w:r>
      <w:r>
        <w:rPr>
          <w:rFonts w:ascii="Times New Roman" w:hAnsi="Times New Roman"/>
        </w:rPr>
        <w:t xml:space="preserve"> Mecanismo da UE para a democracia, o Estado de direito e os direitos </w:t>
      </w:r>
      <w:bookmarkStart w:id="0" w:name="_GoBack"/>
      <w:bookmarkEnd w:id="0"/>
      <w:r>
        <w:rPr>
          <w:rFonts w:ascii="Times New Roman" w:hAnsi="Times New Roman"/>
        </w:rPr>
        <w:t>fundamentais</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Breve análise/avaliação da resolução e pedidos:</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Na resolução, a Comissão é convidada a apresentar, até setembro de 2017, uma proposta de conclusão de um Pacto da UE para a democracia, o Estado de direito e os direitos fundamentais sob a forma de acordo interinstitucional, com base no artigo 295.º do TFUE, seguindo as recomendações pormenorizadas expostas no anexo. A resolução também contém, entre outras, sugestões respeitantes a uma eventual alteração do Tratado (por exemplo, revisão do artigo 7.º do TUE e supressão do artigo 51.º da Carta dos Direitos Fundamentais) e um convite à União para que adira à Convenção Europeia dos Direitos do Homem.</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O anexo da resolução apresenta um projeto de Acordo Interinstitucional e dá informações pormenorizadas sobre o Pacto da UE para a democracia, o Estado de direito e os direitos fundamentais: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É composto por um  Relatório Europeu sobre a democracia, o Estado de direito e os direitos fundamentais com recomendações para cada país («recomendações por país»).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Inclui um diálogo interparlamentar anual com base no relatório sobre a democracia, o Estado de direito e os direitos fundamentais, e um ciclo de políticas neste domínio no âmbito das instituições da União.</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O relatório anual sobre a democracia, o Estado de direito e os direitos fundamentais, incluindo recomendações específicas por país, deve ser redigido pela Comissão com base num projeto de relatório elaborado por um painel de peritos independente.</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O painel de peritos terá 38 membros; um perito independente designado pelo Parlamento nacional de cada Estado-Membro (Tribunal Constitucional ou juízes do Supremo Tribunal qualificados, que não estejam no ativo) e dez outros peritos designados pelo Parlamento Europeu, escolhidos de uma lista de peritos nomeados por uma lista preestabelecida de organizações. A Comissão deve assegurar o secretariado do painel de peritos.</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Se o projeto das recomendações  por país elaboradas pelo painel de peritos concluir que existe base suficiente para invocar o artigo 7.°, n.</w:t>
      </w:r>
      <w:r w:rsidRPr="00FE02B6">
        <w:rPr>
          <w:rFonts w:ascii="Times New Roman" w:hAnsi="Times New Roman"/>
          <w:vertAlign w:val="superscript"/>
        </w:rPr>
        <w:t>os</w:t>
      </w:r>
      <w:r w:rsidRPr="0039345B">
        <w:rPr>
          <w:rFonts w:ascii="Times New Roman" w:hAnsi="Times New Roman"/>
        </w:rPr>
        <w:t> 1 ou 2, do TUE em relação a um determinado Estado-Membro, a Comissão, o</w:t>
      </w:r>
      <w:r>
        <w:t xml:space="preserve"> </w:t>
      </w:r>
      <w:r w:rsidRPr="00B34835">
        <w:rPr>
          <w:rFonts w:ascii="Times New Roman" w:hAnsi="Times New Roman"/>
        </w:rPr>
        <w:lastRenderedPageBreak/>
        <w:t>Conselho e o Parlamento Europeu debatem a questão sem demora e tomam uma decisão fundamentada que deve ser divulgada ao público.</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O painel de peritos avalia igualmente a conformidade com os princípios da democracia, do Estado de direito e dos direitos fundamentais por parte da Comissão, do Parlamento Europeu e do Conselho.</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Resposta às solicitações e panorâmica das medidas tomadas ou previstas pela Comissão:</w:t>
      </w:r>
    </w:p>
    <w:p w:rsidR="00742B27" w:rsidRDefault="00742B27" w:rsidP="00742B27">
      <w:pPr>
        <w:ind w:left="709"/>
        <w:rPr>
          <w:rFonts w:ascii="Times New Roman" w:eastAsia="Calibri" w:hAnsi="Times New Roman"/>
          <w:szCs w:val="24"/>
        </w:rPr>
      </w:pPr>
      <w:r>
        <w:rPr>
          <w:rFonts w:ascii="Times New Roman" w:hAnsi="Times New Roman"/>
        </w:rPr>
        <w:t>A Comissão agradece ao Parlamento Europeu o facto de ter suscitado a importante questão da defesa dos valores comuns, da democracia, do Estado de direito e dos direitos fundamentais na UE. A Comissão apoia sem reservas o objetivo subjacente à resolução, que é o de garantir que os nossos valores e regras comuns são respeitados e aplicados. A questão fundamental é a de identificar a melhor forma de alcançar este objetivo.</w:t>
      </w:r>
    </w:p>
    <w:p w:rsidR="00742B27" w:rsidRDefault="00742B27" w:rsidP="00742B27">
      <w:pPr>
        <w:ind w:left="709"/>
        <w:rPr>
          <w:rFonts w:ascii="Times New Roman" w:eastAsia="Calibri" w:hAnsi="Times New Roman"/>
          <w:szCs w:val="24"/>
        </w:rPr>
      </w:pPr>
      <w:r>
        <w:rPr>
          <w:rFonts w:ascii="Times New Roman" w:hAnsi="Times New Roman"/>
        </w:rPr>
        <w:t>A Comissão analisou cuidadosamente a resolução e apoia plenamente certos elementos. Apoia, em especial, uma abordagem inclusiva com todas as partes interessadas, nomeadamente as instituições da UE, os Estados-Membros e a sociedade civil.</w:t>
      </w:r>
    </w:p>
    <w:p w:rsidR="00742B27" w:rsidRDefault="00742B27" w:rsidP="00742B27">
      <w:pPr>
        <w:ind w:left="709"/>
        <w:rPr>
          <w:rFonts w:ascii="Times New Roman" w:eastAsia="Calibri" w:hAnsi="Times New Roman"/>
          <w:szCs w:val="24"/>
        </w:rPr>
      </w:pPr>
      <w:r>
        <w:rPr>
          <w:rFonts w:ascii="Times New Roman" w:hAnsi="Times New Roman"/>
        </w:rPr>
        <w:t>A Comissão apoia igualmente a proposta do Parlamento Europeu de criar um diálogo interparlamentar entre este e os parlamentos nacionais. Estes últimos estão diretamente implicados em muitos dos problemas relacionados com o Estado de direito a que assistimos recentemente nalguns Estados-Membros. Temos de envidar esforços no sentido de um entendimento comum sobre a melhor forma de defender os nossos valores comuns, a nível nacional e a nível europeu. O diálogo interparlamentar que o Parlamento Europeu tenciona instituir poderia, numa primeira fase, servir para debater as diferentes opções e meios que se encontram atualmente sobre a mesa, a fim de garantir que os nossos valores comuns são respeitados e aplicados. A Comissão estaria pronta a contribuir para esse diálogo.</w:t>
      </w:r>
    </w:p>
    <w:p w:rsidR="00742B27" w:rsidRDefault="00742B27" w:rsidP="00742B27">
      <w:pPr>
        <w:ind w:left="709"/>
        <w:rPr>
          <w:rFonts w:ascii="Times New Roman" w:eastAsia="Calibri" w:hAnsi="Times New Roman"/>
          <w:szCs w:val="24"/>
        </w:rPr>
      </w:pPr>
      <w:r>
        <w:rPr>
          <w:rFonts w:ascii="Times New Roman" w:hAnsi="Times New Roman"/>
        </w:rPr>
        <w:t>No que diz respeito às sugestões da resolução relativas à eventual alteração dos Tratados, a Comissão considera que não são realistas a curto e médio prazo. Tal é o caso, em especial, da proposta de supressão do artigo 51.º da Carta dos Direitos Fundamentais.</w:t>
      </w:r>
    </w:p>
    <w:p w:rsidR="00742B27" w:rsidRDefault="00742B27" w:rsidP="00742B27">
      <w:pPr>
        <w:ind w:left="709"/>
        <w:rPr>
          <w:rFonts w:ascii="Times New Roman" w:eastAsia="Calibri" w:hAnsi="Times New Roman"/>
          <w:szCs w:val="24"/>
        </w:rPr>
      </w:pPr>
      <w:r>
        <w:rPr>
          <w:rFonts w:ascii="Times New Roman" w:hAnsi="Times New Roman"/>
        </w:rPr>
        <w:t>A Comissão continua plenamente empenhada na adesão da União à Convenção Europeia dos Direitos do Homem. Esta adesão irá reforçar os nossos valores comuns, contribuir para a eficácia da legislação da UE e aumentar a coerência da proteção dos direitos fundamentais na Europa. No entanto, o parecer do Tribunal de Justiça da União Europeia suscitou várias questões, algumas delas jurídica e politicamente complexas. Por conseguinte, a Comissão, na sua qualidade de negociador da UE, prossegue as suas consultas com o comité especial designado pelo Conselho.</w:t>
      </w:r>
    </w:p>
    <w:p w:rsidR="00742B27" w:rsidRDefault="00742B27" w:rsidP="00742B27">
      <w:pPr>
        <w:ind w:left="709"/>
        <w:rPr>
          <w:rFonts w:ascii="Times New Roman" w:eastAsia="Calibri" w:hAnsi="Times New Roman"/>
          <w:szCs w:val="24"/>
        </w:rPr>
      </w:pPr>
      <w:r>
        <w:rPr>
          <w:rFonts w:ascii="Times New Roman" w:hAnsi="Times New Roman"/>
        </w:rPr>
        <w:t xml:space="preserve">Nesta fase, a Comissão tem sérias dúvidas sobre a necessidade e a viabilidade de um relatório anual e de um ciclo de políticas em matéria de democracia, Estado de direito e direitos fundamentais elaborado por um comité de «peritos», bem como sobre a necessidade, a viabilidade e o valor acrescentado de um acordo interinstitucional sobre este tema. Alguns elementos da abordagem proposta, por exemplo o papel central atribuído a um painel de peritos independente no pacto proposto, suscitam igualmente sérias questões em termos de legalidade, </w:t>
      </w:r>
      <w:r>
        <w:rPr>
          <w:rFonts w:ascii="Times New Roman" w:hAnsi="Times New Roman"/>
        </w:rPr>
        <w:lastRenderedPageBreak/>
        <w:t>legitimidade e responsabilidade institucionais. Além disso, existem também preocupações de ordem política e prática que podem tornar difícil encontrar um terreno comum sobre este tema entre todas as instituições envolvidas.</w:t>
      </w:r>
    </w:p>
    <w:p w:rsidR="00742B27" w:rsidRDefault="00742B27" w:rsidP="00742B27">
      <w:pPr>
        <w:ind w:left="709"/>
        <w:rPr>
          <w:rFonts w:ascii="Times New Roman" w:eastAsia="Calibri" w:hAnsi="Times New Roman"/>
          <w:szCs w:val="24"/>
        </w:rPr>
      </w:pPr>
      <w:r>
        <w:rPr>
          <w:rFonts w:ascii="Times New Roman" w:hAnsi="Times New Roman"/>
        </w:rPr>
        <w:t>A Comissão considera que, em primeiro lugar, há que utilizar o melhor possível os instrumentos existentes, ao mesmo tempo que se procura evitar uma duplicação de esforços. Uma série de intervenientes e instrumentos existentes já fornece um conjunto de meios eficazes e complementares para promover e defender os valores comuns. A Comissão continuará a valorizar e a desenvolver esses meios.</w:t>
      </w:r>
    </w:p>
    <w:p w:rsidR="00742B27" w:rsidRDefault="00742B27" w:rsidP="00742B27">
      <w:pPr>
        <w:ind w:left="709"/>
        <w:rPr>
          <w:rFonts w:ascii="Times New Roman" w:eastAsia="Calibri" w:hAnsi="Times New Roman"/>
          <w:szCs w:val="24"/>
        </w:rPr>
      </w:pPr>
      <w:r>
        <w:rPr>
          <w:rFonts w:ascii="Times New Roman" w:hAnsi="Times New Roman"/>
        </w:rPr>
        <w:t>A Comissão adotou, em 2014, um quadro do Estado de direito. Está atualmente a aplicar esse quadro no caso da Polónia, o que não devia deixar dúvidas quanto ao facto de levar muito a sério a proteção do Estado de direito. A este propósito, a Comissão agradece o apoio dado pelo Parlamento na resolução de 14 de setembro a esta abordagem. Aprecia igualmente os debates por este organizados em sessão plenária sobre este tema.</w:t>
      </w:r>
    </w:p>
    <w:p w:rsidR="00742B27" w:rsidRDefault="00742B27" w:rsidP="00742B27">
      <w:pPr>
        <w:ind w:left="709"/>
        <w:rPr>
          <w:rFonts w:ascii="Times New Roman" w:eastAsia="Calibri" w:hAnsi="Times New Roman"/>
          <w:szCs w:val="24"/>
        </w:rPr>
      </w:pPr>
      <w:r>
        <w:rPr>
          <w:rFonts w:ascii="Times New Roman" w:hAnsi="Times New Roman"/>
        </w:rPr>
        <w:t>O Conselho também instituiu em 2014 um diálogo sobre o Estado de direito para o debate destas questões. Em 15 de novembro, o Conselho avaliou o diálogo e a maioria dos Estados-Membros sublinhou a importância de assegurar a sua continuação e reforço através de debates mais frequentes, mais orientados para os resultados e mais bem estruturados. Foi também acordado que o diálogo sobre o Estado de direito deveria ser reavaliado até ao final de 2019, a fim de se considerar a possibilidade de transformar o diálogo num exercício de avaliação anual por pares.</w:t>
      </w:r>
    </w:p>
    <w:p w:rsidR="00742B27" w:rsidRDefault="00742B27" w:rsidP="00742B27">
      <w:pPr>
        <w:ind w:left="709"/>
        <w:rPr>
          <w:rFonts w:ascii="Times New Roman" w:eastAsia="Calibri" w:hAnsi="Times New Roman"/>
          <w:szCs w:val="24"/>
        </w:rPr>
      </w:pPr>
      <w:r>
        <w:rPr>
          <w:rFonts w:ascii="Times New Roman" w:hAnsi="Times New Roman"/>
        </w:rPr>
        <w:t>A Comissão apoia a ideia subjacente da resolução, a saber, tornar os vários dados e relatórios existentes mais acessíveis e visíveis, inclusive a nível nacional. Existem muitos outros intervenientes, nomeadamente o Conselho da Europa e a sua Comissão de Veneza, a Agência dos Direitos Fundamentais da União Europeia e organizações não governamentais (ONG), que contribuem para a monitorização do Estado de direito, da democracia e dos direitos fundamentais nos nossos Estados-Membros.</w:t>
      </w:r>
    </w:p>
    <w:p w:rsidR="00742B27" w:rsidRDefault="00742B27" w:rsidP="00742B27">
      <w:pPr>
        <w:ind w:left="709"/>
        <w:rPr>
          <w:rFonts w:ascii="Times New Roman" w:eastAsia="Calibri" w:hAnsi="Times New Roman"/>
          <w:szCs w:val="24"/>
        </w:rPr>
      </w:pPr>
      <w:r>
        <w:rPr>
          <w:rFonts w:ascii="Times New Roman" w:hAnsi="Times New Roman"/>
        </w:rPr>
        <w:t>A Agência dos Direitos Fundamentais da União Europeia tem um papel a desempenhar ao facilitar o acesso a uma panorâmica clara das informações e dos relatórios existentes sobre os Estados-Membros ou temas específicos, como refletido no documento de programação da agência para 2017-2019.</w:t>
      </w:r>
    </w:p>
    <w:p w:rsidR="00742B27" w:rsidRDefault="00742B27" w:rsidP="00742B27">
      <w:pPr>
        <w:ind w:left="709"/>
        <w:rPr>
          <w:rFonts w:ascii="Times New Roman" w:eastAsia="Calibri" w:hAnsi="Times New Roman"/>
          <w:szCs w:val="24"/>
        </w:rPr>
      </w:pPr>
      <w:r>
        <w:rPr>
          <w:rFonts w:ascii="Times New Roman" w:hAnsi="Times New Roman"/>
        </w:rPr>
        <w:t>A Comissão considera este elemento fundamental para continuar a ajudar os Estados-Membros a melhorar a eficácia dos seus sistemas de justiça nacionais no âmbito do Semestre Europeu, e para apoiar as reformas do setor da justiça nos Estados-Membros com fundos da UE e o painel de avaliação da justiça na UE. De um modo mais geral, os Estados-Membros deverão ser incentivados a melhorar a sua capacidade de fazer cumprir a lei e de criar vias de recurso.</w:t>
      </w:r>
    </w:p>
    <w:p w:rsidR="00742B27" w:rsidRDefault="00742B27" w:rsidP="00742B27">
      <w:pPr>
        <w:ind w:left="709"/>
        <w:rPr>
          <w:rFonts w:ascii="Times New Roman" w:eastAsia="Calibri" w:hAnsi="Times New Roman"/>
          <w:szCs w:val="24"/>
        </w:rPr>
      </w:pPr>
      <w:r>
        <w:rPr>
          <w:rFonts w:ascii="Times New Roman" w:hAnsi="Times New Roman"/>
        </w:rPr>
        <w:t>Para que os direitos consignados na Carta sejam efetivos no terreno, a Comissão apoia o desenvolvimento de instrumentos para melhorar a sensibilização dos juízes, dos magistrados do Ministério Público e dos juristas, bem como dos organismos nacionais de direitos humanos dos Estados-Membros.</w:t>
      </w:r>
    </w:p>
    <w:p w:rsidR="00742B27" w:rsidRDefault="00742B27" w:rsidP="00742B27">
      <w:pPr>
        <w:ind w:left="709"/>
        <w:rPr>
          <w:rFonts w:ascii="Times New Roman" w:eastAsia="Calibri" w:hAnsi="Times New Roman"/>
          <w:szCs w:val="24"/>
        </w:rPr>
      </w:pPr>
      <w:r>
        <w:rPr>
          <w:rFonts w:ascii="Times New Roman" w:hAnsi="Times New Roman"/>
        </w:rPr>
        <w:lastRenderedPageBreak/>
        <w:t>A Comissão atribui também especial importância ao aumento da perceção que os cidadãos têm da forma como podem exercer os seus direitos fundamentais e aonde se dirigir para o efeito.</w:t>
      </w:r>
    </w:p>
    <w:p w:rsidR="00742B27" w:rsidRDefault="00742B27" w:rsidP="00742B27">
      <w:pPr>
        <w:ind w:left="709"/>
        <w:rPr>
          <w:rFonts w:ascii="Times New Roman" w:eastAsia="Calibri" w:hAnsi="Times New Roman"/>
          <w:szCs w:val="24"/>
        </w:rPr>
      </w:pPr>
      <w:r>
        <w:rPr>
          <w:rFonts w:ascii="Times New Roman" w:hAnsi="Times New Roman"/>
        </w:rPr>
        <w:t>Tendo em vista a transposição dos direitos fundamentais na prática, a Comissão irá fazer o melhor uso possível dos programas existentes para reforçar as organizações da sociedade civil e os organismos de defesa dos direitos humanos que trabalham para sensibilizar o público para a Carta e assegurar a sua aplicação a nível nacional. Contudo, a Comissão faz notar que, exceto nos processos civis e penais, não existe qualquer base jurídica para a adoção das normas da UE em matéria de apoio judiciário nos processos que correm nos tribunais nacionais. No que se refere aos processos nos tribunais da UE, o Regulamento de Processo do Tribunal de Justiça e do Tribunal Geral já prevê regimes de apoio judiciário.</w:t>
      </w:r>
    </w:p>
    <w:p w:rsidR="00742B27" w:rsidRDefault="00742B27" w:rsidP="00742B27">
      <w:pPr>
        <w:ind w:left="709"/>
        <w:rPr>
          <w:rFonts w:ascii="Times New Roman" w:eastAsia="Calibri" w:hAnsi="Times New Roman"/>
          <w:szCs w:val="24"/>
        </w:rPr>
      </w:pPr>
      <w:r>
        <w:rPr>
          <w:rFonts w:ascii="Times New Roman" w:hAnsi="Times New Roman"/>
        </w:rPr>
        <w:t>Além disso, a Comissão considera que a promoção e a garantia da participação democrática e a sensibilização para o direito de voto são importantes. Por conseguinte, juntamente com as partes interessadas, nomeadamente a sociedade civil, irá apoiar os esforços com vista a reforçar a capacitação dos cidadãos da União para se apropriarem plenamente dos seus direitos de cidadania da UE. Esses direitos, incluindo o direito de voto e de elegibilidade nas eleições locais e europeias, em qualquer Estado-Membro da UE nas mesmas condições que os nacionais desse Estado, reforçam a democracia a nível da União e são uma expressão dos nossos valores democráticos comuns.</w:t>
      </w:r>
    </w:p>
    <w:p w:rsidR="00742B27" w:rsidRDefault="00742B27" w:rsidP="00742B27">
      <w:pPr>
        <w:ind w:left="709"/>
        <w:rPr>
          <w:rFonts w:ascii="Times New Roman" w:eastAsia="Calibri" w:hAnsi="Times New Roman"/>
          <w:szCs w:val="24"/>
          <w:highlight w:val="yellow"/>
        </w:rPr>
      </w:pPr>
      <w:r>
        <w:rPr>
          <w:rFonts w:ascii="Times New Roman" w:hAnsi="Times New Roman"/>
        </w:rPr>
        <w:t>A Comissão está constantemente a avaliar a maneira como os instrumentos existentes podem ser mais bem utilizados para promover e defender o Estado de direito, a democracia e os direitos fundamentais, e está pronta a prosseguir o diálogo com o Parlamento Europeu sobre este assunto.</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63B20">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Comissão Europeia, B-1049 Bruxelas — Bélgica. Telefone: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7E"/>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B20"/>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45B"/>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2A2"/>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144"/>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835"/>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EEF"/>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137"/>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7B2"/>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2B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pt-PT"/>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pt-PT"/>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pt-PT" w:eastAsia="pt-PT" w:bidi="pt-PT"/>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pt-PT" w:eastAsia="pt-PT" w:bidi="pt-PT"/>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pt-PT" w:eastAsia="pt-PT" w:bidi="pt-PT"/>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pt-PT" w:eastAsia="pt-PT" w:bidi="pt-PT"/>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pt-PT" w:eastAsia="pt-PT" w:bidi="pt-PT"/>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pt-PT" w:eastAsia="pt-PT" w:bidi="pt-PT"/>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pt-PT" w:eastAsia="pt-PT" w:bidi="pt-PT"/>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pt-PT" w:eastAsia="pt-PT" w:bidi="pt-PT"/>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pt-PT"/>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pt-PT" w:eastAsia="pt-PT" w:bidi="pt-PT"/>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pt-PT" w:eastAsia="pt-PT" w:bidi="pt-PT"/>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pt-PT" w:eastAsia="pt-PT" w:bidi="pt-PT"/>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pt-PT" w:eastAsia="pt-PT" w:bidi="pt-PT"/>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pt-PT" w:eastAsia="pt-PT" w:bidi="pt-PT"/>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pt-PT" w:eastAsia="pt-PT" w:bidi="pt-PT"/>
    </w:rPr>
  </w:style>
  <w:style w:type="character" w:customStyle="1" w:styleId="Normal12HangingZnak">
    <w:name w:val="Normal12Hanging Znak"/>
    <w:rsid w:val="006474F2"/>
    <w:rPr>
      <w:sz w:val="24"/>
      <w:lang w:val="pt-PT" w:eastAsia="pt-PT" w:bidi="pt-PT"/>
    </w:rPr>
  </w:style>
  <w:style w:type="character" w:customStyle="1" w:styleId="Text2Char1">
    <w:name w:val="Text 2 Char1"/>
    <w:link w:val="Text2"/>
    <w:rsid w:val="006474F2"/>
    <w:rPr>
      <w:rFonts w:ascii="Courier New" w:hAnsi="Courier New"/>
      <w:sz w:val="24"/>
      <w:lang w:val="pt-PT" w:eastAsia="pt-PT" w:bidi="pt-PT"/>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pt-PT" w:eastAsia="pt-PT" w:bidi="pt-PT"/>
    </w:rPr>
  </w:style>
  <w:style w:type="character" w:customStyle="1" w:styleId="ListBulletCharCharChar">
    <w:name w:val="List Bullet Char Char Char"/>
    <w:rsid w:val="00536069"/>
    <w:rPr>
      <w:sz w:val="24"/>
      <w:lang w:val="pt-PT" w:eastAsia="pt-PT" w:bidi="pt-PT"/>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pt-PT" w:eastAsia="pt-PT" w:bidi="pt-PT"/>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pt-PT" w:eastAsia="pt-PT" w:bidi="pt-PT"/>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pt-PT" w:eastAsia="pt-PT" w:bidi="pt-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pt-PT" w:eastAsia="pt-PT" w:bidi="pt-PT"/>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pt-PT" w:eastAsia="pt-PT" w:bidi="pt-PT"/>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pt-PT" w:eastAsia="pt-PT" w:bidi="pt-PT"/>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pt-PT" w:eastAsia="pt-PT" w:bidi="pt-PT"/>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pt-PT" w:eastAsia="pt-PT" w:bidi="pt-PT"/>
    </w:rPr>
  </w:style>
  <w:style w:type="character" w:customStyle="1" w:styleId="InitialChar">
    <w:name w:val="Initial Char"/>
    <w:link w:val="Initial"/>
    <w:rsid w:val="00FD22F7"/>
    <w:rPr>
      <w:spacing w:val="-3"/>
      <w:sz w:val="24"/>
      <w:lang w:val="pt-PT" w:eastAsia="pt-PT" w:bidi="pt-PT"/>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pt-PT" w:eastAsia="pt-PT" w:bidi="pt-PT"/>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pt-PT" w:eastAsia="pt-PT" w:bidi="pt-PT"/>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pt-PT" w:eastAsia="pt-PT" w:bidi="pt-PT"/>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pt-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pt-PT"/>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C082D-C928-4A60-9A4E-C18E557A2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1637</Words>
  <Characters>9331</Characters>
  <Application>Microsoft Office Word</Application>
  <DocSecurity>4</DocSecurity>
  <PresentationFormat>Microsoft Word 8.0b</PresentationFormat>
  <Lines>77</Lines>
  <Paragraphs>21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2017-02-09T14:41:00Z</cp:lastPrinted>
  <dcterms:created xsi:type="dcterms:W3CDTF">2017-02-14T09:04:00Z</dcterms:created>
  <dcterms:modified xsi:type="dcterms:W3CDTF">2017-02-14T09:04:00Z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