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062" w:rsidRDefault="00C6159A" w:rsidP="00C94062">
      <w:pPr>
        <w:spacing w:after="600"/>
        <w:jc w:val="center"/>
        <w:rPr>
          <w:rFonts w:ascii="Times New Roman" w:hAnsi="Times New Roman"/>
          <w:b/>
        </w:rPr>
      </w:pPr>
      <w:r>
        <w:rPr>
          <w:rFonts w:ascii="Times New Roman" w:hAnsi="Times New Roman"/>
          <w:b/>
        </w:rPr>
        <w:t>Nadaljnji ukrepi na podlagi Resolucije Evropskega parlamenta s priporočili Komisiji o uvedbi mehanizma EU za demokracijo, pravno državo in temeljne pravice, ki jih je Komisija sprejela 17. januarja 2017</w:t>
      </w:r>
    </w:p>
    <w:p w:rsidR="00FB4650" w:rsidRDefault="00FB4650" w:rsidP="00C94062">
      <w:pPr>
        <w:ind w:left="720" w:hanging="720"/>
        <w:jc w:val="center"/>
        <w:rPr>
          <w:rFonts w:ascii="Times New Roman" w:eastAsia="Calibri" w:hAnsi="Times New Roman"/>
          <w:b/>
          <w:szCs w:val="24"/>
        </w:rPr>
      </w:pPr>
      <w:r>
        <w:rPr>
          <w:rFonts w:ascii="Times New Roman" w:hAnsi="Times New Roman"/>
          <w:b/>
        </w:rPr>
        <w:t>1.</w:t>
      </w:r>
      <w:r>
        <w:tab/>
      </w:r>
      <w:r>
        <w:rPr>
          <w:rFonts w:ascii="Times New Roman" w:hAnsi="Times New Roman"/>
          <w:b/>
        </w:rPr>
        <w:t>Resolucijo je v skladu s členoma 46 in 52 Poslovnika Evropskega parlamenta predložil Odbor za državljanske svoboščine, pravosodje in notranje zadeve (LIBE) na podlagi mnenja Odbora za ustavne zadeve (AFCO)</w:t>
      </w:r>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Sklicna številka EP:</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 xml:space="preserve">Datum sprejetja </w:t>
      </w:r>
      <w:r w:rsidR="00F45F47">
        <w:rPr>
          <w:rFonts w:ascii="Times New Roman" w:hAnsi="Times New Roman"/>
          <w:b/>
        </w:rPr>
        <w:t>R</w:t>
      </w:r>
      <w:r>
        <w:rPr>
          <w:rFonts w:ascii="Times New Roman" w:hAnsi="Times New Roman"/>
          <w:b/>
        </w:rPr>
        <w:t>esolucije</w:t>
      </w:r>
      <w:r>
        <w:rPr>
          <w:rFonts w:ascii="Times New Roman" w:hAnsi="Times New Roman"/>
        </w:rPr>
        <w:t>: 25. oktober 2016</w:t>
      </w:r>
    </w:p>
    <w:p w:rsidR="00FB4650" w:rsidRDefault="00FB4650" w:rsidP="00FB4650">
      <w:pPr>
        <w:rPr>
          <w:rFonts w:ascii="Times New Roman" w:eastAsia="Calibri" w:hAnsi="Times New Roman"/>
          <w:szCs w:val="24"/>
        </w:rPr>
      </w:pPr>
      <w:r>
        <w:rPr>
          <w:rFonts w:ascii="Times New Roman" w:hAnsi="Times New Roman"/>
          <w:b/>
        </w:rPr>
        <w:t>4.</w:t>
      </w:r>
      <w:r>
        <w:tab/>
      </w:r>
      <w:r>
        <w:rPr>
          <w:rFonts w:ascii="Times New Roman" w:hAnsi="Times New Roman"/>
          <w:b/>
        </w:rPr>
        <w:t>Zadeva:</w:t>
      </w:r>
      <w:r>
        <w:rPr>
          <w:rFonts w:ascii="Times New Roman" w:hAnsi="Times New Roman"/>
        </w:rPr>
        <w:t xml:space="preserve"> mehanizem EU za demokracijo, pravno državo in temeljne pravice</w:t>
      </w:r>
    </w:p>
    <w:p w:rsidR="00FB4650" w:rsidRPr="00FB4650" w:rsidRDefault="00FB4650" w:rsidP="00FB4650">
      <w:pPr>
        <w:rPr>
          <w:rFonts w:ascii="Times New Roman" w:eastAsia="Calibri" w:hAnsi="Times New Roman"/>
          <w:b/>
          <w:szCs w:val="24"/>
        </w:rPr>
      </w:pPr>
      <w:r>
        <w:rPr>
          <w:rFonts w:ascii="Times New Roman" w:hAnsi="Times New Roman"/>
          <w:b/>
        </w:rPr>
        <w:t>5.</w:t>
      </w:r>
      <w:r>
        <w:tab/>
      </w:r>
      <w:r>
        <w:rPr>
          <w:rFonts w:ascii="Times New Roman" w:hAnsi="Times New Roman"/>
          <w:b/>
        </w:rPr>
        <w:t xml:space="preserve">Kratka analiza/ocena </w:t>
      </w:r>
      <w:r w:rsidR="00F45F47">
        <w:rPr>
          <w:rFonts w:ascii="Times New Roman" w:hAnsi="Times New Roman"/>
          <w:b/>
        </w:rPr>
        <w:t>R</w:t>
      </w:r>
      <w:r>
        <w:rPr>
          <w:rFonts w:ascii="Times New Roman" w:hAnsi="Times New Roman"/>
          <w:b/>
        </w:rPr>
        <w:t>esolucije in zahtev, ki jih vsebuje:</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Z Resolucijo se od Komisije zahteva, da do 17. septembra 2017 predloži predlog za sklenitev pakta EU za demokracijo, pravno državo in temeljne pravice v obliki medinstitucionalnega sporazuma na podlagi člena 295 PDEU, pri čemer naj sledi podrobnim priporočilom iz Priloge k Resoluciji. Resolucija vsebuje med drugim predloge za morebitne spremembe Pogodbe (npr. pregled člena 7 PEU, odpravo člena 51 Listine o temeljnih pravicah) in poziva k pristopu Unije k Evropski konvenciji o človekovih pravicah.</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 xml:space="preserve">Priloga k Resoluciji vsebuje predlog za medinstitucionalni sporazum, ki vsebuje podrobnosti o paktu EU za demokracijo, pravno državo in temeljne pravice. </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Sestavljajo ga evropsko poročilo o demokraciji, pravni državi in temeljnih pravicah s priporočili za posamezne države.</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Vključuje tudi letni medparlamentarni dialog na podlagi poročila o demokraciji, pravni državi in temeljnih pravicah ter politični cikel za demokracijo, pravno državo in temeljne pravice v institucijah Unije.</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Komisija letno poročilo o demokraciji, pravni državi in temeljnih pravicah, vključno s priporočili za posamezne države, oblikuje na podlagi osnutka poročila, ki ga pripravi neodvisna skupina strokovnjakov.</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Skupina strokovnjakov ima 38 članov; po enega neodvisnega strokovnjaka, ki ga imenuje parlament vsake države članice (in ki je usposobljen sodnik ustavnega ali vrhovnega sodišča, ki ni aktivno zaposlen), in deset dodatnih strokovnjakov, ki jih imenuje Evropski parlament na podlagi seznama strokovnjakov, ki ga vnaprej pripravijo organizacije. Komisija zagotovi sekretariat skupine strokovnjakov.</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 xml:space="preserve">Če osnutek priporočil za posamezno državo, ki ga je pripravila strokovna skupina, ugotavlja, da v zvezi z določeno državo obstajajo zadostni razlogi za uporabo člena 7(1) ali 7(2) PEU, Komisija, Svet in Evropski parlament zadevo nemudoma obravnavajo in sprejmejo obrazloženo odločitev, ki se javno objavi. </w:t>
      </w:r>
    </w:p>
    <w:p w:rsidR="00FB4650" w:rsidRPr="00C94062"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Skupina strokovnjakov tudi oceni, kako Komisija, Evropski parlament in Svet spoštujejo demokracijo, pravno državo in temeljne pravice.</w:t>
      </w:r>
    </w:p>
    <w:p w:rsidR="00C94062" w:rsidRPr="00742B27" w:rsidRDefault="00C94062" w:rsidP="00C94062">
      <w:pPr>
        <w:pStyle w:val="Text1"/>
        <w:spacing w:before="100" w:beforeAutospacing="1" w:after="100" w:afterAutospacing="1"/>
        <w:rPr>
          <w:rFonts w:ascii="Times New Roman" w:eastAsia="Calibri" w:hAnsi="Times New Roman"/>
          <w:szCs w:val="24"/>
        </w:rPr>
      </w:pPr>
      <w:bookmarkStart w:id="0" w:name="_GoBack"/>
      <w:bookmarkEnd w:id="0"/>
    </w:p>
    <w:p w:rsidR="00FB4650" w:rsidRPr="00742B27" w:rsidRDefault="00FB4650" w:rsidP="00FB4650">
      <w:pPr>
        <w:ind w:left="720" w:hanging="720"/>
        <w:rPr>
          <w:rFonts w:ascii="Times New Roman" w:eastAsia="Calibri" w:hAnsi="Times New Roman"/>
          <w:b/>
          <w:szCs w:val="24"/>
        </w:rPr>
      </w:pPr>
      <w:r>
        <w:rPr>
          <w:rFonts w:ascii="Times New Roman" w:hAnsi="Times New Roman"/>
          <w:b/>
        </w:rPr>
        <w:lastRenderedPageBreak/>
        <w:t>6.</w:t>
      </w:r>
      <w:r>
        <w:tab/>
      </w:r>
      <w:r>
        <w:rPr>
          <w:rFonts w:ascii="Times New Roman" w:hAnsi="Times New Roman"/>
          <w:b/>
        </w:rPr>
        <w:t>Odziv na zahteve in pregled ukrepov, ki jih je Komisija sprejela ali jih namerava sprejeti:</w:t>
      </w:r>
    </w:p>
    <w:p w:rsidR="00742B27" w:rsidRDefault="00742B27" w:rsidP="00742B27">
      <w:pPr>
        <w:ind w:left="709"/>
        <w:rPr>
          <w:rFonts w:ascii="Times New Roman" w:eastAsia="Calibri" w:hAnsi="Times New Roman"/>
          <w:szCs w:val="24"/>
        </w:rPr>
      </w:pPr>
      <w:r>
        <w:rPr>
          <w:rFonts w:ascii="Times New Roman" w:hAnsi="Times New Roman"/>
        </w:rPr>
        <w:t xml:space="preserve">Komisija je hvaležna, da je Evropski parlament izpostavil pomembno vprašanje, kako podpirati skupne vrednote, demokracijo, pravno državo in temeljne pravice v EU. Komisija v celoti podpira cilj, ki je podlaga za </w:t>
      </w:r>
      <w:r w:rsidR="00F45F47">
        <w:rPr>
          <w:rFonts w:ascii="Times New Roman" w:hAnsi="Times New Roman"/>
        </w:rPr>
        <w:t>R</w:t>
      </w:r>
      <w:r>
        <w:rPr>
          <w:rFonts w:ascii="Times New Roman" w:hAnsi="Times New Roman"/>
        </w:rPr>
        <w:t>esolucijo, in sicer zagotoviti spoštovanje ter izvrševanje naših skupnih vrednot in pravil. Opredelitev najboljšega načina za dosego tega cilja je ključnega pomena.</w:t>
      </w:r>
    </w:p>
    <w:p w:rsidR="00742B27" w:rsidRDefault="00742B27" w:rsidP="00742B27">
      <w:pPr>
        <w:ind w:left="709"/>
        <w:rPr>
          <w:rFonts w:ascii="Times New Roman" w:eastAsia="Calibri" w:hAnsi="Times New Roman"/>
          <w:szCs w:val="24"/>
        </w:rPr>
      </w:pPr>
      <w:r>
        <w:rPr>
          <w:rFonts w:ascii="Times New Roman" w:hAnsi="Times New Roman"/>
        </w:rPr>
        <w:t xml:space="preserve">Komisija je </w:t>
      </w:r>
      <w:r w:rsidR="00F45F47">
        <w:rPr>
          <w:rFonts w:ascii="Times New Roman" w:hAnsi="Times New Roman"/>
        </w:rPr>
        <w:t>R</w:t>
      </w:r>
      <w:r>
        <w:rPr>
          <w:rFonts w:ascii="Times New Roman" w:hAnsi="Times New Roman"/>
        </w:rPr>
        <w:t>esolucijo pazljivo obravnavala in nekatere njene elemente podpira v celoti. Zlasti podpira vključujoč pristop vseh zainteresiranih strani, vključno z institucijami EU, državami članicami in civilno družbo.</w:t>
      </w:r>
    </w:p>
    <w:p w:rsidR="00742B27" w:rsidRDefault="00742B27" w:rsidP="00742B27">
      <w:pPr>
        <w:ind w:left="709"/>
        <w:rPr>
          <w:rFonts w:ascii="Times New Roman" w:eastAsia="Calibri" w:hAnsi="Times New Roman"/>
          <w:szCs w:val="24"/>
        </w:rPr>
      </w:pPr>
      <w:r>
        <w:rPr>
          <w:rFonts w:ascii="Times New Roman" w:hAnsi="Times New Roman"/>
        </w:rPr>
        <w:t>Komisija prav tako podpira idejo Evropskega parlamenta, da bi organiziral medparlamentarni dialog med Evropskim parlamentom in nacionalnimi parlamenti. Nacionalni parlamenti sodelujejo pri obravnavi številnih vprašanj, povezanih s pravno državo, ki smo jim bili nedavno priča v nekaterih državah članicah. Delovati moramo v smeri skupnega dogovora, kako najbolje ohraniti skupne vrednote, tako na nacionalni kot na evropski ravni. Medparlamentarni dialog, ki ga namerava organizirati Evropski parlament, bi lahko za začetek obravnaval različne možnosti in sredstva, ki so trenutno predloženi za zagotovitev spoštovanja in uresničitve naših skupnih vrednot. Komisija je pripravljena sodelovati pri takšnem dialogu.</w:t>
      </w:r>
    </w:p>
    <w:p w:rsidR="00742B27" w:rsidRDefault="00742B27" w:rsidP="00742B27">
      <w:pPr>
        <w:ind w:left="709"/>
        <w:rPr>
          <w:rFonts w:ascii="Times New Roman" w:eastAsia="Calibri" w:hAnsi="Times New Roman"/>
          <w:szCs w:val="24"/>
        </w:rPr>
      </w:pPr>
      <w:r>
        <w:rPr>
          <w:rFonts w:ascii="Times New Roman" w:hAnsi="Times New Roman"/>
        </w:rPr>
        <w:t xml:space="preserve">Kar zadeva predloge iz </w:t>
      </w:r>
      <w:r w:rsidR="00F45F47">
        <w:rPr>
          <w:rFonts w:ascii="Times New Roman" w:hAnsi="Times New Roman"/>
        </w:rPr>
        <w:t>R</w:t>
      </w:r>
      <w:r>
        <w:rPr>
          <w:rFonts w:ascii="Times New Roman" w:hAnsi="Times New Roman"/>
        </w:rPr>
        <w:t>esolucije za morebitno spremembo Pogodb, jih Komisija ne šteje za kratko- ali srednjeročno dosegljive. To še zlasti velja za predlog za odpravo člena 51 Listine o temeljnih pravicah.</w:t>
      </w:r>
    </w:p>
    <w:p w:rsidR="00742B27" w:rsidRDefault="00742B27" w:rsidP="00742B27">
      <w:pPr>
        <w:ind w:left="709"/>
        <w:rPr>
          <w:rFonts w:ascii="Times New Roman" w:eastAsia="Calibri" w:hAnsi="Times New Roman"/>
          <w:szCs w:val="24"/>
        </w:rPr>
      </w:pPr>
      <w:r>
        <w:rPr>
          <w:rFonts w:ascii="Times New Roman" w:hAnsi="Times New Roman"/>
        </w:rPr>
        <w:t>Komisija ostaja v celoti zavezana pristopu Unije k Evropski konvenciji o človekovih pravicah. Pristop bo okrepil naše skupne vrednote, spodbujal učinkovitost zakonodaje EU ter okrepil usklajenost varstva temeljnih pravic v Evropi. Vendar je mnenje Sodišča Evropske unije opozorilo na resna pravna vprašanja in nekatera med njimi so pravno in politično zapletena. Zato Komisija kot pogajalec EU nadaljuje posvetovanja s posebnim odborom, ki ga je imenoval Svet.</w:t>
      </w:r>
    </w:p>
    <w:p w:rsidR="00742B27" w:rsidRDefault="00742B27" w:rsidP="00742B27">
      <w:pPr>
        <w:ind w:left="709"/>
        <w:rPr>
          <w:rFonts w:ascii="Times New Roman" w:eastAsia="Calibri" w:hAnsi="Times New Roman"/>
          <w:szCs w:val="24"/>
        </w:rPr>
      </w:pPr>
      <w:r>
        <w:rPr>
          <w:rFonts w:ascii="Times New Roman" w:hAnsi="Times New Roman"/>
        </w:rPr>
        <w:t>Komisija na tej stopnji resno dvomi o nujnosti in izvedljivosti letnega poročila ter političnega cikla za demokracijo, pravno državo in temeljne pravice, ki ga pripravi odbor „strokovnjakov“, ter o nujnosti, izvedljivosti in dodani vrednosti medinstitucionalnega dogovora o teh vprašanjih. Nekateri elementi predlaganega pristopa, npr. osrednja vloga, ki je v predlaganem paktu dodeljena neodvisni skupini strokovnjakov, tudi sprožajo resne pomisleke glede zakonitosti, legitimnosti institucij in odgovornosti. Poleg tega obstajajo tudi praktični in politični pomisleki, zaradi katerih bo morda težko doseči soglasje med vsemi zadevnimi institucijami.</w:t>
      </w:r>
    </w:p>
    <w:p w:rsidR="00742B27" w:rsidRDefault="00742B27" w:rsidP="00742B27">
      <w:pPr>
        <w:ind w:left="709"/>
        <w:rPr>
          <w:rFonts w:ascii="Times New Roman" w:eastAsia="Calibri" w:hAnsi="Times New Roman"/>
          <w:szCs w:val="24"/>
        </w:rPr>
      </w:pPr>
      <w:r>
        <w:rPr>
          <w:rFonts w:ascii="Times New Roman" w:hAnsi="Times New Roman"/>
        </w:rPr>
        <w:t>Komisija meni, da bi bilo najprej treba čim bolje uporabiti obstoječe instrumente, pri tem pa se izogniti podvajanju. Različna obstoječa orodja in akterji že zagotavljajo vrsto dopolnilnih in učinkovitih sredstev za spodbujanje in podpiranje skupnih vrednot. Komisija bo ta sredstva še naprej vrednotila in na njih gradila.</w:t>
      </w:r>
    </w:p>
    <w:p w:rsidR="00742B27" w:rsidRDefault="00742B27" w:rsidP="00742B27">
      <w:pPr>
        <w:ind w:left="709"/>
        <w:rPr>
          <w:rFonts w:ascii="Times New Roman" w:eastAsia="Calibri" w:hAnsi="Times New Roman"/>
          <w:szCs w:val="24"/>
        </w:rPr>
      </w:pPr>
      <w:r>
        <w:rPr>
          <w:rFonts w:ascii="Times New Roman" w:hAnsi="Times New Roman"/>
        </w:rPr>
        <w:t xml:space="preserve">Leta 2014 je Komisija sprejela okvir za pravno državo, ki ga trenutno uporablja za Poljsko. To kaže, da ni nobenega dvoma glede tega, da Komisija obravnava </w:t>
      </w:r>
      <w:r>
        <w:rPr>
          <w:rFonts w:ascii="Times New Roman" w:hAnsi="Times New Roman"/>
        </w:rPr>
        <w:lastRenderedPageBreak/>
        <w:t xml:space="preserve">zaščito pravne države zelo resno. V zvezi s tem je Komisija hvaležna za podporo takšnemu pristopu, ki jo je Parlament izrazil v svoji </w:t>
      </w:r>
      <w:r w:rsidR="00F45F47">
        <w:rPr>
          <w:rFonts w:ascii="Times New Roman" w:hAnsi="Times New Roman"/>
        </w:rPr>
        <w:t>R</w:t>
      </w:r>
      <w:r>
        <w:rPr>
          <w:rFonts w:ascii="Times New Roman" w:hAnsi="Times New Roman"/>
        </w:rPr>
        <w:t>esoluciji z dne 14. septembra. Komisija ravno tako ceni plenarne razprave, ki jih je na to temo organiziral Evropski parlament.</w:t>
      </w:r>
    </w:p>
    <w:p w:rsidR="00742B27" w:rsidRDefault="00742B27" w:rsidP="00742B27">
      <w:pPr>
        <w:ind w:left="709"/>
        <w:rPr>
          <w:rFonts w:ascii="Times New Roman" w:eastAsia="Calibri" w:hAnsi="Times New Roman"/>
          <w:szCs w:val="24"/>
        </w:rPr>
      </w:pPr>
      <w:r>
        <w:rPr>
          <w:rFonts w:ascii="Times New Roman" w:hAnsi="Times New Roman"/>
        </w:rPr>
        <w:t xml:space="preserve">Tudi Svet je leta 2014 vzpostavil dialog o pravni državi, v okviru katerega razpravlja o vprašanjih v zvezi s pravno državo. Svet je 15. novembra ocenil ta dialog in večina držav članic je poudarila, kako pomembno je zagotavljati neprekinjenost in krepitev dialoga s pogostejšimi razpravami, ki bi morale biti bolj usmerjene v rezultate in bolje strukturirane. Dogovorjeno je bilo tudi, da bo dialog o pravni državi do konca 2019 ponovno ocenjen, da bi se razmislilo o možnosti, da bi ta dialog spremenili v letni medsebojni strokovni pregled. </w:t>
      </w:r>
    </w:p>
    <w:p w:rsidR="00742B27" w:rsidRDefault="00742B27" w:rsidP="00742B27">
      <w:pPr>
        <w:ind w:left="709"/>
        <w:rPr>
          <w:rFonts w:ascii="Times New Roman" w:eastAsia="Calibri" w:hAnsi="Times New Roman"/>
          <w:szCs w:val="24"/>
        </w:rPr>
      </w:pPr>
      <w:r>
        <w:rPr>
          <w:rFonts w:ascii="Times New Roman" w:hAnsi="Times New Roman"/>
        </w:rPr>
        <w:t xml:space="preserve">Komisija podpira osnovno zamisel </w:t>
      </w:r>
      <w:r w:rsidR="00F45F47">
        <w:rPr>
          <w:rFonts w:ascii="Times New Roman" w:hAnsi="Times New Roman"/>
        </w:rPr>
        <w:t>R</w:t>
      </w:r>
      <w:r>
        <w:rPr>
          <w:rFonts w:ascii="Times New Roman" w:hAnsi="Times New Roman"/>
        </w:rPr>
        <w:t>esolucije, da bi olajšali dostop do številnih obstoječih podatkov in poročil ter povečali njihovo prepoznavnost tudi na nacionalni ravni. K spremljanju načela pravne države, demokracije in temeljnih pravic v državah članicah prispevajo tudi številni drugi akterji, vključno s Svetom Evrope in njegovo Beneško komisijo, Agencijo EU za temeljne pravice in nevladnimi organizacijami.</w:t>
      </w:r>
    </w:p>
    <w:p w:rsidR="00742B27" w:rsidRDefault="00742B27" w:rsidP="00742B27">
      <w:pPr>
        <w:ind w:left="709"/>
        <w:rPr>
          <w:rFonts w:ascii="Times New Roman" w:eastAsia="Calibri" w:hAnsi="Times New Roman"/>
          <w:szCs w:val="24"/>
        </w:rPr>
      </w:pPr>
      <w:r>
        <w:rPr>
          <w:rFonts w:ascii="Times New Roman" w:hAnsi="Times New Roman"/>
        </w:rPr>
        <w:t>Agencija EU za temeljne pravice ima pri tem pomembno vlogo, saj omogoča enostaven dostop do jasnega pregleda obstoječih informacij in poročil, povezanih z državo članico ali posamično temo, kot je določeno v programskem dokumentu Agencije za obdobje 2017–2019.</w:t>
      </w:r>
    </w:p>
    <w:p w:rsidR="00742B27" w:rsidRDefault="00742B27" w:rsidP="00742B27">
      <w:pPr>
        <w:ind w:left="709"/>
        <w:rPr>
          <w:rFonts w:ascii="Times New Roman" w:eastAsia="Calibri" w:hAnsi="Times New Roman"/>
          <w:szCs w:val="24"/>
        </w:rPr>
      </w:pPr>
      <w:r>
        <w:rPr>
          <w:rFonts w:ascii="Times New Roman" w:hAnsi="Times New Roman"/>
        </w:rPr>
        <w:t>Komisija meni, da je ključnega pomena, da se državam članicam prek evropskega semestra še naprej pomaga pri izboljševanju učinkovitosti njihovih nacionalnih pravosodnih sistemov ter da se podpirajo reforme pravosodja v državah članicah s sredstvi EU in s pregledom stanja na področju pravosodja EU. Na splošno bi bilo treba države članice bolj spodbujati, naj izboljšajo svoje zmogljivosti za izvrševanje in odpravljanje pomanjkljivosti.</w:t>
      </w:r>
    </w:p>
    <w:p w:rsidR="00742B27" w:rsidRDefault="00742B27" w:rsidP="00742B27">
      <w:pPr>
        <w:ind w:left="709"/>
        <w:rPr>
          <w:rFonts w:ascii="Times New Roman" w:eastAsia="Calibri" w:hAnsi="Times New Roman"/>
          <w:szCs w:val="24"/>
        </w:rPr>
      </w:pPr>
      <w:r>
        <w:rPr>
          <w:rFonts w:ascii="Times New Roman" w:hAnsi="Times New Roman"/>
        </w:rPr>
        <w:t>Da bi bile pravice, določene z Listino, učinkovite na terenu, Komisija podpira razvoj orodij, ki bi izboljšala ozaveščenost sodnikov, pravnih strokovnjakov ter nacionalnih organov za človekove pravice v državah članicah.</w:t>
      </w:r>
    </w:p>
    <w:p w:rsidR="00742B27" w:rsidRDefault="00742B27" w:rsidP="00742B27">
      <w:pPr>
        <w:ind w:left="709"/>
        <w:rPr>
          <w:rFonts w:ascii="Times New Roman" w:eastAsia="Calibri" w:hAnsi="Times New Roman"/>
          <w:szCs w:val="24"/>
        </w:rPr>
      </w:pPr>
      <w:r>
        <w:rPr>
          <w:rFonts w:ascii="Times New Roman" w:hAnsi="Times New Roman"/>
        </w:rPr>
        <w:t>Komisija pripisuje velik pomen tudi večjemu ozaveščanju posameznikov o tem, kako se lahko sklicujejo na svoje temeljne pravice in kam se lahko obrnejo v zvezi z njihovim uresničevanjem.</w:t>
      </w:r>
    </w:p>
    <w:p w:rsidR="00742B27" w:rsidRDefault="00742B27" w:rsidP="00742B27">
      <w:pPr>
        <w:ind w:left="709"/>
        <w:rPr>
          <w:rFonts w:ascii="Times New Roman" w:eastAsia="Calibri" w:hAnsi="Times New Roman"/>
          <w:szCs w:val="24"/>
        </w:rPr>
      </w:pPr>
      <w:r>
        <w:rPr>
          <w:rFonts w:ascii="Times New Roman" w:hAnsi="Times New Roman"/>
        </w:rPr>
        <w:t>Za uresničevanje temeljnih pravic v praksi bo Komisija v kar največji meri izkoristila obstoječe programe, s katerimi bo okrepila vlogo organizacij civilne družbe in organov za človekove pravice, ki delujejo na področju ozaveščanja o Listini in zagotavljanja njene uporabe na nacionalni ravni. Vendar Komisija ugotavlja, da razen v civilnih in kazenskih postopkih ni pravne podlage za sprejetje predpisov EU o pravni pomoči v postopkih pred sodišči držav članic. Kar zadeva postopke pred sodišči EU, sheme za pravno pomoč že obstajajo in so določene v poslovniku Sodišča in Splošnega sodišča.</w:t>
      </w:r>
    </w:p>
    <w:p w:rsidR="00742B27" w:rsidRDefault="00742B27" w:rsidP="00742B27">
      <w:pPr>
        <w:ind w:left="709"/>
        <w:rPr>
          <w:rFonts w:ascii="Times New Roman" w:eastAsia="Calibri" w:hAnsi="Times New Roman"/>
          <w:szCs w:val="24"/>
        </w:rPr>
      </w:pPr>
      <w:r>
        <w:rPr>
          <w:rFonts w:ascii="Times New Roman" w:hAnsi="Times New Roman"/>
        </w:rPr>
        <w:t xml:space="preserve">Komisija še meni, da sta spodbujanje in zagotavljanje demokratične udeležbe ter ozaveščenost o volilni pravici prav tako pomembna. Zato bo skupaj z zainteresiranimi stranmi in vključno s civilno družbo podprla prizadevanja za nadaljnje ozaveščanje državljanov Unije, da bi se ti v celoti zavedali svojih pravic iz državljanstva EU. Te pravice, vključno s pravico do glasovanja in kandidiranja </w:t>
      </w:r>
      <w:r>
        <w:rPr>
          <w:rFonts w:ascii="Times New Roman" w:hAnsi="Times New Roman"/>
        </w:rPr>
        <w:lastRenderedPageBreak/>
        <w:t>na volitvah EU in lokalnih volitvah v katerikoli državi EU pod istimi pogoji kot državljani te države, podpirajo demokracijo na ravni EU in so odraz naših skupnih demokratičnih vrednot.</w:t>
      </w:r>
    </w:p>
    <w:p w:rsidR="00742B27" w:rsidRDefault="00742B27" w:rsidP="00742B27">
      <w:pPr>
        <w:ind w:left="709"/>
        <w:rPr>
          <w:rFonts w:ascii="Times New Roman" w:eastAsia="Calibri" w:hAnsi="Times New Roman"/>
          <w:szCs w:val="24"/>
          <w:highlight w:val="yellow"/>
        </w:rPr>
      </w:pPr>
      <w:r>
        <w:rPr>
          <w:rFonts w:ascii="Times New Roman" w:hAnsi="Times New Roman"/>
        </w:rPr>
        <w:t>Komisija neprestano ocenjuje, kako se lahko obstoječi instrumenti najbolje uporabijo za spodbujanje in podpiranje pravne države, demokracije in temeljnih pravic, ter je v zvezi s tem pripravljena nadaljevati dialog z Evropskim parlamentom.</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94062">
      <w:rPr>
        <w:rStyle w:val="PageNumber"/>
        <w:noProof/>
      </w:rPr>
      <w:t>3</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 xml:space="preserve">Evropska komisija, B-1049 Bruselj – Belgija. Telefon:  +32 22991111. </w:t>
    </w:r>
    <w:r>
      <w:b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1C9"/>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062"/>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B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5F47"/>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sl-SI"/>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sl-SI"/>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sl-SI" w:eastAsia="sl-SI" w:bidi="sl-SI"/>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sl-SI" w:eastAsia="sl-SI" w:bidi="sl-SI"/>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sl-SI" w:eastAsia="sl-SI" w:bidi="sl-SI"/>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sl-SI" w:eastAsia="sl-SI" w:bidi="sl-SI"/>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sl-SI" w:eastAsia="sl-SI" w:bidi="sl-SI"/>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sl-SI" w:eastAsia="sl-SI" w:bidi="sl-SI"/>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sl-SI" w:eastAsia="sl-SI" w:bidi="sl-SI"/>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sl-SI" w:eastAsia="sl-SI" w:bidi="sl-SI"/>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sl-SI"/>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sl-SI" w:eastAsia="sl-SI" w:bidi="sl-SI"/>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sl-SI" w:eastAsia="sl-SI" w:bidi="sl-SI"/>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sl-SI" w:eastAsia="sl-SI" w:bidi="sl-SI"/>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sl-SI" w:eastAsia="sl-SI" w:bidi="sl-SI"/>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sl-SI" w:eastAsia="sl-SI" w:bidi="sl-SI"/>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sl-SI" w:eastAsia="sl-SI" w:bidi="sl-SI"/>
    </w:rPr>
  </w:style>
  <w:style w:type="character" w:customStyle="1" w:styleId="Normal12HangingZnak">
    <w:name w:val="Normal12Hanging Znak"/>
    <w:rsid w:val="006474F2"/>
    <w:rPr>
      <w:sz w:val="24"/>
      <w:lang w:val="sl-SI" w:eastAsia="sl-SI" w:bidi="sl-SI"/>
    </w:rPr>
  </w:style>
  <w:style w:type="character" w:customStyle="1" w:styleId="Text2Char1">
    <w:name w:val="Text 2 Char1"/>
    <w:link w:val="Text2"/>
    <w:rsid w:val="006474F2"/>
    <w:rPr>
      <w:rFonts w:ascii="Courier New" w:hAnsi="Courier New"/>
      <w:sz w:val="24"/>
      <w:lang w:val="sl-SI" w:eastAsia="sl-SI" w:bidi="sl-SI"/>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sl-SI" w:eastAsia="sl-SI" w:bidi="sl-SI"/>
    </w:rPr>
  </w:style>
  <w:style w:type="character" w:customStyle="1" w:styleId="ListBulletCharCharChar">
    <w:name w:val="List Bullet Char Char Char"/>
    <w:rsid w:val="00536069"/>
    <w:rPr>
      <w:sz w:val="24"/>
      <w:lang w:val="sl-SI" w:eastAsia="sl-SI" w:bidi="sl-SI"/>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sl-SI" w:eastAsia="sl-SI" w:bidi="sl-SI"/>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sl-SI" w:eastAsia="sl-SI" w:bidi="sl-SI"/>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sl-SI" w:eastAsia="sl-SI" w:bidi="sl-SI"/>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sl-SI" w:eastAsia="sl-SI" w:bidi="sl-SI"/>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sl-SI" w:eastAsia="sl-SI" w:bidi="sl-SI"/>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sl-SI" w:eastAsia="sl-SI" w:bidi="sl-SI"/>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sl-SI" w:eastAsia="sl-SI" w:bidi="sl-SI"/>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sl-SI" w:eastAsia="sl-SI" w:bidi="sl-SI"/>
    </w:rPr>
  </w:style>
  <w:style w:type="character" w:customStyle="1" w:styleId="InitialChar">
    <w:name w:val="Initial Char"/>
    <w:link w:val="Initial"/>
    <w:rsid w:val="00FD22F7"/>
    <w:rPr>
      <w:spacing w:val="-3"/>
      <w:sz w:val="24"/>
      <w:lang w:val="sl-SI" w:eastAsia="sl-SI" w:bidi="sl-SI"/>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sl-SI" w:eastAsia="sl-SI" w:bidi="sl-SI"/>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sl-SI" w:eastAsia="sl-SI" w:bidi="sl-SI"/>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sl-SI" w:eastAsia="sl-SI" w:bidi="sl-SI"/>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sl-SI"/>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sl-SI"/>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5AF9D-BF34-488C-A0FA-2E66830D9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4</Pages>
  <Words>1439</Words>
  <Characters>8205</Characters>
  <Application>Microsoft Office Word</Application>
  <DocSecurity>4</DocSecurity>
  <PresentationFormat>Microsoft Word 8.0b</PresentationFormat>
  <Lines>68</Lines>
  <Paragraphs>19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2016-05-27T16:58:00Z</cp:lastPrinted>
  <dcterms:created xsi:type="dcterms:W3CDTF">2017-02-14T09:21:00Z</dcterms:created>
  <dcterms:modified xsi:type="dcterms:W3CDTF">2017-02-14T09:21:00Z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