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3C6483" w:rsidRDefault="00C6159A" w:rsidP="00A8111F">
      <w:pPr>
        <w:spacing w:after="600"/>
        <w:jc w:val="center"/>
        <w:rPr>
          <w:rFonts w:ascii="Times New Roman" w:eastAsia="Calibri" w:hAnsi="Times New Roman"/>
          <w:b/>
          <w:szCs w:val="24"/>
        </w:rPr>
      </w:pPr>
      <w:r>
        <w:rPr>
          <w:rFonts w:ascii="Times New Roman" w:hAnsi="Times New Roman"/>
          <w:b/>
        </w:rPr>
        <w:t>Uppföljning av Europaparlamentets resolution med rekommendationer till kommissionen om inrättande av en EU-mekanism för demokrati, rättsstatlighet och grundläggande rättigheter, som antogs av kommissionen den 17 januari 2017</w:t>
      </w:r>
    </w:p>
    <w:p w:rsidR="00FB4650" w:rsidRDefault="00FB4650" w:rsidP="00FB4650">
      <w:pPr>
        <w:ind w:left="720" w:hanging="720"/>
        <w:rPr>
          <w:rFonts w:ascii="Times New Roman" w:eastAsia="Calibri" w:hAnsi="Times New Roman"/>
          <w:b/>
          <w:szCs w:val="24"/>
        </w:rPr>
      </w:pPr>
      <w:bookmarkStart w:id="0" w:name="_GoBack"/>
      <w:bookmarkEnd w:id="0"/>
      <w:r>
        <w:rPr>
          <w:rFonts w:ascii="Times New Roman" w:hAnsi="Times New Roman"/>
          <w:b/>
        </w:rPr>
        <w:t>1.</w:t>
      </w:r>
      <w:r>
        <w:tab/>
      </w:r>
      <w:r>
        <w:rPr>
          <w:rFonts w:ascii="Times New Roman" w:hAnsi="Times New Roman"/>
          <w:b/>
        </w:rPr>
        <w:t xml:space="preserve">Resolution i enlighet med artiklarna 46 och 52 i Europaparlamentets arbetsordning </w:t>
      </w:r>
      <w:r w:rsidR="0069744A">
        <w:rPr>
          <w:rFonts w:ascii="Times New Roman" w:hAnsi="Times New Roman"/>
          <w:b/>
        </w:rPr>
        <w:t>av</w:t>
      </w:r>
      <w:r>
        <w:rPr>
          <w:rFonts w:ascii="Times New Roman" w:hAnsi="Times New Roman"/>
          <w:b/>
        </w:rPr>
        <w:t xml:space="preserve"> utskottet för medborgerliga fri- och rättigheter samt rättsliga och inrikes frågor (LIBE) efter yttrandet från utskottet för konstitutionella frågor (AFCO)</w:t>
      </w:r>
    </w:p>
    <w:p w:rsidR="00FB4650" w:rsidRDefault="00FB4650" w:rsidP="00FB4650">
      <w:pPr>
        <w:rPr>
          <w:rFonts w:ascii="Times New Roman" w:eastAsia="Calibri" w:hAnsi="Times New Roman"/>
          <w:szCs w:val="24"/>
        </w:rPr>
      </w:pPr>
      <w:r>
        <w:rPr>
          <w:rFonts w:ascii="Times New Roman" w:hAnsi="Times New Roman"/>
          <w:b/>
        </w:rPr>
        <w:t>2.</w:t>
      </w:r>
      <w:r>
        <w:tab/>
      </w:r>
      <w:r>
        <w:rPr>
          <w:rFonts w:ascii="Times New Roman" w:hAnsi="Times New Roman"/>
          <w:b/>
        </w:rPr>
        <w:t>Parlamentets referens</w:t>
      </w:r>
      <w:r w:rsidR="0069744A">
        <w:rPr>
          <w:rFonts w:ascii="Times New Roman" w:hAnsi="Times New Roman"/>
          <w:b/>
        </w:rPr>
        <w:t>:</w:t>
      </w:r>
      <w:r>
        <w:rPr>
          <w:rFonts w:ascii="Times New Roman" w:hAnsi="Times New Roman"/>
        </w:rPr>
        <w:t xml:space="preserve"> A8–0283/2016/P8_TA-PROV(2016)0409 </w:t>
      </w:r>
    </w:p>
    <w:p w:rsidR="00FB4650" w:rsidRPr="00BA768B" w:rsidRDefault="00FB4650" w:rsidP="00FB4650">
      <w:pPr>
        <w:rPr>
          <w:rFonts w:ascii="Times New Roman" w:eastAsia="Calibri" w:hAnsi="Times New Roman"/>
          <w:szCs w:val="24"/>
        </w:rPr>
      </w:pPr>
      <w:r>
        <w:rPr>
          <w:rFonts w:ascii="Times New Roman" w:hAnsi="Times New Roman"/>
          <w:b/>
        </w:rPr>
        <w:t>3.</w:t>
      </w:r>
      <w:r>
        <w:tab/>
      </w:r>
      <w:r>
        <w:rPr>
          <w:rFonts w:ascii="Times New Roman" w:hAnsi="Times New Roman"/>
          <w:b/>
        </w:rPr>
        <w:t>Datum för antagande av resolutionen</w:t>
      </w:r>
      <w:r w:rsidR="0069744A">
        <w:rPr>
          <w:rFonts w:ascii="Times New Roman" w:hAnsi="Times New Roman"/>
        </w:rPr>
        <w:t>:</w:t>
      </w:r>
      <w:r>
        <w:rPr>
          <w:rFonts w:ascii="Times New Roman" w:hAnsi="Times New Roman"/>
        </w:rPr>
        <w:t xml:space="preserve"> 25 oktober 2016</w:t>
      </w:r>
    </w:p>
    <w:p w:rsidR="00FB4650" w:rsidRDefault="00FB4650" w:rsidP="0069744A">
      <w:pPr>
        <w:ind w:left="720" w:hanging="720"/>
        <w:rPr>
          <w:rFonts w:ascii="Times New Roman" w:eastAsia="Calibri" w:hAnsi="Times New Roman"/>
          <w:szCs w:val="24"/>
        </w:rPr>
      </w:pPr>
      <w:r>
        <w:rPr>
          <w:rFonts w:ascii="Times New Roman" w:hAnsi="Times New Roman"/>
          <w:b/>
        </w:rPr>
        <w:t>4.</w:t>
      </w:r>
      <w:r>
        <w:tab/>
      </w:r>
      <w:r>
        <w:rPr>
          <w:rFonts w:ascii="Times New Roman" w:hAnsi="Times New Roman"/>
          <w:b/>
        </w:rPr>
        <w:t>Ärende</w:t>
      </w:r>
      <w:r w:rsidR="0069744A">
        <w:rPr>
          <w:rFonts w:ascii="Times New Roman" w:hAnsi="Times New Roman"/>
          <w:b/>
        </w:rPr>
        <w:t>:</w:t>
      </w:r>
      <w:r>
        <w:rPr>
          <w:rFonts w:ascii="Times New Roman" w:hAnsi="Times New Roman"/>
        </w:rPr>
        <w:t xml:space="preserve"> EU-mekanism för demokrati, rättsstatlighet och grundläggande rättigheter</w:t>
      </w:r>
    </w:p>
    <w:p w:rsidR="00FB4650" w:rsidRPr="00FB4650" w:rsidRDefault="00FB4650" w:rsidP="00FB4650">
      <w:pPr>
        <w:rPr>
          <w:rFonts w:ascii="Times New Roman" w:eastAsia="Calibri" w:hAnsi="Times New Roman"/>
          <w:b/>
          <w:szCs w:val="24"/>
        </w:rPr>
      </w:pPr>
      <w:r>
        <w:rPr>
          <w:rFonts w:ascii="Times New Roman" w:hAnsi="Times New Roman"/>
          <w:b/>
        </w:rPr>
        <w:t>5.</w:t>
      </w:r>
      <w:r>
        <w:tab/>
      </w:r>
      <w:r>
        <w:rPr>
          <w:rFonts w:ascii="Times New Roman" w:hAnsi="Times New Roman"/>
          <w:b/>
        </w:rPr>
        <w:t>Bedömning av resolutionen och framställningarna i den</w:t>
      </w:r>
    </w:p>
    <w:p w:rsidR="00FB4650" w:rsidRDefault="0069744A" w:rsidP="00FB4650">
      <w:pPr>
        <w:pStyle w:val="Text1"/>
        <w:spacing w:before="100" w:beforeAutospacing="1" w:after="100" w:afterAutospacing="1"/>
        <w:ind w:left="709"/>
        <w:rPr>
          <w:rFonts w:ascii="Times New Roman" w:hAnsi="Times New Roman"/>
        </w:rPr>
      </w:pPr>
      <w:r>
        <w:rPr>
          <w:rFonts w:ascii="Times New Roman" w:hAnsi="Times New Roman"/>
        </w:rPr>
        <w:t xml:space="preserve">Enligt </w:t>
      </w:r>
      <w:r w:rsidR="00FB4650">
        <w:rPr>
          <w:rFonts w:ascii="Times New Roman" w:hAnsi="Times New Roman"/>
        </w:rPr>
        <w:t>resolutionen ska kommissionen senast i september 2017 lägga fram ett förslag om en EU-pakt för demokrati, rättsstatlighet och grundläggande rättigheter (DRG) i form av ett interinstitutionellt avtal på grundval av artikel 295 i EUF-fördraget, enligt de detaljerade rekommendationerna i bilagan. I resolutionen föreslås också fördragsändringar (bl.a. översyn av artikel 7 i EU-fördraget</w:t>
      </w:r>
      <w:r>
        <w:rPr>
          <w:rFonts w:ascii="Times New Roman" w:hAnsi="Times New Roman"/>
        </w:rPr>
        <w:t xml:space="preserve"> och </w:t>
      </w:r>
      <w:r w:rsidR="00FB4650">
        <w:rPr>
          <w:rFonts w:ascii="Times New Roman" w:hAnsi="Times New Roman"/>
        </w:rPr>
        <w:t>avskaffande av artikel 51 i stadgan om de grundläggande</w:t>
      </w:r>
      <w:r>
        <w:rPr>
          <w:rFonts w:ascii="Times New Roman" w:hAnsi="Times New Roman"/>
        </w:rPr>
        <w:t xml:space="preserve"> rättigheterna) och parlamentet vill </w:t>
      </w:r>
      <w:r w:rsidR="00FB4650">
        <w:rPr>
          <w:rFonts w:ascii="Times New Roman" w:hAnsi="Times New Roman"/>
        </w:rPr>
        <w:t>att EU ansluter sig till den europeiska konventionen om mänskliga rättigheter.</w:t>
      </w:r>
    </w:p>
    <w:p w:rsidR="00FB4650" w:rsidRPr="00FB4650" w:rsidRDefault="008E7B4C" w:rsidP="00FB4650">
      <w:pPr>
        <w:pStyle w:val="Text1"/>
        <w:spacing w:before="100" w:beforeAutospacing="1" w:after="100" w:afterAutospacing="1"/>
        <w:ind w:left="709"/>
        <w:rPr>
          <w:rFonts w:ascii="Times New Roman" w:hAnsi="Times New Roman"/>
        </w:rPr>
      </w:pPr>
      <w:r>
        <w:rPr>
          <w:rFonts w:ascii="Times New Roman" w:hAnsi="Times New Roman"/>
        </w:rPr>
        <w:t>I bilagan till resolutionen finns ett utkast till interinstitutionellt avtal om EU-pakten för demokrati, rättsstatlighet och grundläggande rättigheter.</w:t>
      </w:r>
    </w:p>
    <w:p w:rsidR="00FB4650" w:rsidRPr="00FB4650" w:rsidRDefault="0069744A"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 xml:space="preserve">En </w:t>
      </w:r>
      <w:r w:rsidR="00FB4650">
        <w:rPr>
          <w:rFonts w:ascii="Times New Roman" w:hAnsi="Times New Roman"/>
        </w:rPr>
        <w:t xml:space="preserve">europeisk DRG-rapport </w:t>
      </w:r>
      <w:r>
        <w:rPr>
          <w:rFonts w:ascii="Times New Roman" w:hAnsi="Times New Roman"/>
        </w:rPr>
        <w:t xml:space="preserve">utarbetas </w:t>
      </w:r>
      <w:r w:rsidR="00FB4650">
        <w:rPr>
          <w:rFonts w:ascii="Times New Roman" w:hAnsi="Times New Roman"/>
        </w:rPr>
        <w:t>med landsspecifika rekommendationer.</w:t>
      </w:r>
    </w:p>
    <w:p w:rsidR="00FB4650" w:rsidRPr="00FB4650" w:rsidRDefault="0069744A"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 xml:space="preserve">En </w:t>
      </w:r>
      <w:r w:rsidR="00FB4650">
        <w:rPr>
          <w:rFonts w:ascii="Times New Roman" w:hAnsi="Times New Roman"/>
        </w:rPr>
        <w:t xml:space="preserve">årlig interparlamentarisk dialog </w:t>
      </w:r>
      <w:r>
        <w:rPr>
          <w:rFonts w:ascii="Times New Roman" w:hAnsi="Times New Roman"/>
        </w:rPr>
        <w:t xml:space="preserve">äger rum </w:t>
      </w:r>
      <w:r w:rsidR="00FB4650">
        <w:rPr>
          <w:rFonts w:ascii="Times New Roman" w:hAnsi="Times New Roman"/>
        </w:rPr>
        <w:t>på grundval av rapporten</w:t>
      </w:r>
      <w:r>
        <w:rPr>
          <w:rFonts w:ascii="Times New Roman" w:hAnsi="Times New Roman"/>
        </w:rPr>
        <w:t xml:space="preserve"> liksom </w:t>
      </w:r>
      <w:r w:rsidR="00FB4650">
        <w:rPr>
          <w:rFonts w:ascii="Times New Roman" w:hAnsi="Times New Roman"/>
        </w:rPr>
        <w:t>en DRG-politisk cykel inom EU-institutionerna.</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Den årliga DRG-rapporten, med landsspecifika rekommendationer, läggs fram av kommissionen på grundval av ett utkast som utarbetats av en oberoende expertpanel.</w:t>
      </w:r>
    </w:p>
    <w:p w:rsidR="00FB4650" w:rsidRPr="00742B27"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 xml:space="preserve">Expertpanelen har 38 ledamöter, en oberoende expert som utses av det nationella parlamentet i varje medlemsstat (domare som är behöriga att sitta i författningsdomstolar eller högsta domstolar men inte är i aktiv tjänst) och ytterligare tio experter som väljs </w:t>
      </w:r>
      <w:r w:rsidR="0069744A">
        <w:rPr>
          <w:rFonts w:ascii="Times New Roman" w:hAnsi="Times New Roman"/>
        </w:rPr>
        <w:t xml:space="preserve">ut </w:t>
      </w:r>
      <w:r>
        <w:rPr>
          <w:rFonts w:ascii="Times New Roman" w:hAnsi="Times New Roman"/>
        </w:rPr>
        <w:t>av Europaparlamentet bland experter som nomineras av organisationer på en fastställd lista. Kommissionen tillhandahåller panelens sekretariat.</w:t>
      </w:r>
    </w:p>
    <w:p w:rsidR="00742B27"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Om expertpanelen i sina utkast till landsspecifika rekommendationer finner att det finns skäl att åberopa artikel 7.1 eller 7.2 i EU-fördraget med avseende på en medlemsstat ska kommissionen, rådet och Europaparlamentet dryfta frågan utan dröjsmål och fatta ett motiverat beslut som offentliggörs.</w:t>
      </w:r>
    </w:p>
    <w:p w:rsidR="00FB4650"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lastRenderedPageBreak/>
        <w:t>Expertpanelen bedömer också hur kommissionen, Europaparlamentet och rådet efterlever demokrati, rättsstatsprincipen och de grundläggande rättigheterna.</w:t>
      </w:r>
    </w:p>
    <w:p w:rsidR="00FB4650" w:rsidRPr="00742B27" w:rsidRDefault="00FB4650" w:rsidP="00FB4650">
      <w:pPr>
        <w:ind w:left="720" w:hanging="720"/>
        <w:rPr>
          <w:rFonts w:ascii="Times New Roman" w:eastAsia="Calibri" w:hAnsi="Times New Roman"/>
          <w:b/>
          <w:szCs w:val="24"/>
        </w:rPr>
      </w:pPr>
      <w:r>
        <w:rPr>
          <w:rFonts w:ascii="Times New Roman" w:hAnsi="Times New Roman"/>
          <w:b/>
        </w:rPr>
        <w:t>6.</w:t>
      </w:r>
      <w:r>
        <w:tab/>
      </w:r>
      <w:r>
        <w:rPr>
          <w:rFonts w:ascii="Times New Roman" w:hAnsi="Times New Roman"/>
          <w:b/>
        </w:rPr>
        <w:t>Reaktion på framställningarna och kommissionens vidtagna eller planerade åtgärder</w:t>
      </w:r>
    </w:p>
    <w:p w:rsidR="00742B27" w:rsidRDefault="00742B27" w:rsidP="00742B27">
      <w:pPr>
        <w:ind w:left="709"/>
        <w:rPr>
          <w:rFonts w:ascii="Times New Roman" w:eastAsia="Calibri" w:hAnsi="Times New Roman"/>
          <w:szCs w:val="24"/>
        </w:rPr>
      </w:pPr>
      <w:r>
        <w:rPr>
          <w:rFonts w:ascii="Times New Roman" w:hAnsi="Times New Roman"/>
        </w:rPr>
        <w:t>Kommissionen är tacksam för att Europaparlamentet tar upp den viktiga frågan om hur man ska upprätthålla gemensamma värderingar, demokrati, rättsstatlighet och grundläggande rättigheter i EU. Kommissionen stöder till fullo resolutionens mål, nämligen att se till att våra gemensamma värderingar och regler respekteras och följs. Det viktiga är att hitta det bästa sättet att uppnå detta mål.</w:t>
      </w:r>
    </w:p>
    <w:p w:rsidR="00742B27" w:rsidRDefault="00742B27" w:rsidP="00742B27">
      <w:pPr>
        <w:ind w:left="709"/>
        <w:rPr>
          <w:rFonts w:ascii="Times New Roman" w:eastAsia="Calibri" w:hAnsi="Times New Roman"/>
          <w:szCs w:val="24"/>
        </w:rPr>
      </w:pPr>
      <w:r>
        <w:rPr>
          <w:rFonts w:ascii="Times New Roman" w:hAnsi="Times New Roman"/>
        </w:rPr>
        <w:t>Kommissionen har övervägt denna resolution noga, och det finns delar som kommissionen stöder fullständigt. I synnerhet stöder kommissionen en inkluderande strategi som omfattar alla berörda parter, däribland EU-institutionerna, medlemsstaterna och det civila samhället.</w:t>
      </w:r>
    </w:p>
    <w:p w:rsidR="00742B27" w:rsidRDefault="00742B27" w:rsidP="00742B27">
      <w:pPr>
        <w:ind w:left="709"/>
        <w:rPr>
          <w:rFonts w:ascii="Times New Roman" w:eastAsia="Calibri" w:hAnsi="Times New Roman"/>
          <w:szCs w:val="24"/>
        </w:rPr>
      </w:pPr>
      <w:r>
        <w:rPr>
          <w:rFonts w:ascii="Times New Roman" w:hAnsi="Times New Roman"/>
        </w:rPr>
        <w:t xml:space="preserve">Kommissionen stöder också tanken på att Europaparlamentet ska inrätta en interparlamentarisk dialog mellan Europaparlamentet och de nationella parlamenten. De nationella parlamenten är involverade i många av de problem som rör rättsstatsprincipen som uppträtt i vissa medlemsstater på senare tid. Vi måste verka för en samsyn om hur vi bäst värnar våra gemensamma värderingar, både på nationell </w:t>
      </w:r>
      <w:r w:rsidR="00980FDF">
        <w:rPr>
          <w:rFonts w:ascii="Times New Roman" w:hAnsi="Times New Roman"/>
        </w:rPr>
        <w:t xml:space="preserve">nivå </w:t>
      </w:r>
      <w:r>
        <w:rPr>
          <w:rFonts w:ascii="Times New Roman" w:hAnsi="Times New Roman"/>
        </w:rPr>
        <w:t xml:space="preserve">och </w:t>
      </w:r>
      <w:r w:rsidR="00980FDF">
        <w:rPr>
          <w:rFonts w:ascii="Times New Roman" w:hAnsi="Times New Roman"/>
        </w:rPr>
        <w:t>EU-</w:t>
      </w:r>
      <w:r>
        <w:rPr>
          <w:rFonts w:ascii="Times New Roman" w:hAnsi="Times New Roman"/>
        </w:rPr>
        <w:t>nivå. I den interparlamentariska dialog som Europaparlamentet planerar kan man, som ett första steg, diskutera olika alternativ och metoder som är aktuella för att se till att våra gemensamma värderingar respekteras och följs. Kommissionen är redo att bidra till en sådan dialog.</w:t>
      </w:r>
    </w:p>
    <w:p w:rsidR="00742B27" w:rsidRDefault="00742B27" w:rsidP="00742B27">
      <w:pPr>
        <w:ind w:left="709"/>
        <w:rPr>
          <w:rFonts w:ascii="Times New Roman" w:eastAsia="Calibri" w:hAnsi="Times New Roman"/>
          <w:szCs w:val="24"/>
        </w:rPr>
      </w:pPr>
      <w:r>
        <w:rPr>
          <w:rFonts w:ascii="Times New Roman" w:hAnsi="Times New Roman"/>
        </w:rPr>
        <w:t>När det gäller förslagen i resolutionen om fördragsändringar anser kommissionen inte att de är realistiska på kort eller medellång sikt. Detta gäller i synnerhet förslaget att avskaffa artikel 51 i stadgan om de grundläggande rättigheterna.</w:t>
      </w:r>
    </w:p>
    <w:p w:rsidR="00742B27" w:rsidRDefault="00742B27" w:rsidP="00742B27">
      <w:pPr>
        <w:ind w:left="709"/>
        <w:rPr>
          <w:rFonts w:ascii="Times New Roman" w:eastAsia="Calibri" w:hAnsi="Times New Roman"/>
          <w:szCs w:val="24"/>
        </w:rPr>
      </w:pPr>
      <w:r>
        <w:rPr>
          <w:rFonts w:ascii="Times New Roman" w:hAnsi="Times New Roman"/>
        </w:rPr>
        <w:t>Kommissionen förblir helhjärtat övertygad om att EU bör ansluta sig till den europeiska konventionen om mänskliga rättigheter. Anslutningen stärker våra gemensamma värderingar, stöder EU-lagstiftningens genomslag och ökar samstämmigheten i skyddet av de grundläggande rättigheterna i Europa. Dock tar Europeiska unionens domstol i sitt yttrande upp allvarliga rättsliga betänkligheter. Vissa av dem är rättsligt och politiskt komplexa. Kommissionen fortsätter därför i sin egenskap av EU-förhandlare med samrådet med den särskilda kommitté som rådet utsett.</w:t>
      </w:r>
    </w:p>
    <w:p w:rsidR="00742B27" w:rsidRDefault="00742B27" w:rsidP="00742B27">
      <w:pPr>
        <w:ind w:left="709"/>
        <w:rPr>
          <w:rFonts w:ascii="Times New Roman" w:eastAsia="Calibri" w:hAnsi="Times New Roman"/>
          <w:szCs w:val="24"/>
        </w:rPr>
      </w:pPr>
      <w:r>
        <w:rPr>
          <w:rFonts w:ascii="Times New Roman" w:hAnsi="Times New Roman"/>
        </w:rPr>
        <w:t xml:space="preserve">I detta skede hyser kommissionen allvarliga tvivel på behovet av och genomförbarheten i en årsrapport och en politisk cykel i fråga om demokrati, rättsstatsprincipen och grundläggande rättigheter som läggs fram av en </w:t>
      </w:r>
      <w:r w:rsidR="0069744A">
        <w:rPr>
          <w:rFonts w:ascii="Times New Roman" w:hAnsi="Times New Roman"/>
        </w:rPr>
        <w:t>”</w:t>
      </w:r>
      <w:r>
        <w:rPr>
          <w:rFonts w:ascii="Times New Roman" w:hAnsi="Times New Roman"/>
        </w:rPr>
        <w:t>expertpanel</w:t>
      </w:r>
      <w:r w:rsidR="0069744A">
        <w:rPr>
          <w:rFonts w:ascii="Times New Roman" w:hAnsi="Times New Roman"/>
        </w:rPr>
        <w:t>”</w:t>
      </w:r>
      <w:r>
        <w:rPr>
          <w:rFonts w:ascii="Times New Roman" w:hAnsi="Times New Roman"/>
        </w:rPr>
        <w:t xml:space="preserve">, liksom behovet av, genomförbarheten i och mervärdet hos ett interinstitutionellt avtal i denna fråga. Vissa delar i den föreslagna strategin, till exempel den oberoende expertpanelens centrala betydelse, väcker allvarliga frågor om legalitet, legitimitet och ansvarsutkrävande. Dessutom finns det också praktiska och politiska problem som kan </w:t>
      </w:r>
      <w:r w:rsidR="00980FDF">
        <w:rPr>
          <w:rFonts w:ascii="Times New Roman" w:hAnsi="Times New Roman"/>
        </w:rPr>
        <w:t xml:space="preserve">göra </w:t>
      </w:r>
      <w:r>
        <w:rPr>
          <w:rFonts w:ascii="Times New Roman" w:hAnsi="Times New Roman"/>
        </w:rPr>
        <w:t>det svårt att få alla berörda institutioner att enas i denna fråga.</w:t>
      </w:r>
    </w:p>
    <w:p w:rsidR="00742B27" w:rsidRDefault="00742B27" w:rsidP="00742B27">
      <w:pPr>
        <w:ind w:left="709"/>
        <w:rPr>
          <w:rFonts w:ascii="Times New Roman" w:eastAsia="Calibri" w:hAnsi="Times New Roman"/>
          <w:szCs w:val="24"/>
        </w:rPr>
      </w:pPr>
      <w:r>
        <w:rPr>
          <w:rFonts w:ascii="Times New Roman" w:hAnsi="Times New Roman"/>
        </w:rPr>
        <w:t xml:space="preserve">Kommissionen anser att man i första hand bör utnyttja befintliga instrument på bästa sätt och undvika överlappning. Ett antal befintliga verktyg och aktörer </w:t>
      </w:r>
      <w:r>
        <w:rPr>
          <w:rFonts w:ascii="Times New Roman" w:hAnsi="Times New Roman"/>
        </w:rPr>
        <w:lastRenderedPageBreak/>
        <w:t>tillhandahåller redan komplementära och effektiva metod</w:t>
      </w:r>
      <w:r w:rsidR="0069744A">
        <w:rPr>
          <w:rFonts w:ascii="Times New Roman" w:hAnsi="Times New Roman"/>
        </w:rPr>
        <w:t>er</w:t>
      </w:r>
      <w:r>
        <w:rPr>
          <w:rFonts w:ascii="Times New Roman" w:hAnsi="Times New Roman"/>
        </w:rPr>
        <w:t xml:space="preserve"> för att främja och upprätthålla </w:t>
      </w:r>
      <w:r w:rsidR="0069744A">
        <w:rPr>
          <w:rFonts w:ascii="Times New Roman" w:hAnsi="Times New Roman"/>
        </w:rPr>
        <w:t xml:space="preserve">de </w:t>
      </w:r>
      <w:r>
        <w:rPr>
          <w:rFonts w:ascii="Times New Roman" w:hAnsi="Times New Roman"/>
        </w:rPr>
        <w:t>gemensamma värderingar</w:t>
      </w:r>
      <w:r w:rsidR="0069744A">
        <w:rPr>
          <w:rFonts w:ascii="Times New Roman" w:hAnsi="Times New Roman"/>
        </w:rPr>
        <w:t>na</w:t>
      </w:r>
      <w:r>
        <w:rPr>
          <w:rFonts w:ascii="Times New Roman" w:hAnsi="Times New Roman"/>
        </w:rPr>
        <w:t>. Kommissionen kommer att fortsätta att värdesätta och bygga vidare på dessa metoder.</w:t>
      </w:r>
    </w:p>
    <w:p w:rsidR="00742B27" w:rsidRDefault="00742B27" w:rsidP="00742B27">
      <w:pPr>
        <w:ind w:left="709"/>
        <w:rPr>
          <w:rFonts w:ascii="Times New Roman" w:eastAsia="Calibri" w:hAnsi="Times New Roman"/>
          <w:szCs w:val="24"/>
        </w:rPr>
      </w:pPr>
      <w:r>
        <w:rPr>
          <w:rFonts w:ascii="Times New Roman" w:hAnsi="Times New Roman"/>
        </w:rPr>
        <w:t>Kommissionen antog 2014 en ram för rättsstatsprincipen. Kommissionen tillämpar nu denna ram i fråga om Polen. Det torde undanröja alla tvivel om att kommissionen tar allvarligt på skyddet av rättsstatsprincipen. I detta avseende är kommissionen tacksam för att Europaparlamentet i sin resolution av den 14 september stäl</w:t>
      </w:r>
      <w:r w:rsidR="0069744A">
        <w:rPr>
          <w:rFonts w:ascii="Times New Roman" w:hAnsi="Times New Roman"/>
        </w:rPr>
        <w:t>lde sig bakom en sådan strategi</w:t>
      </w:r>
      <w:r>
        <w:rPr>
          <w:rFonts w:ascii="Times New Roman" w:hAnsi="Times New Roman"/>
        </w:rPr>
        <w:t>. Kommissionen uppskattar också de plenardebatter som Europaparlamentet anordnar på detta tema.</w:t>
      </w:r>
    </w:p>
    <w:p w:rsidR="00742B27" w:rsidRDefault="00742B27" w:rsidP="00742B27">
      <w:pPr>
        <w:ind w:left="709"/>
        <w:rPr>
          <w:rFonts w:ascii="Times New Roman" w:eastAsia="Calibri" w:hAnsi="Times New Roman"/>
          <w:szCs w:val="24"/>
        </w:rPr>
      </w:pPr>
      <w:r>
        <w:rPr>
          <w:rFonts w:ascii="Times New Roman" w:hAnsi="Times New Roman"/>
        </w:rPr>
        <w:t>Rådet inrättade också 2014 en dialog om rättsstatsprincipen där de</w:t>
      </w:r>
      <w:r w:rsidR="00980FDF">
        <w:rPr>
          <w:rFonts w:ascii="Times New Roman" w:hAnsi="Times New Roman"/>
        </w:rPr>
        <w:t>t</w:t>
      </w:r>
      <w:r>
        <w:rPr>
          <w:rFonts w:ascii="Times New Roman" w:hAnsi="Times New Roman"/>
        </w:rPr>
        <w:t xml:space="preserve"> diskuterar frågor som rör rättsstatsprincipen. Den 15 november utvärderade rådet dialogen, och de flesta medlemsstater underströk vikten av att se till att dialogen fortsätter och förstärks genom debatter som hålls oftare och är mer resultatinriktade och bättre strukturerade. Man enades också om att dialogen om rättsstatsprincipen bör utvärderas på nytt i slutet av 2019, för att överväga möjligheten att göra dialogen till en årlig inbördes utvärdering.</w:t>
      </w:r>
    </w:p>
    <w:p w:rsidR="00742B27" w:rsidRDefault="00742B27" w:rsidP="00742B27">
      <w:pPr>
        <w:ind w:left="709"/>
        <w:rPr>
          <w:rFonts w:ascii="Times New Roman" w:eastAsia="Calibri" w:hAnsi="Times New Roman"/>
          <w:szCs w:val="24"/>
        </w:rPr>
      </w:pPr>
      <w:r>
        <w:rPr>
          <w:rFonts w:ascii="Times New Roman" w:hAnsi="Times New Roman"/>
        </w:rPr>
        <w:t xml:space="preserve">Kommissionen </w:t>
      </w:r>
      <w:r w:rsidR="0069744A">
        <w:rPr>
          <w:rFonts w:ascii="Times New Roman" w:hAnsi="Times New Roman"/>
        </w:rPr>
        <w:t xml:space="preserve">stöder tanken bakom </w:t>
      </w:r>
      <w:r>
        <w:rPr>
          <w:rFonts w:ascii="Times New Roman" w:hAnsi="Times New Roman"/>
        </w:rPr>
        <w:t xml:space="preserve">resolutionen om att göra de olika befintliga uppgifterna och rapporterna mer lättillgängliga och synliga, även på nationell nivå. Det finns ett flertal andra aktörer, bl.a. Europarådet och dess Venedigkommission, Europeiska unionens byrå för grundläggande rättigheter samt </w:t>
      </w:r>
      <w:r w:rsidR="0069744A">
        <w:rPr>
          <w:rFonts w:ascii="Times New Roman" w:hAnsi="Times New Roman"/>
        </w:rPr>
        <w:t xml:space="preserve">de </w:t>
      </w:r>
      <w:r>
        <w:rPr>
          <w:rFonts w:ascii="Times New Roman" w:hAnsi="Times New Roman"/>
        </w:rPr>
        <w:t>icke-statliga organisationer</w:t>
      </w:r>
      <w:r w:rsidR="0069744A">
        <w:rPr>
          <w:rFonts w:ascii="Times New Roman" w:hAnsi="Times New Roman"/>
        </w:rPr>
        <w:t>na</w:t>
      </w:r>
      <w:r>
        <w:rPr>
          <w:rFonts w:ascii="Times New Roman" w:hAnsi="Times New Roman"/>
        </w:rPr>
        <w:t>, som bidrar till övervakningen av rättsstatsprincipen, demokratin och de grundläggande rättigheterna i våra medlemsstater.</w:t>
      </w:r>
    </w:p>
    <w:p w:rsidR="00742B27" w:rsidRDefault="00742B27" w:rsidP="00742B27">
      <w:pPr>
        <w:ind w:left="709"/>
        <w:rPr>
          <w:rFonts w:ascii="Times New Roman" w:eastAsia="Calibri" w:hAnsi="Times New Roman"/>
          <w:szCs w:val="24"/>
        </w:rPr>
      </w:pPr>
      <w:r>
        <w:rPr>
          <w:rFonts w:ascii="Times New Roman" w:hAnsi="Times New Roman"/>
        </w:rPr>
        <w:t xml:space="preserve">Europeiska unionens byrå för grundläggande rättigheter har </w:t>
      </w:r>
      <w:r w:rsidR="00980FDF">
        <w:rPr>
          <w:rFonts w:ascii="Times New Roman" w:hAnsi="Times New Roman"/>
        </w:rPr>
        <w:t xml:space="preserve">en viktig uppgift </w:t>
      </w:r>
      <w:r>
        <w:rPr>
          <w:rFonts w:ascii="Times New Roman" w:hAnsi="Times New Roman"/>
        </w:rPr>
        <w:t>genom att tillhandahålla en lättillgänglig och klar bild av de befintliga uppgifterna och rapporterna om medlemsstaterna eller särskilda teman, vilket återspeglas i byråns planering för 2017–2019.</w:t>
      </w:r>
    </w:p>
    <w:p w:rsidR="00742B27" w:rsidRDefault="00742B27" w:rsidP="00742B27">
      <w:pPr>
        <w:ind w:left="709"/>
        <w:rPr>
          <w:rFonts w:ascii="Times New Roman" w:eastAsia="Calibri" w:hAnsi="Times New Roman"/>
          <w:szCs w:val="24"/>
        </w:rPr>
      </w:pPr>
      <w:r>
        <w:rPr>
          <w:rFonts w:ascii="Times New Roman" w:hAnsi="Times New Roman"/>
        </w:rPr>
        <w:t xml:space="preserve">Kommissionen anser att det är särskilt viktigt att fortsätta att hjälpa medlemsstaterna att förbättra effektiviteten i sina nationella rättssystem genom den europeiska planeringsterminen, och att stödja reformer av medlemsstaternas rättsväsenden med EU-medel och resultattavlan för rättskipningen i EU. Mer generellt bör medlemsstaterna uppmuntras att förbättra sin kapacitet för verkställighet och </w:t>
      </w:r>
      <w:r w:rsidR="00B05647">
        <w:rPr>
          <w:rFonts w:ascii="Times New Roman" w:hAnsi="Times New Roman"/>
        </w:rPr>
        <w:t>rättsmedel</w:t>
      </w:r>
      <w:r>
        <w:rPr>
          <w:rFonts w:ascii="Times New Roman" w:hAnsi="Times New Roman"/>
        </w:rPr>
        <w:t>.</w:t>
      </w:r>
    </w:p>
    <w:p w:rsidR="00742B27" w:rsidRDefault="00742B27" w:rsidP="00742B27">
      <w:pPr>
        <w:ind w:left="709"/>
        <w:rPr>
          <w:rFonts w:ascii="Times New Roman" w:eastAsia="Calibri" w:hAnsi="Times New Roman"/>
          <w:szCs w:val="24"/>
        </w:rPr>
      </w:pPr>
      <w:r>
        <w:rPr>
          <w:rFonts w:ascii="Times New Roman" w:hAnsi="Times New Roman"/>
        </w:rPr>
        <w:t>För att rättigheterna i stadgan om de grundläggande rättigheterna ska vara effektiva i praktiken stöder kommissionen utvecklingen av verktyg för att sprida information till domare, åklagare, jurister samt nationella organ för mänskliga rättigheter i medlemsstaterna.</w:t>
      </w:r>
    </w:p>
    <w:p w:rsidR="00742B27" w:rsidRDefault="00742B27" w:rsidP="00742B27">
      <w:pPr>
        <w:ind w:left="709"/>
        <w:rPr>
          <w:rFonts w:ascii="Times New Roman" w:eastAsia="Calibri" w:hAnsi="Times New Roman"/>
          <w:szCs w:val="24"/>
        </w:rPr>
      </w:pPr>
      <w:r>
        <w:rPr>
          <w:rFonts w:ascii="Times New Roman" w:hAnsi="Times New Roman"/>
        </w:rPr>
        <w:t xml:space="preserve">Kommissionen fäster också särskild vikt vid att öka de enskilda individernas förståelse av hur de kan åtnjuta sina grundläggande rättigheter och vart de kan vända sig för att </w:t>
      </w:r>
      <w:r w:rsidR="00980FDF">
        <w:rPr>
          <w:rFonts w:ascii="Times New Roman" w:hAnsi="Times New Roman"/>
        </w:rPr>
        <w:t xml:space="preserve">genomdriva </w:t>
      </w:r>
      <w:r>
        <w:rPr>
          <w:rFonts w:ascii="Times New Roman" w:hAnsi="Times New Roman"/>
        </w:rPr>
        <w:t>dem.</w:t>
      </w:r>
    </w:p>
    <w:p w:rsidR="00742B27" w:rsidRDefault="00742B27" w:rsidP="00742B27">
      <w:pPr>
        <w:ind w:left="709"/>
        <w:rPr>
          <w:rFonts w:ascii="Times New Roman" w:eastAsia="Calibri" w:hAnsi="Times New Roman"/>
          <w:szCs w:val="24"/>
        </w:rPr>
      </w:pPr>
      <w:r>
        <w:rPr>
          <w:rFonts w:ascii="Times New Roman" w:hAnsi="Times New Roman"/>
        </w:rPr>
        <w:t xml:space="preserve">För att de grundläggande rättigheterna ska fungera i praktiken kommer kommissionen att på bästa sätt utnyttja befintliga program för att stärka det civila samhällets organisationer och organ för mänskliga rättigheter som arbetar för att informera om stadgan och se till att den tillämpas ute i medlemsstaterna. Kommissionen konstaterar dock att det utom i civilrättsliga och straffrättsliga förfaranden inte finns någon rättslig grund för att tillämpa EU:s bestämmelser om </w:t>
      </w:r>
      <w:r>
        <w:rPr>
          <w:rFonts w:ascii="Times New Roman" w:hAnsi="Times New Roman"/>
        </w:rPr>
        <w:lastRenderedPageBreak/>
        <w:t>rättshjälp i förfaranden vid medlemsstaternas domstolar. När det gäller förfaranden vid EU:s domstolar finns det redan system för rättshjälp i domstolen och i tribunalen.</w:t>
      </w:r>
    </w:p>
    <w:p w:rsidR="00742B27" w:rsidRDefault="00742B27" w:rsidP="00742B27">
      <w:pPr>
        <w:ind w:left="709"/>
        <w:rPr>
          <w:rFonts w:ascii="Times New Roman" w:eastAsia="Calibri" w:hAnsi="Times New Roman"/>
          <w:szCs w:val="24"/>
        </w:rPr>
      </w:pPr>
      <w:r>
        <w:rPr>
          <w:rFonts w:ascii="Times New Roman" w:hAnsi="Times New Roman"/>
        </w:rPr>
        <w:t xml:space="preserve">Kommissionen anser också att det är viktigt att främja och garantera demokratisk delaktighet och medvetenhet om rösträtten. Kommissionen kommer därför att stödja insatser, tillsammans med berörda aktörer och det civila samhället, för att hjälpa EU-medborgarna att ta till sig de rättigheter som EU-medborgarskapet innebär. Dessa rättigheter, bland annat rätten att rösta och kandidera i lokalval i vilket EU-land som helst på samma villkor som medborgarna i den staten, </w:t>
      </w:r>
      <w:r w:rsidR="00B05647">
        <w:rPr>
          <w:rFonts w:ascii="Times New Roman" w:hAnsi="Times New Roman"/>
        </w:rPr>
        <w:t>befäster</w:t>
      </w:r>
      <w:r>
        <w:rPr>
          <w:rFonts w:ascii="Times New Roman" w:hAnsi="Times New Roman"/>
        </w:rPr>
        <w:t xml:space="preserve"> demokratin på EU-nivå och är ett uttryck för våra gemensamma demokratiska värderingar.</w:t>
      </w:r>
    </w:p>
    <w:p w:rsidR="00742B27" w:rsidRDefault="00742B27" w:rsidP="00742B27">
      <w:pPr>
        <w:ind w:left="709"/>
        <w:rPr>
          <w:rFonts w:ascii="Times New Roman" w:eastAsia="Calibri" w:hAnsi="Times New Roman"/>
          <w:szCs w:val="24"/>
          <w:highlight w:val="yellow"/>
        </w:rPr>
      </w:pPr>
      <w:r>
        <w:rPr>
          <w:rFonts w:ascii="Times New Roman" w:hAnsi="Times New Roman"/>
        </w:rPr>
        <w:t>Kommissionen utvärderar kontinuerligt hur befintliga instrument på bästa sätt kan användas för att främja och upprätthålla rättsstatsprincipen, demokratin och de grundläggande rättigheterna, och är redo att fortsätta dialogen med Europaparlamentet i detta avseende.</w:t>
      </w:r>
    </w:p>
    <w:p w:rsidR="00FB4650" w:rsidRDefault="00FB4650" w:rsidP="00FB4650">
      <w:pPr>
        <w:jc w:val="center"/>
        <w:rPr>
          <w:rFonts w:ascii="Times New Roman" w:eastAsia="Calibri" w:hAnsi="Times New Roman"/>
          <w:szCs w:val="24"/>
        </w:rPr>
      </w:pPr>
      <w:r>
        <w:rPr>
          <w:rFonts w:ascii="Times New Roman" w:hAnsi="Times New Roman"/>
        </w:rPr>
        <w:t>_________</w:t>
      </w:r>
    </w:p>
    <w:sectPr w:rsidR="00FB4650"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8303C">
      <w:rPr>
        <w:rStyle w:val="PageNumber"/>
        <w:noProof/>
      </w:rPr>
      <w:t>4</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8111F">
      <w:rPr>
        <w:rStyle w:val="PageNumber"/>
        <w:noProof/>
      </w:rPr>
      <w:t>3</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t>Europeiska kommissionen, B-1049 Bryssel – Belgien. Telefon: (32-2) 299 11 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4B6"/>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40"/>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9744A"/>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0FDF"/>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11F"/>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647"/>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3C"/>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sv-SE" w:bidi="sv-SE"/>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sv-SE"/>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sv-SE" w:eastAsia="sv-SE" w:bidi="sv-SE"/>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sv-SE" w:eastAsia="sv-SE" w:bidi="sv-SE"/>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sv-SE" w:eastAsia="sv-SE" w:bidi="sv-SE"/>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sv-SE" w:eastAsia="sv-SE" w:bidi="sv-SE"/>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sv-SE" w:eastAsia="sv-SE" w:bidi="sv-SE"/>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sv-SE" w:eastAsia="sv-SE" w:bidi="sv-SE"/>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sv-SE" w:eastAsia="sv-SE" w:bidi="sv-SE"/>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sv-SE" w:eastAsia="sv-SE" w:bidi="sv-SE"/>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sv-SE"/>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sv-SE" w:eastAsia="sv-SE" w:bidi="sv-SE"/>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sv-SE" w:eastAsia="sv-SE" w:bidi="sv-SE"/>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sv-SE" w:eastAsia="sv-SE" w:bidi="sv-SE"/>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sv-SE" w:eastAsia="sv-SE" w:bidi="sv-SE"/>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sv-SE" w:eastAsia="sv-SE" w:bidi="sv-SE"/>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sv-SE" w:eastAsia="sv-SE" w:bidi="sv-SE"/>
    </w:rPr>
  </w:style>
  <w:style w:type="character" w:customStyle="1" w:styleId="Normal12HangingZnak">
    <w:name w:val="Normal12Hanging Znak"/>
    <w:rsid w:val="006474F2"/>
    <w:rPr>
      <w:sz w:val="24"/>
      <w:lang w:val="sv-SE" w:eastAsia="sv-SE" w:bidi="sv-SE"/>
    </w:rPr>
  </w:style>
  <w:style w:type="character" w:customStyle="1" w:styleId="Text2Char1">
    <w:name w:val="Text 2 Char1"/>
    <w:link w:val="Text2"/>
    <w:rsid w:val="006474F2"/>
    <w:rPr>
      <w:rFonts w:ascii="Courier New" w:hAnsi="Courier New"/>
      <w:sz w:val="24"/>
      <w:lang w:val="sv-SE" w:eastAsia="sv-SE" w:bidi="sv-SE"/>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sv-SE" w:eastAsia="sv-SE" w:bidi="sv-SE"/>
    </w:rPr>
  </w:style>
  <w:style w:type="character" w:customStyle="1" w:styleId="ListBulletCharCharChar">
    <w:name w:val="List Bullet Char Char Char"/>
    <w:rsid w:val="00536069"/>
    <w:rPr>
      <w:sz w:val="24"/>
      <w:lang w:val="sv-SE" w:eastAsia="sv-SE" w:bidi="sv-SE"/>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sv-SE" w:eastAsia="sv-SE" w:bidi="sv-SE"/>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sv-SE" w:eastAsia="sv-SE" w:bidi="sv-SE"/>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sv-SE" w:eastAsia="sv-SE" w:bidi="sv-S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sv-SE" w:eastAsia="sv-SE" w:bidi="sv-SE"/>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sv-SE" w:eastAsia="sv-SE" w:bidi="sv-SE"/>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sv-SE" w:eastAsia="sv-SE" w:bidi="sv-SE"/>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sv-SE" w:eastAsia="sv-SE" w:bidi="sv-SE"/>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sv-SE" w:eastAsia="sv-SE" w:bidi="sv-SE"/>
    </w:rPr>
  </w:style>
  <w:style w:type="character" w:customStyle="1" w:styleId="InitialChar">
    <w:name w:val="Initial Char"/>
    <w:link w:val="Initial"/>
    <w:rsid w:val="00FD22F7"/>
    <w:rPr>
      <w:spacing w:val="-3"/>
      <w:sz w:val="24"/>
      <w:lang w:val="sv-SE" w:eastAsia="sv-SE" w:bidi="sv-SE"/>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sv-SE" w:eastAsia="sv-SE" w:bidi="sv-SE"/>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sv-SE" w:eastAsia="sv-SE" w:bidi="sv-SE"/>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sv-SE" w:eastAsia="sv-SE" w:bidi="sv-SE"/>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sv-S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sv-SE"/>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ext1">
    <w:name w:val="11111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D6DCD-2796-4C12-800A-ED5D271A1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1</TotalTime>
  <Pages>4</Pages>
  <Words>1487</Words>
  <Characters>8477</Characters>
  <Application>Microsoft Office Word</Application>
  <DocSecurity>4</DocSecurity>
  <PresentationFormat>Microsoft Word 8.0b</PresentationFormat>
  <Lines>70</Lines>
  <Paragraphs>19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2</cp:revision>
  <cp:lastPrinted>2017-02-01T09:03:00Z</cp:lastPrinted>
  <dcterms:created xsi:type="dcterms:W3CDTF">2017-02-14T09:16:00Z</dcterms:created>
  <dcterms:modified xsi:type="dcterms:W3CDTF">2017-02-14T09:16:00Z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