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FF" w:rsidRPr="00F11DFF" w:rsidRDefault="00F11DFF" w:rsidP="00F11DFF">
      <w:pPr>
        <w:spacing w:after="240" w:line="240" w:lineRule="auto"/>
        <w:ind w:right="-286"/>
        <w:jc w:val="center"/>
        <w:rPr>
          <w:b/>
          <w:lang w:val="fr-FR"/>
        </w:rPr>
      </w:pPr>
      <w:r w:rsidRPr="00F11DFF">
        <w:rPr>
          <w:b/>
          <w:caps/>
          <w:lang w:val="fr-FR"/>
        </w:rPr>
        <w:t>Procédure</w:t>
      </w:r>
      <w:r w:rsidRPr="00F11DFF">
        <w:rPr>
          <w:b/>
          <w:lang w:val="fr-FR"/>
        </w:rPr>
        <w:t xml:space="preserve"> LÉGISLATIVE ORDINAIRE - Première lecture</w:t>
      </w:r>
    </w:p>
    <w:p w:rsidR="00F11DFF" w:rsidRPr="00F11DFF" w:rsidRDefault="00F11DFF" w:rsidP="00F11DFF">
      <w:pPr>
        <w:spacing w:after="600" w:line="240" w:lineRule="auto"/>
        <w:ind w:right="-286"/>
        <w:jc w:val="center"/>
        <w:rPr>
          <w:b/>
          <w:lang w:val="fr-FR"/>
        </w:rPr>
      </w:pPr>
      <w:r w:rsidRPr="00F11DFF">
        <w:rPr>
          <w:b/>
          <w:lang w:val="fr-FR"/>
        </w:rPr>
        <w:t xml:space="preserve">Suite donnée à la résolution législative du Parlement européen du 13 juin 2017 sur </w:t>
      </w:r>
      <w:r w:rsidRPr="00F11DFF">
        <w:rPr>
          <w:b/>
          <w:lang w:val="fr-FR"/>
        </w:rPr>
        <w:br/>
        <w:t xml:space="preserve">la proposition de décision du Parlement européen et du Conseil modifiant la décision nº 445/2014/UE instituant une action de l’Union en faveur des capitales européennes </w:t>
      </w:r>
      <w:r w:rsidRPr="00F11DFF">
        <w:rPr>
          <w:b/>
          <w:lang w:val="fr-FR"/>
        </w:rPr>
        <w:br/>
        <w:t>de la culture pour les années 2020 à 2033</w:t>
      </w:r>
    </w:p>
    <w:p w:rsidR="00F11DFF" w:rsidRPr="00F11DFF" w:rsidRDefault="00F11DFF" w:rsidP="00F11DFF">
      <w:pPr>
        <w:spacing w:after="600" w:line="240" w:lineRule="auto"/>
        <w:ind w:right="-286"/>
        <w:jc w:val="center"/>
        <w:rPr>
          <w:b/>
          <w:lang w:val="fr-FR"/>
        </w:rPr>
      </w:pPr>
      <w:r w:rsidRPr="00F11DFF">
        <w:rPr>
          <w:b/>
          <w:lang w:val="fr-FR"/>
        </w:rPr>
        <w:t>2016/0186 (COD)</w:t>
      </w:r>
    </w:p>
    <w:p w:rsidR="00F11DFF" w:rsidRPr="00F11DFF" w:rsidRDefault="00F11DFF" w:rsidP="00F11DFF">
      <w:pPr>
        <w:spacing w:after="240" w:line="240" w:lineRule="auto"/>
        <w:ind w:right="-286"/>
        <w:jc w:val="both"/>
        <w:rPr>
          <w:lang w:val="fr-FR"/>
        </w:rPr>
      </w:pPr>
      <w:r w:rsidRPr="00F11DFF">
        <w:rPr>
          <w:b/>
          <w:lang w:val="fr-FR"/>
        </w:rPr>
        <w:t>1.</w:t>
      </w:r>
      <w:r w:rsidRPr="00F11DFF">
        <w:rPr>
          <w:lang w:val="fr-FR"/>
        </w:rPr>
        <w:tab/>
      </w:r>
      <w:proofErr w:type="gramStart"/>
      <w:r w:rsidRPr="00F11DFF">
        <w:rPr>
          <w:b/>
          <w:lang w:val="fr-FR"/>
        </w:rPr>
        <w:t>Rapporteur: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Santiago FISAS AYXELA (EPP/ES)</w:t>
      </w:r>
    </w:p>
    <w:p w:rsidR="00F11DFF" w:rsidRPr="00F11DFF" w:rsidRDefault="00F11DFF" w:rsidP="00F11DFF">
      <w:pPr>
        <w:spacing w:after="240" w:line="240" w:lineRule="auto"/>
        <w:ind w:right="-286"/>
        <w:jc w:val="both"/>
        <w:rPr>
          <w:lang w:val="fr-FR"/>
        </w:rPr>
      </w:pPr>
      <w:r w:rsidRPr="00F11DFF">
        <w:rPr>
          <w:b/>
          <w:lang w:val="fr-FR"/>
        </w:rPr>
        <w:t>2.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Numéro de référence du </w:t>
      </w:r>
      <w:proofErr w:type="gramStart"/>
      <w:r w:rsidRPr="00F11DFF">
        <w:rPr>
          <w:b/>
          <w:lang w:val="fr-FR"/>
        </w:rPr>
        <w:t>PE</w:t>
      </w:r>
      <w:r w:rsidRPr="00F11DFF">
        <w:rPr>
          <w:lang w:val="fr-FR"/>
        </w:rPr>
        <w:t>:</w:t>
      </w:r>
      <w:proofErr w:type="gramEnd"/>
      <w:r w:rsidRPr="00F11DFF">
        <w:rPr>
          <w:lang w:val="fr-FR"/>
        </w:rPr>
        <w:t xml:space="preserve"> </w:t>
      </w:r>
      <w:hyperlink r:id="rId4">
        <w:r w:rsidRPr="00F11DFF">
          <w:rPr>
            <w:lang w:val="fr-FR"/>
          </w:rPr>
          <w:t>A8-0061/2017</w:t>
        </w:r>
      </w:hyperlink>
      <w:r w:rsidRPr="00F11DFF">
        <w:rPr>
          <w:lang w:val="fr-FR"/>
        </w:rPr>
        <w:t xml:space="preserve"> / P8_TA-PROV(2017)0252</w:t>
      </w:r>
    </w:p>
    <w:p w:rsidR="00F11DFF" w:rsidRPr="00F11DFF" w:rsidRDefault="00F11DFF" w:rsidP="00F11DFF">
      <w:pPr>
        <w:spacing w:after="240" w:line="240" w:lineRule="auto"/>
        <w:ind w:right="-286"/>
        <w:jc w:val="both"/>
        <w:rPr>
          <w:lang w:val="fr-FR"/>
        </w:rPr>
      </w:pPr>
      <w:r w:rsidRPr="00F11DFF">
        <w:rPr>
          <w:b/>
          <w:lang w:val="fr-FR"/>
        </w:rPr>
        <w:t>3.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Date d’adoption de la </w:t>
      </w:r>
      <w:proofErr w:type="gramStart"/>
      <w:r w:rsidRPr="00F11DFF">
        <w:rPr>
          <w:b/>
          <w:lang w:val="fr-FR"/>
        </w:rPr>
        <w:t>résolution: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13 juin 2017</w:t>
      </w:r>
    </w:p>
    <w:p w:rsidR="00F11DFF" w:rsidRPr="00F11DFF" w:rsidRDefault="00F11DFF" w:rsidP="00F11DFF">
      <w:pPr>
        <w:spacing w:after="240" w:line="240" w:lineRule="auto"/>
        <w:ind w:right="-286"/>
        <w:jc w:val="both"/>
        <w:rPr>
          <w:lang w:val="fr-FR"/>
        </w:rPr>
      </w:pPr>
      <w:r w:rsidRPr="00F11DFF">
        <w:rPr>
          <w:b/>
          <w:lang w:val="fr-FR"/>
        </w:rPr>
        <w:t>4.</w:t>
      </w:r>
      <w:r w:rsidRPr="00F11DFF">
        <w:rPr>
          <w:lang w:val="fr-FR"/>
        </w:rPr>
        <w:tab/>
      </w:r>
      <w:proofErr w:type="gramStart"/>
      <w:r w:rsidRPr="00F11DFF">
        <w:rPr>
          <w:b/>
          <w:lang w:val="fr-FR"/>
        </w:rPr>
        <w:t>Objet: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capitales européennes de la culture</w:t>
      </w:r>
    </w:p>
    <w:p w:rsidR="00F11DFF" w:rsidRPr="00F11DFF" w:rsidRDefault="00F11DFF" w:rsidP="00F11DFF">
      <w:pPr>
        <w:spacing w:after="240" w:line="240" w:lineRule="auto"/>
        <w:ind w:right="-286"/>
        <w:jc w:val="both"/>
        <w:rPr>
          <w:lang w:val="fr-FR"/>
        </w:rPr>
      </w:pPr>
      <w:r w:rsidRPr="00F11DFF">
        <w:rPr>
          <w:b/>
          <w:lang w:val="fr-FR"/>
        </w:rPr>
        <w:t>5.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Numéro de référence </w:t>
      </w:r>
      <w:proofErr w:type="gramStart"/>
      <w:r w:rsidRPr="00F11DFF">
        <w:rPr>
          <w:b/>
          <w:lang w:val="fr-FR"/>
        </w:rPr>
        <w:t>interinstitutionnel: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2016/0186 (COD)</w:t>
      </w:r>
    </w:p>
    <w:p w:rsidR="00F11DFF" w:rsidRPr="00F11DFF" w:rsidRDefault="00F11DFF" w:rsidP="00F11DFF">
      <w:pPr>
        <w:spacing w:after="240" w:line="240" w:lineRule="auto"/>
        <w:ind w:left="720" w:right="-286" w:hanging="720"/>
        <w:jc w:val="both"/>
        <w:rPr>
          <w:sz w:val="23"/>
          <w:szCs w:val="23"/>
          <w:lang w:val="fr-FR"/>
        </w:rPr>
      </w:pPr>
      <w:r w:rsidRPr="00F11DFF">
        <w:rPr>
          <w:b/>
          <w:lang w:val="fr-FR"/>
        </w:rPr>
        <w:t>6.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Base </w:t>
      </w:r>
      <w:proofErr w:type="gramStart"/>
      <w:r w:rsidRPr="00F11DFF">
        <w:rPr>
          <w:b/>
          <w:lang w:val="fr-FR"/>
        </w:rPr>
        <w:t>juridique: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article 167, paragraphe 5, du traité sur le fonctionnement de l'Union européenne</w:t>
      </w:r>
    </w:p>
    <w:p w:rsidR="00F11DFF" w:rsidRPr="00F11DFF" w:rsidRDefault="00F11DFF" w:rsidP="00F11DFF">
      <w:pPr>
        <w:spacing w:after="240" w:line="240" w:lineRule="auto"/>
        <w:ind w:left="720" w:right="-286" w:hanging="720"/>
        <w:jc w:val="both"/>
        <w:rPr>
          <w:lang w:val="fr-FR"/>
        </w:rPr>
      </w:pPr>
      <w:r w:rsidRPr="00F11DFF">
        <w:rPr>
          <w:b/>
          <w:lang w:val="fr-FR"/>
        </w:rPr>
        <w:t>7.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Commission parlementaire </w:t>
      </w:r>
      <w:proofErr w:type="gramStart"/>
      <w:r w:rsidRPr="00F11DFF">
        <w:rPr>
          <w:b/>
          <w:lang w:val="fr-FR"/>
        </w:rPr>
        <w:t>compétente: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commission de la culture et de l’éducation (CULT)</w:t>
      </w:r>
    </w:p>
    <w:p w:rsidR="00F11DFF" w:rsidRPr="00F11DFF" w:rsidRDefault="00F11DFF" w:rsidP="00F11DFF">
      <w:pPr>
        <w:spacing w:after="240" w:line="240" w:lineRule="auto"/>
        <w:ind w:left="720" w:right="-286" w:hanging="720"/>
        <w:jc w:val="both"/>
        <w:rPr>
          <w:lang w:val="fr-FR"/>
        </w:rPr>
      </w:pPr>
      <w:r w:rsidRPr="00F11DFF">
        <w:rPr>
          <w:b/>
          <w:lang w:val="fr-FR"/>
        </w:rPr>
        <w:t>8.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Position de la </w:t>
      </w:r>
      <w:proofErr w:type="gramStart"/>
      <w:r w:rsidRPr="00F11DFF">
        <w:rPr>
          <w:b/>
          <w:lang w:val="fr-FR"/>
        </w:rPr>
        <w:t>Commission: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la Commission peut accepter tous les amendements entérinés par l’accord politique.</w:t>
      </w:r>
    </w:p>
    <w:p w:rsidR="00F11DFF" w:rsidRPr="00F11DFF" w:rsidRDefault="00F11DFF" w:rsidP="00F11DFF">
      <w:pPr>
        <w:spacing w:after="240" w:line="240" w:lineRule="auto"/>
        <w:ind w:left="720" w:right="-286" w:hanging="720"/>
        <w:jc w:val="both"/>
        <w:rPr>
          <w:lang w:val="fr-FR"/>
        </w:rPr>
      </w:pPr>
      <w:r w:rsidRPr="00F11DFF">
        <w:rPr>
          <w:b/>
          <w:lang w:val="fr-FR"/>
        </w:rPr>
        <w:t>9.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Prévision quant à la modification de la </w:t>
      </w:r>
      <w:proofErr w:type="gramStart"/>
      <w:r w:rsidRPr="00F11DFF">
        <w:rPr>
          <w:b/>
          <w:lang w:val="fr-FR"/>
        </w:rPr>
        <w:t>proposition: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une proposition modifiée officielle n’est pas nécessaire dans la mesure où un accord est déjà intervenu entre le Parlement européen et le Conseil et a été approuvé par la Commission.</w:t>
      </w:r>
    </w:p>
    <w:p w:rsidR="00F11DFF" w:rsidRPr="00F11DFF" w:rsidRDefault="00F11DFF" w:rsidP="00F11DFF">
      <w:pPr>
        <w:spacing w:after="240" w:line="240" w:lineRule="auto"/>
        <w:ind w:left="720" w:right="-286" w:hanging="720"/>
        <w:jc w:val="both"/>
        <w:rPr>
          <w:lang w:val="fr-FR"/>
        </w:rPr>
      </w:pPr>
      <w:r w:rsidRPr="00F11DFF">
        <w:rPr>
          <w:b/>
          <w:lang w:val="fr-FR"/>
        </w:rPr>
        <w:t>10.</w:t>
      </w:r>
      <w:r w:rsidRPr="00F11DFF">
        <w:rPr>
          <w:lang w:val="fr-FR"/>
        </w:rPr>
        <w:tab/>
      </w:r>
      <w:r w:rsidRPr="00F11DFF">
        <w:rPr>
          <w:b/>
          <w:lang w:val="fr-FR"/>
        </w:rPr>
        <w:t xml:space="preserve">Prévision quant à l'adoption de la position du </w:t>
      </w:r>
      <w:proofErr w:type="gramStart"/>
      <w:r w:rsidRPr="00F11DFF">
        <w:rPr>
          <w:b/>
          <w:lang w:val="fr-FR"/>
        </w:rPr>
        <w:t>Conseil:</w:t>
      </w:r>
      <w:proofErr w:type="gramEnd"/>
      <w:r w:rsidRPr="00F11DFF">
        <w:rPr>
          <w:b/>
          <w:lang w:val="fr-FR"/>
        </w:rPr>
        <w:t xml:space="preserve"> </w:t>
      </w:r>
      <w:r w:rsidRPr="00F11DFF">
        <w:rPr>
          <w:lang w:val="fr-FR"/>
        </w:rPr>
        <w:t>un accord politique a été dégagé le 20 mars 2017. Le Conseil devrait adopter la proposition en tant que point «A» le 17 juillet 2017.</w:t>
      </w:r>
    </w:p>
    <w:p w:rsidR="00CD6294" w:rsidRPr="00F11DFF" w:rsidRDefault="00F11DFF" w:rsidP="00F11DFF">
      <w:pPr>
        <w:rPr>
          <w:lang w:val="fr-FR"/>
        </w:rPr>
      </w:pPr>
      <w:r w:rsidRPr="00F11DFF">
        <w:rPr>
          <w:lang w:val="fr-FR"/>
        </w:rPr>
        <w:br w:type="page"/>
      </w:r>
      <w:bookmarkStart w:id="0" w:name="_GoBack"/>
      <w:bookmarkEnd w:id="0"/>
    </w:p>
    <w:sectPr w:rsidR="00CD6294" w:rsidRPr="00F11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FF"/>
    <w:rsid w:val="00CD6294"/>
    <w:rsid w:val="00F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DB2E-6A08-4D06-8820-FD7ECAA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roparl.europa.eu/sides/getDoc.do?type=REPORT&amp;mode=XML&amp;reference=A8-2017-0061&amp;language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64B00A21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European Parliament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2017-09-06T14:35:00Z</dcterms:created>
  <dcterms:modified xsi:type="dcterms:W3CDTF">2017-09-06T14:40:00Z</dcterms:modified>
</cp:coreProperties>
</file>