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F5" w:rsidRPr="004250A9" w:rsidRDefault="00EF6AF5" w:rsidP="00EF6AF5">
      <w:pPr>
        <w:spacing w:after="240" w:line="240" w:lineRule="auto"/>
        <w:jc w:val="center"/>
        <w:rPr>
          <w:b/>
        </w:rPr>
      </w:pPr>
      <w:r w:rsidRPr="004250A9">
        <w:rPr>
          <w:rStyle w:val="Normal"/>
          <w:b/>
        </w:rPr>
        <w:t xml:space="preserve">ORDINARY LEGISLATIVE </w:t>
      </w:r>
      <w:r w:rsidRPr="004250A9">
        <w:rPr>
          <w:rStyle w:val="Normal"/>
          <w:b/>
          <w:caps/>
        </w:rPr>
        <w:t>procedure</w:t>
      </w:r>
      <w:r w:rsidRPr="004250A9">
        <w:rPr>
          <w:rStyle w:val="Normal"/>
          <w:b/>
        </w:rPr>
        <w:t xml:space="preserve"> – First reading</w:t>
      </w:r>
    </w:p>
    <w:p w:rsidR="00EF6AF5" w:rsidRPr="004250A9" w:rsidRDefault="00EF6AF5" w:rsidP="00EF6AF5">
      <w:pPr>
        <w:pStyle w:val="Default"/>
        <w:spacing w:after="600"/>
        <w:jc w:val="center"/>
        <w:rPr>
          <w:b/>
          <w:bCs/>
        </w:rPr>
      </w:pPr>
      <w:r w:rsidRPr="004250A9">
        <w:rPr>
          <w:b/>
        </w:rPr>
        <w:t>Follow-up to the European Parliament legislative resolution of 1 June 2017 on</w:t>
      </w:r>
      <w:r w:rsidRPr="004250A9">
        <w:br/>
      </w:r>
      <w:r w:rsidRPr="004250A9">
        <w:rPr>
          <w:b/>
        </w:rPr>
        <w:t>the proposal for a regulation of the European Parliament and of the Council amending Regulation (EC) No 1683/1995 of 29 May 1995</w:t>
      </w:r>
      <w:r w:rsidRPr="004250A9">
        <w:rPr>
          <w:b/>
          <w:sz w:val="23"/>
        </w:rPr>
        <w:t xml:space="preserve"> laying down a </w:t>
      </w:r>
      <w:r w:rsidRPr="004250A9">
        <w:rPr>
          <w:b/>
        </w:rPr>
        <w:t>uniform format for visas</w:t>
      </w:r>
    </w:p>
    <w:p w:rsidR="00EF6AF5" w:rsidRPr="004250A9" w:rsidRDefault="00EF6AF5" w:rsidP="00EF6AF5">
      <w:pPr>
        <w:spacing w:after="600" w:line="240" w:lineRule="auto"/>
        <w:jc w:val="center"/>
        <w:rPr>
          <w:b/>
          <w:szCs w:val="24"/>
        </w:rPr>
      </w:pPr>
      <w:r w:rsidRPr="004250A9">
        <w:rPr>
          <w:rStyle w:val="Normal"/>
          <w:b/>
        </w:rPr>
        <w:t>2015/0134 (COD)</w:t>
      </w:r>
    </w:p>
    <w:p w:rsidR="00EF6AF5" w:rsidRPr="004250A9" w:rsidRDefault="00EF6AF5" w:rsidP="00EF6AF5">
      <w:pPr>
        <w:spacing w:after="240" w:line="240" w:lineRule="auto"/>
        <w:ind w:left="567" w:hanging="567"/>
        <w:jc w:val="both"/>
      </w:pPr>
      <w:r w:rsidRPr="004250A9">
        <w:rPr>
          <w:rStyle w:val="Normal"/>
          <w:b/>
        </w:rPr>
        <w:t>1.</w:t>
      </w:r>
      <w:r w:rsidRPr="004250A9">
        <w:rPr>
          <w:rStyle w:val="Normal"/>
          <w:b/>
        </w:rPr>
        <w:tab/>
        <w:t xml:space="preserve">Rapporteur: </w:t>
      </w:r>
      <w:r w:rsidRPr="004250A9">
        <w:rPr>
          <w:rStyle w:val="Normal"/>
        </w:rPr>
        <w:t>Sylvia-Yvonne KAUFMANN (S&amp;D/DE)</w:t>
      </w:r>
    </w:p>
    <w:p w:rsidR="00EF6AF5" w:rsidRPr="004250A9" w:rsidRDefault="00EF6AF5" w:rsidP="00EF6AF5">
      <w:pPr>
        <w:spacing w:after="240" w:line="240" w:lineRule="auto"/>
        <w:ind w:left="567" w:hanging="567"/>
        <w:jc w:val="both"/>
        <w:rPr>
          <w:b/>
        </w:rPr>
      </w:pPr>
      <w:r w:rsidRPr="004250A9">
        <w:rPr>
          <w:rStyle w:val="Normal"/>
          <w:b/>
        </w:rPr>
        <w:t>2.</w:t>
      </w:r>
      <w:r w:rsidRPr="004250A9">
        <w:rPr>
          <w:rStyle w:val="Normal"/>
          <w:b/>
        </w:rPr>
        <w:tab/>
        <w:t xml:space="preserve">EP reference number: </w:t>
      </w:r>
      <w:r w:rsidRPr="004250A9">
        <w:rPr>
          <w:rStyle w:val="Normal"/>
        </w:rPr>
        <w:t xml:space="preserve">A8-0028/2016 / </w:t>
      </w:r>
      <w:r w:rsidRPr="004250A9">
        <w:rPr>
          <w:rStyle w:val="contents"/>
        </w:rPr>
        <w:t>P8_TA-</w:t>
      </w:r>
      <w:proofErr w:type="gramStart"/>
      <w:r w:rsidRPr="004250A9">
        <w:rPr>
          <w:rStyle w:val="contents"/>
        </w:rPr>
        <w:t>PROV(</w:t>
      </w:r>
      <w:proofErr w:type="gramEnd"/>
      <w:r w:rsidRPr="004250A9">
        <w:rPr>
          <w:rStyle w:val="contents"/>
        </w:rPr>
        <w:t>2017)0237</w:t>
      </w:r>
    </w:p>
    <w:p w:rsidR="00EF6AF5" w:rsidRPr="004250A9" w:rsidRDefault="00EF6AF5" w:rsidP="00EF6AF5">
      <w:pPr>
        <w:spacing w:after="240" w:line="240" w:lineRule="auto"/>
        <w:ind w:left="567" w:hanging="567"/>
        <w:jc w:val="both"/>
      </w:pPr>
      <w:r w:rsidRPr="004250A9">
        <w:rPr>
          <w:rStyle w:val="Normal"/>
          <w:b/>
        </w:rPr>
        <w:t>3.</w:t>
      </w:r>
      <w:r w:rsidRPr="004250A9">
        <w:rPr>
          <w:rStyle w:val="Normal"/>
          <w:b/>
        </w:rPr>
        <w:tab/>
        <w:t xml:space="preserve">Date of adoption of the resolution: </w:t>
      </w:r>
      <w:r w:rsidRPr="004250A9">
        <w:rPr>
          <w:rStyle w:val="Normal"/>
        </w:rPr>
        <w:t>1 June 2017</w:t>
      </w:r>
    </w:p>
    <w:p w:rsidR="00EF6AF5" w:rsidRPr="004250A9" w:rsidRDefault="00EF6AF5" w:rsidP="00EF6AF5">
      <w:pPr>
        <w:spacing w:after="240" w:line="240" w:lineRule="auto"/>
        <w:ind w:left="567" w:hanging="567"/>
        <w:jc w:val="both"/>
      </w:pPr>
      <w:r w:rsidRPr="004250A9">
        <w:rPr>
          <w:rStyle w:val="Normal"/>
          <w:b/>
        </w:rPr>
        <w:t>4.</w:t>
      </w:r>
      <w:r w:rsidRPr="004250A9">
        <w:rPr>
          <w:rStyle w:val="Normal"/>
          <w:b/>
        </w:rPr>
        <w:tab/>
        <w:t xml:space="preserve">Subject: </w:t>
      </w:r>
      <w:r w:rsidRPr="004250A9">
        <w:rPr>
          <w:rStyle w:val="Normal"/>
        </w:rPr>
        <w:t xml:space="preserve">The aim of the Commission proposal was to replace the picture in the annex of Regulation (EC) No 1683/95 with a new one, revising its design and security features, as the current format of the visa sticker dates back more than 20 years and its security </w:t>
      </w:r>
      <w:proofErr w:type="gramStart"/>
      <w:r w:rsidRPr="004250A9">
        <w:rPr>
          <w:rStyle w:val="Normal"/>
        </w:rPr>
        <w:t>is compromised</w:t>
      </w:r>
      <w:proofErr w:type="gramEnd"/>
      <w:r w:rsidRPr="004250A9">
        <w:rPr>
          <w:rStyle w:val="Normal"/>
        </w:rPr>
        <w:t>.</w:t>
      </w:r>
    </w:p>
    <w:p w:rsidR="00EF6AF5" w:rsidRPr="004250A9" w:rsidRDefault="00EF6AF5" w:rsidP="00EF6AF5">
      <w:pPr>
        <w:spacing w:after="240" w:line="240" w:lineRule="auto"/>
        <w:ind w:left="567" w:hanging="567"/>
        <w:jc w:val="both"/>
      </w:pPr>
      <w:r w:rsidRPr="004250A9">
        <w:rPr>
          <w:rStyle w:val="Normal"/>
          <w:b/>
        </w:rPr>
        <w:t>5.</w:t>
      </w:r>
      <w:r w:rsidRPr="004250A9">
        <w:rPr>
          <w:rStyle w:val="Normal"/>
          <w:b/>
        </w:rPr>
        <w:tab/>
      </w:r>
      <w:proofErr w:type="spellStart"/>
      <w:r w:rsidRPr="004250A9">
        <w:rPr>
          <w:rStyle w:val="Normal"/>
          <w:b/>
        </w:rPr>
        <w:t>Interinstitutional</w:t>
      </w:r>
      <w:proofErr w:type="spellEnd"/>
      <w:r w:rsidRPr="004250A9">
        <w:rPr>
          <w:rStyle w:val="Normal"/>
          <w:b/>
        </w:rPr>
        <w:t xml:space="preserve"> reference number: </w:t>
      </w:r>
      <w:r w:rsidRPr="004250A9">
        <w:rPr>
          <w:rStyle w:val="Normal"/>
        </w:rPr>
        <w:t>2015/0134 (COD)</w:t>
      </w:r>
    </w:p>
    <w:p w:rsidR="00EF6AF5" w:rsidRPr="004250A9" w:rsidRDefault="00EF6AF5" w:rsidP="00EF6AF5">
      <w:pPr>
        <w:spacing w:after="240" w:line="240" w:lineRule="auto"/>
        <w:ind w:left="567" w:hanging="567"/>
        <w:jc w:val="both"/>
      </w:pPr>
      <w:r w:rsidRPr="004250A9">
        <w:rPr>
          <w:rStyle w:val="Normal"/>
          <w:b/>
        </w:rPr>
        <w:t>6.</w:t>
      </w:r>
      <w:r w:rsidRPr="004250A9">
        <w:rPr>
          <w:rStyle w:val="Normal"/>
          <w:b/>
        </w:rPr>
        <w:tab/>
        <w:t xml:space="preserve">Legal basis: </w:t>
      </w:r>
      <w:r w:rsidRPr="004250A9">
        <w:rPr>
          <w:rStyle w:val="Normal"/>
        </w:rPr>
        <w:t>Article 77(2</w:t>
      </w:r>
      <w:proofErr w:type="gramStart"/>
      <w:r w:rsidRPr="004250A9">
        <w:rPr>
          <w:rStyle w:val="Normal"/>
        </w:rPr>
        <w:t>)(</w:t>
      </w:r>
      <w:proofErr w:type="gramEnd"/>
      <w:r w:rsidRPr="004250A9">
        <w:rPr>
          <w:rStyle w:val="Normal"/>
        </w:rPr>
        <w:t>a) of the</w:t>
      </w:r>
      <w:r w:rsidRPr="004250A9">
        <w:rPr>
          <w:rStyle w:val="Normal"/>
          <w:b/>
        </w:rPr>
        <w:t xml:space="preserve"> </w:t>
      </w:r>
      <w:r w:rsidRPr="004250A9">
        <w:rPr>
          <w:rStyle w:val="Normal"/>
        </w:rPr>
        <w:t>Treaty on the Functioning of the EU</w:t>
      </w:r>
    </w:p>
    <w:p w:rsidR="00EF6AF5" w:rsidRPr="004250A9" w:rsidRDefault="00EF6AF5" w:rsidP="00EF6AF5">
      <w:pPr>
        <w:spacing w:after="240" w:line="240" w:lineRule="auto"/>
        <w:ind w:left="567" w:hanging="567"/>
        <w:jc w:val="both"/>
      </w:pPr>
      <w:r w:rsidRPr="004250A9">
        <w:rPr>
          <w:rStyle w:val="Normal"/>
          <w:b/>
        </w:rPr>
        <w:t>7.</w:t>
      </w:r>
      <w:r w:rsidRPr="004250A9">
        <w:rPr>
          <w:rStyle w:val="Normal"/>
          <w:b/>
        </w:rPr>
        <w:tab/>
        <w:t xml:space="preserve">Competent Parliamentary Committee: </w:t>
      </w:r>
      <w:r w:rsidRPr="004250A9">
        <w:rPr>
          <w:rStyle w:val="Normal"/>
        </w:rPr>
        <w:t xml:space="preserve">Committee on </w:t>
      </w:r>
      <w:hyperlink r:id="rId4" w:tgtFrame="_blank" w:tooltip="Civil Liberties, Justice and Home Affairs" w:history="1">
        <w:r w:rsidRPr="004250A9">
          <w:rPr>
            <w:rStyle w:val="Normal"/>
          </w:rPr>
          <w:t>Civil Liberties, Justice and Home Affairs</w:t>
        </w:r>
      </w:hyperlink>
      <w:r w:rsidRPr="004250A9">
        <w:rPr>
          <w:rStyle w:val="Normal"/>
        </w:rPr>
        <w:t xml:space="preserve"> (LIBE)</w:t>
      </w:r>
    </w:p>
    <w:p w:rsidR="00EF6AF5" w:rsidRPr="004250A9" w:rsidRDefault="00EF6AF5" w:rsidP="00EF6AF5">
      <w:pPr>
        <w:spacing w:after="240" w:line="240" w:lineRule="auto"/>
        <w:ind w:left="567" w:hanging="567"/>
        <w:jc w:val="both"/>
      </w:pPr>
      <w:r w:rsidRPr="004250A9">
        <w:rPr>
          <w:rStyle w:val="Normal"/>
          <w:b/>
        </w:rPr>
        <w:t>8.</w:t>
      </w:r>
      <w:r w:rsidRPr="004250A9">
        <w:rPr>
          <w:rStyle w:val="Normal"/>
          <w:b/>
        </w:rPr>
        <w:tab/>
        <w:t xml:space="preserve">Commission's position: </w:t>
      </w:r>
      <w:r w:rsidRPr="004250A9">
        <w:rPr>
          <w:rStyle w:val="Normal"/>
        </w:rPr>
        <w:t xml:space="preserve">Due to divergent views on the legal basis between the Council Legal Service and the Commission regarding the participation of the United Kingdom and Ireland in this measure, the negotiations </w:t>
      </w:r>
      <w:proofErr w:type="gramStart"/>
      <w:r w:rsidRPr="004250A9">
        <w:rPr>
          <w:rStyle w:val="Normal"/>
        </w:rPr>
        <w:t>were blocked</w:t>
      </w:r>
      <w:proofErr w:type="gramEnd"/>
      <w:r w:rsidRPr="004250A9">
        <w:rPr>
          <w:rStyle w:val="Normal"/>
        </w:rPr>
        <w:t xml:space="preserve"> for nearly two years. A compromise agreement </w:t>
      </w:r>
      <w:proofErr w:type="gramStart"/>
      <w:r w:rsidRPr="004250A9">
        <w:rPr>
          <w:rStyle w:val="Normal"/>
        </w:rPr>
        <w:t>was recently achieved</w:t>
      </w:r>
      <w:proofErr w:type="gramEnd"/>
      <w:r w:rsidRPr="004250A9">
        <w:rPr>
          <w:rStyle w:val="Normal"/>
        </w:rPr>
        <w:t xml:space="preserve"> by which the Commission would enter into appropriate arrangements with Ireland and the United Kingdom for providing them with the technical specifications for producing the (new) visa sticker as concerns their national visas. These </w:t>
      </w:r>
      <w:proofErr w:type="gramStart"/>
      <w:r w:rsidRPr="004250A9">
        <w:rPr>
          <w:rStyle w:val="Normal"/>
        </w:rPr>
        <w:t>will be provided</w:t>
      </w:r>
      <w:proofErr w:type="gramEnd"/>
      <w:r w:rsidRPr="004250A9">
        <w:rPr>
          <w:rStyle w:val="Normal"/>
        </w:rPr>
        <w:t xml:space="preserve"> upon request, and Ireland and the United Kingdom have to bear the respective costs if these are not covered by their contribution to the Community budget (administrative costs). The United Kingdom has already signalled that it will not make use of this arrangement.</w:t>
      </w:r>
    </w:p>
    <w:p w:rsidR="00EF6AF5" w:rsidRPr="004250A9" w:rsidRDefault="00EF6AF5" w:rsidP="00EF6AF5">
      <w:pPr>
        <w:spacing w:after="240" w:line="240" w:lineRule="auto"/>
        <w:ind w:left="567" w:hanging="567"/>
        <w:jc w:val="both"/>
      </w:pPr>
      <w:r w:rsidRPr="004250A9">
        <w:rPr>
          <w:rStyle w:val="Normal"/>
          <w:b/>
        </w:rPr>
        <w:t>9.</w:t>
      </w:r>
      <w:r w:rsidRPr="004250A9">
        <w:rPr>
          <w:rStyle w:val="Normal"/>
          <w:b/>
        </w:rPr>
        <w:tab/>
        <w:t xml:space="preserve">Outlook for amendment of the proposal: </w:t>
      </w:r>
      <w:r w:rsidRPr="004250A9">
        <w:rPr>
          <w:rStyle w:val="Normal"/>
          <w:color w:val="000000"/>
        </w:rPr>
        <w:t>There is no need for a formal modified proposal, as there is already agreement between the European Parliament and Council.</w:t>
      </w:r>
    </w:p>
    <w:p w:rsidR="00EF6AF5" w:rsidRPr="004250A9" w:rsidRDefault="00EF6AF5" w:rsidP="00EF6AF5">
      <w:pPr>
        <w:spacing w:after="240" w:line="240" w:lineRule="auto"/>
        <w:ind w:left="567" w:hanging="567"/>
        <w:jc w:val="both"/>
      </w:pPr>
      <w:r w:rsidRPr="004250A9">
        <w:rPr>
          <w:rStyle w:val="Normal"/>
          <w:b/>
        </w:rPr>
        <w:t>10.</w:t>
      </w:r>
      <w:r w:rsidRPr="004250A9">
        <w:rPr>
          <w:rStyle w:val="Normal"/>
          <w:b/>
        </w:rPr>
        <w:tab/>
        <w:t xml:space="preserve">Outlook for the adoption of Council's position: </w:t>
      </w:r>
      <w:r w:rsidRPr="004250A9">
        <w:rPr>
          <w:rStyle w:val="Normal"/>
        </w:rPr>
        <w:t xml:space="preserve">Following the plenary vote on the political compromise by the co-legislators on 1 June 2017, the Regulation was endorsed as an "I" item by </w:t>
      </w:r>
      <w:proofErr w:type="spellStart"/>
      <w:r w:rsidRPr="004250A9">
        <w:rPr>
          <w:rStyle w:val="Normal"/>
        </w:rPr>
        <w:t>Coreper</w:t>
      </w:r>
      <w:proofErr w:type="spellEnd"/>
      <w:r w:rsidRPr="004250A9">
        <w:rPr>
          <w:rStyle w:val="Normal"/>
        </w:rPr>
        <w:t xml:space="preserve"> on 12 June 2017 and adopted as an "</w:t>
      </w:r>
      <w:proofErr w:type="gramStart"/>
      <w:r w:rsidRPr="004250A9">
        <w:rPr>
          <w:rStyle w:val="Normal"/>
        </w:rPr>
        <w:t>A</w:t>
      </w:r>
      <w:proofErr w:type="gramEnd"/>
      <w:r w:rsidRPr="004250A9">
        <w:rPr>
          <w:rStyle w:val="Normal"/>
        </w:rPr>
        <w:t>" item by the General Affairs Council on 20 June 2017.</w:t>
      </w:r>
    </w:p>
    <w:p w:rsidR="00CD6294" w:rsidRDefault="00EF6AF5" w:rsidP="00EF6AF5">
      <w:r w:rsidRPr="004250A9">
        <w:br w:type="page"/>
      </w:r>
      <w:bookmarkStart w:id="0" w:name="_GoBack"/>
      <w:bookmarkEnd w:id="0"/>
    </w:p>
    <w:sectPr w:rsidR="00CD6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F5"/>
    <w:rsid w:val="00CD6294"/>
    <w:rsid w:val="00EF6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6354A-FFD7-4520-891B-8900AF76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s">
    <w:name w:val="contents"/>
    <w:basedOn w:val="DefaultParagraphFont"/>
    <w:rsid w:val="00EF6AF5"/>
  </w:style>
  <w:style w:type="paragraph" w:customStyle="1" w:styleId="Default">
    <w:name w:val="Default"/>
    <w:rsid w:val="00EF6AF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roparl.europa.eu/committees/en/libe/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64B00A21</Template>
  <TotalTime>0</TotalTime>
  <Pages>2</Pages>
  <Words>355</Words>
  <Characters>2029</Characters>
  <Application>Microsoft Office Word</Application>
  <DocSecurity>0</DocSecurity>
  <Lines>16</Lines>
  <Paragraphs>4</Paragraphs>
  <ScaleCrop>false</ScaleCrop>
  <Company>European Parliament</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2017-09-06T14:28:00Z</dcterms:created>
  <dcterms:modified xsi:type="dcterms:W3CDTF">2017-09-06T14:31:00Z</dcterms:modified>
</cp:coreProperties>
</file>