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AC" w:rsidRPr="00631172" w:rsidRDefault="006147AC" w:rsidP="006147AC">
      <w:pPr>
        <w:spacing w:after="600"/>
        <w:jc w:val="center"/>
        <w:rPr>
          <w:rFonts w:ascii="Times New Roman" w:hAnsi="Times New Roman"/>
          <w:b/>
          <w:color w:val="000000"/>
          <w:lang w:val="fr-FR"/>
        </w:rPr>
      </w:pPr>
      <w:r w:rsidRPr="00631172">
        <w:rPr>
          <w:rFonts w:ascii="Times New Roman" w:hAnsi="Times New Roman"/>
          <w:b/>
          <w:lang w:val="fr-FR"/>
        </w:rPr>
        <w:t xml:space="preserve">Suite donnée à la </w:t>
      </w:r>
      <w:r w:rsidRPr="00631172">
        <w:rPr>
          <w:rFonts w:ascii="Times New Roman" w:hAnsi="Times New Roman"/>
          <w:b/>
          <w:color w:val="000000"/>
          <w:lang w:val="fr-FR"/>
        </w:rPr>
        <w:t>résolution du Parlement européen du 17 mai 2017 sur</w:t>
      </w:r>
      <w:r w:rsidRPr="00631172">
        <w:rPr>
          <w:rFonts w:ascii="Times New Roman" w:hAnsi="Times New Roman"/>
          <w:b/>
          <w:color w:val="000000"/>
          <w:lang w:val="fr-FR"/>
        </w:rPr>
        <w:br/>
        <w:t>le règlement délégué (UE) de la Commission du 24 mars 2017 portant modification du règlement délégué (UE) 2016/1675 complétant la directive (UE) 2015/849 du Parlement européen et du Conseil en ce qui concerne la suppression du Guyana du tableau figurant au point I de l’annexe et l’ajout de l’Éthiopie à ce tableau</w:t>
      </w:r>
    </w:p>
    <w:p w:rsidR="006147AC" w:rsidRPr="00631172" w:rsidRDefault="006147AC" w:rsidP="006147AC">
      <w:pPr>
        <w:spacing w:after="600"/>
        <w:jc w:val="center"/>
        <w:rPr>
          <w:rFonts w:ascii="Times New Roman" w:hAnsi="Times New Roman"/>
          <w:b/>
          <w:color w:val="000000"/>
          <w:lang w:val="fr-FR"/>
        </w:rPr>
      </w:pPr>
      <w:r w:rsidRPr="00631172">
        <w:rPr>
          <w:rFonts w:ascii="Times New Roman" w:hAnsi="Times New Roman"/>
          <w:b/>
          <w:color w:val="000000"/>
          <w:lang w:val="fr-FR"/>
        </w:rPr>
        <w:t>2017/2634 (DEA)</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1.</w:t>
      </w:r>
      <w:r w:rsidRPr="00631172">
        <w:rPr>
          <w:rFonts w:ascii="Times New Roman" w:hAnsi="Times New Roman"/>
          <w:lang w:val="fr-FR"/>
        </w:rPr>
        <w:tab/>
      </w:r>
      <w:r w:rsidRPr="00631172">
        <w:rPr>
          <w:rFonts w:ascii="Times New Roman" w:hAnsi="Times New Roman"/>
          <w:b/>
          <w:lang w:val="fr-FR"/>
        </w:rPr>
        <w:t>Résolution présentée,</w:t>
      </w:r>
      <w:r w:rsidRPr="00631172">
        <w:rPr>
          <w:rFonts w:ascii="Times New Roman" w:hAnsi="Times New Roman"/>
          <w:lang w:val="fr-FR"/>
        </w:rPr>
        <w:t xml:space="preserve"> </w:t>
      </w:r>
      <w:r w:rsidRPr="00631172">
        <w:rPr>
          <w:rFonts w:ascii="Times New Roman" w:hAnsi="Times New Roman"/>
          <w:b/>
          <w:lang w:val="fr-FR"/>
        </w:rPr>
        <w:t>conformément à l’article 105, paragraphe 3,</w:t>
      </w:r>
      <w:r w:rsidRPr="00631172">
        <w:rPr>
          <w:rFonts w:ascii="Times New Roman" w:hAnsi="Times New Roman"/>
          <w:lang w:val="fr-FR"/>
        </w:rPr>
        <w:t xml:space="preserve"> </w:t>
      </w:r>
      <w:r w:rsidRPr="00631172">
        <w:rPr>
          <w:rFonts w:ascii="Times New Roman" w:hAnsi="Times New Roman"/>
          <w:b/>
          <w:lang w:val="fr-FR"/>
        </w:rPr>
        <w:t>du règlement du Parlement européen, au nom de la commission des affaires économiques et monétaires (ECON) et de la commission des libertés civiles, de la justice et des affaires intérieures (LIBE)</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2.</w:t>
      </w:r>
      <w:r w:rsidRPr="00631172">
        <w:rPr>
          <w:rFonts w:ascii="Times New Roman" w:hAnsi="Times New Roman"/>
          <w:lang w:val="fr-FR"/>
        </w:rPr>
        <w:tab/>
      </w:r>
      <w:r w:rsidRPr="00631172">
        <w:rPr>
          <w:rFonts w:ascii="Times New Roman" w:hAnsi="Times New Roman"/>
          <w:b/>
          <w:lang w:val="fr-FR"/>
        </w:rPr>
        <w:t>Numéro de référence du PE:</w:t>
      </w:r>
      <w:r w:rsidRPr="00631172">
        <w:rPr>
          <w:rFonts w:ascii="Times New Roman" w:hAnsi="Times New Roman"/>
          <w:color w:val="000000"/>
          <w:lang w:val="fr-FR"/>
        </w:rPr>
        <w:t xml:space="preserve"> B8-0294/2017 / P8_TA-PROV(2017)0213</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3.</w:t>
      </w:r>
      <w:r w:rsidRPr="00631172">
        <w:rPr>
          <w:rFonts w:ascii="Times New Roman" w:hAnsi="Times New Roman"/>
          <w:lang w:val="fr-FR"/>
        </w:rPr>
        <w:tab/>
      </w:r>
      <w:r w:rsidRPr="00631172">
        <w:rPr>
          <w:rFonts w:ascii="Times New Roman" w:hAnsi="Times New Roman"/>
          <w:b/>
          <w:lang w:val="fr-FR"/>
        </w:rPr>
        <w:t>Date d’adoption de la résolution:</w:t>
      </w:r>
      <w:r w:rsidRPr="00631172">
        <w:rPr>
          <w:rFonts w:ascii="Times New Roman" w:hAnsi="Times New Roman"/>
          <w:lang w:val="fr-FR"/>
        </w:rPr>
        <w:t xml:space="preserve"> 17 mai 2017</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4.</w:t>
      </w:r>
      <w:r w:rsidRPr="00631172">
        <w:rPr>
          <w:rFonts w:ascii="Times New Roman" w:hAnsi="Times New Roman"/>
          <w:lang w:val="fr-FR"/>
        </w:rPr>
        <w:tab/>
      </w:r>
      <w:r w:rsidRPr="00631172">
        <w:rPr>
          <w:rFonts w:ascii="Times New Roman" w:hAnsi="Times New Roman"/>
          <w:b/>
          <w:lang w:val="fr-FR"/>
        </w:rPr>
        <w:t>Objet:</w:t>
      </w:r>
      <w:r w:rsidRPr="00631172">
        <w:rPr>
          <w:rFonts w:ascii="Times New Roman" w:hAnsi="Times New Roman"/>
          <w:lang w:val="fr-FR"/>
        </w:rPr>
        <w:t xml:space="preserve"> rejet par le Parlement européen du règlement délégué de la Commission portant modification de la liste des pays tiers à haut risque établie par l'UE</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5.</w:t>
      </w:r>
      <w:r w:rsidRPr="00631172">
        <w:rPr>
          <w:rFonts w:ascii="Times New Roman" w:hAnsi="Times New Roman"/>
          <w:lang w:val="fr-FR"/>
        </w:rPr>
        <w:tab/>
      </w:r>
      <w:r w:rsidRPr="00631172">
        <w:rPr>
          <w:rFonts w:ascii="Times New Roman" w:hAnsi="Times New Roman"/>
          <w:b/>
          <w:lang w:val="fr-FR"/>
        </w:rPr>
        <w:t>Commission parlementaire compétente:</w:t>
      </w:r>
      <w:r w:rsidRPr="00631172">
        <w:rPr>
          <w:rFonts w:ascii="Times New Roman" w:hAnsi="Times New Roman"/>
          <w:lang w:val="fr-FR"/>
        </w:rPr>
        <w:t xml:space="preserve"> commission des affaires économiques et monétaires (ECON) et commission des libertés civiles, de la justice et des affaires intérieures (LIBE)</w:t>
      </w:r>
    </w:p>
    <w:p w:rsidR="006147AC" w:rsidRPr="00631172" w:rsidRDefault="006147AC" w:rsidP="006147AC">
      <w:pPr>
        <w:ind w:left="567" w:hanging="567"/>
        <w:rPr>
          <w:rFonts w:ascii="Times New Roman" w:hAnsi="Times New Roman"/>
          <w:lang w:val="fr-FR"/>
        </w:rPr>
      </w:pPr>
      <w:r w:rsidRPr="00631172">
        <w:rPr>
          <w:rFonts w:ascii="Times New Roman" w:hAnsi="Times New Roman"/>
          <w:b/>
          <w:lang w:val="fr-FR"/>
        </w:rPr>
        <w:t>6.</w:t>
      </w:r>
      <w:r w:rsidRPr="00631172">
        <w:rPr>
          <w:rFonts w:ascii="Times New Roman" w:hAnsi="Times New Roman"/>
          <w:lang w:val="fr-FR"/>
        </w:rPr>
        <w:tab/>
      </w:r>
      <w:r w:rsidRPr="00631172">
        <w:rPr>
          <w:rFonts w:ascii="Times New Roman" w:hAnsi="Times New Roman"/>
          <w:b/>
          <w:lang w:val="fr-FR"/>
        </w:rPr>
        <w:t>Analyse/évaluation succincte de la résolution et des demandes qu’elle contient:</w:t>
      </w:r>
    </w:p>
    <w:p w:rsidR="006147AC" w:rsidRPr="00631172" w:rsidRDefault="006147AC" w:rsidP="006147AC">
      <w:pPr>
        <w:rPr>
          <w:rFonts w:ascii="Times New Roman" w:hAnsi="Times New Roman"/>
          <w:lang w:val="fr-FR"/>
        </w:rPr>
      </w:pPr>
      <w:r w:rsidRPr="00631172">
        <w:rPr>
          <w:rFonts w:ascii="Times New Roman" w:hAnsi="Times New Roman"/>
          <w:lang w:val="fr-FR"/>
        </w:rPr>
        <w:t>Dans sa résolution, le Parlement européen:</w:t>
      </w:r>
    </w:p>
    <w:p w:rsidR="006147AC" w:rsidRPr="00631172" w:rsidRDefault="006147AC" w:rsidP="006147AC">
      <w:pPr>
        <w:spacing w:after="120"/>
        <w:ind w:left="567" w:hanging="567"/>
        <w:rPr>
          <w:rFonts w:ascii="Times New Roman" w:hAnsi="Times New Roman"/>
          <w:lang w:val="fr-FR"/>
        </w:rPr>
      </w:pPr>
      <w:r w:rsidRPr="00631172">
        <w:rPr>
          <w:rFonts w:ascii="Times New Roman" w:hAnsi="Times New Roman"/>
          <w:lang w:val="fr-FR"/>
        </w:rPr>
        <w:t>-</w:t>
      </w:r>
      <w:r w:rsidRPr="00631172">
        <w:rPr>
          <w:rFonts w:ascii="Times New Roman" w:hAnsi="Times New Roman"/>
          <w:lang w:val="fr-FR"/>
        </w:rPr>
        <w:tab/>
        <w:t>rejette le règlement délégué qui modifie la liste des pays tiers à haut risque établie par l'UE en supprimant un pays et en ajoutant un autre;</w:t>
      </w:r>
    </w:p>
    <w:p w:rsidR="006147AC" w:rsidRPr="00631172" w:rsidRDefault="006147AC" w:rsidP="006147AC">
      <w:pPr>
        <w:spacing w:after="120"/>
        <w:ind w:left="567" w:hanging="567"/>
        <w:rPr>
          <w:rFonts w:ascii="Times New Roman" w:hAnsi="Times New Roman"/>
          <w:lang w:val="fr-FR"/>
        </w:rPr>
      </w:pPr>
      <w:r w:rsidRPr="00631172">
        <w:rPr>
          <w:rFonts w:ascii="Times New Roman" w:hAnsi="Times New Roman"/>
          <w:lang w:val="fr-FR"/>
        </w:rPr>
        <w:t>-</w:t>
      </w:r>
      <w:r w:rsidRPr="00631172">
        <w:rPr>
          <w:rFonts w:ascii="Times New Roman" w:hAnsi="Times New Roman"/>
          <w:lang w:val="fr-FR"/>
        </w:rPr>
        <w:tab/>
        <w:t>rappelle que l’évaluation de la Commission repose sur un processus autonome, qui doit être mené de façon approfondie et impartiale et examiner tous les pays tiers suivant les mêmes critères, lesquels sont définis à l’article 9 de la directive (UE) 2015/849 – sans se limiter à reprendre les listes émises par le groupe d’action financière (GAFI);</w:t>
      </w:r>
    </w:p>
    <w:p w:rsidR="006147AC" w:rsidRPr="00631172" w:rsidRDefault="006147AC" w:rsidP="006147AC">
      <w:pPr>
        <w:spacing w:after="120"/>
        <w:ind w:left="567" w:hanging="567"/>
        <w:rPr>
          <w:rFonts w:ascii="Times New Roman" w:hAnsi="Times New Roman"/>
          <w:lang w:val="fr-FR"/>
        </w:rPr>
      </w:pPr>
      <w:r w:rsidRPr="00631172">
        <w:rPr>
          <w:rFonts w:ascii="Times New Roman" w:hAnsi="Times New Roman"/>
          <w:lang w:val="fr-FR"/>
        </w:rPr>
        <w:t>-</w:t>
      </w:r>
      <w:r w:rsidRPr="00631172">
        <w:rPr>
          <w:rFonts w:ascii="Times New Roman" w:hAnsi="Times New Roman"/>
          <w:lang w:val="fr-FR"/>
        </w:rPr>
        <w:tab/>
        <w:t>compte sur la Commission pour mener sa propre évaluation et ne pas dépendre uniquement des sources d’information extérieures;</w:t>
      </w:r>
    </w:p>
    <w:p w:rsidR="006147AC" w:rsidRPr="00631172" w:rsidRDefault="006147AC" w:rsidP="006147AC">
      <w:pPr>
        <w:spacing w:after="120"/>
        <w:ind w:left="567" w:hanging="567"/>
        <w:rPr>
          <w:rFonts w:ascii="Times New Roman" w:hAnsi="Times New Roman"/>
          <w:lang w:val="fr-FR"/>
        </w:rPr>
      </w:pPr>
      <w:r w:rsidRPr="00631172">
        <w:rPr>
          <w:rFonts w:ascii="Times New Roman" w:hAnsi="Times New Roman"/>
          <w:lang w:val="fr-FR"/>
        </w:rPr>
        <w:t>-</w:t>
      </w:r>
      <w:r w:rsidRPr="00631172">
        <w:rPr>
          <w:rFonts w:ascii="Times New Roman" w:hAnsi="Times New Roman"/>
          <w:lang w:val="fr-FR"/>
        </w:rPr>
        <w:tab/>
        <w:t>attend un engagement plus ferme de la Commission articulé autour d’objectifs ambitieux et prédéfinis (feuille de route par exemple) afin de relayer clairement la volonté commune des institutions de lutter contre le blanchiment de capitaux, la fraude fiscale et le financement du terrorisme;</w:t>
      </w:r>
    </w:p>
    <w:p w:rsidR="006147AC" w:rsidRPr="00631172" w:rsidRDefault="006147AC" w:rsidP="006147AC">
      <w:pPr>
        <w:spacing w:after="120"/>
        <w:ind w:left="567" w:hanging="567"/>
        <w:rPr>
          <w:rFonts w:ascii="Times New Roman" w:hAnsi="Times New Roman"/>
          <w:lang w:val="fr-FR"/>
        </w:rPr>
      </w:pPr>
      <w:r w:rsidRPr="00631172">
        <w:rPr>
          <w:rFonts w:ascii="Times New Roman" w:hAnsi="Times New Roman"/>
          <w:lang w:val="fr-FR"/>
        </w:rPr>
        <w:t>-</w:t>
      </w:r>
      <w:r w:rsidRPr="00631172">
        <w:rPr>
          <w:rFonts w:ascii="Times New Roman" w:hAnsi="Times New Roman"/>
          <w:lang w:val="fr-FR"/>
        </w:rPr>
        <w:tab/>
        <w:t>demande à la Commission de présenter un nouvel acte délégué qui tienne compte de ses préoccupations, incluant une feuille de route permettant de parvenir à un processus d’évaluation autonome.</w:t>
      </w:r>
    </w:p>
    <w:p w:rsidR="006147AC" w:rsidRPr="00631172" w:rsidRDefault="006147AC" w:rsidP="006147AC">
      <w:pPr>
        <w:spacing w:before="240"/>
        <w:ind w:left="567" w:hanging="567"/>
        <w:rPr>
          <w:rFonts w:ascii="Times New Roman" w:hAnsi="Times New Roman"/>
          <w:b/>
          <w:lang w:val="fr-FR"/>
        </w:rPr>
      </w:pPr>
      <w:r w:rsidRPr="00631172">
        <w:rPr>
          <w:rFonts w:ascii="Times New Roman" w:hAnsi="Times New Roman"/>
          <w:b/>
          <w:lang w:val="fr-FR"/>
        </w:rPr>
        <w:t>7.</w:t>
      </w:r>
      <w:r w:rsidRPr="00631172">
        <w:rPr>
          <w:rFonts w:ascii="Times New Roman" w:hAnsi="Times New Roman"/>
          <w:lang w:val="fr-FR"/>
        </w:rPr>
        <w:tab/>
      </w:r>
      <w:r w:rsidRPr="00631172">
        <w:rPr>
          <w:rFonts w:ascii="Times New Roman" w:hAnsi="Times New Roman"/>
          <w:b/>
          <w:lang w:val="fr-FR"/>
        </w:rPr>
        <w:t>Réponse à ces demandes et aperçu des mesures que la Commission a prises ou envisage de prendre:</w:t>
      </w:r>
    </w:p>
    <w:p w:rsidR="006147AC" w:rsidRPr="00631172" w:rsidRDefault="006147AC" w:rsidP="006147AC">
      <w:pPr>
        <w:spacing w:after="120"/>
        <w:rPr>
          <w:rFonts w:ascii="Times New Roman" w:hAnsi="Times New Roman"/>
          <w:lang w:val="fr-FR"/>
        </w:rPr>
      </w:pPr>
      <w:r w:rsidRPr="00631172">
        <w:rPr>
          <w:rFonts w:ascii="Times New Roman" w:hAnsi="Times New Roman"/>
          <w:lang w:val="fr-FR"/>
        </w:rPr>
        <w:t>La Commission a porté la plus grande attention aux préoccupations exprimées par le Parlement européen. Le 28 juin 2017, elle a transmis au Parlement européen et au Conseil une feuille de route concernant une nouvelle méthodologie pour l’évaluation par l’Union des pays tiers à haut risque au titre de la directive (UE) 2015/849 relative à la prévention de l’utilisation du système financier aux fins du blanchiment de capitaux et du financement du terrorisme.</w:t>
      </w:r>
    </w:p>
    <w:p w:rsidR="006147AC" w:rsidRPr="00631172" w:rsidRDefault="006147AC" w:rsidP="006147AC">
      <w:pPr>
        <w:spacing w:after="120"/>
        <w:rPr>
          <w:rFonts w:ascii="Times New Roman" w:hAnsi="Times New Roman"/>
          <w:lang w:val="fr-FR"/>
        </w:rPr>
      </w:pPr>
      <w:r w:rsidRPr="00631172">
        <w:rPr>
          <w:rFonts w:ascii="Times New Roman" w:hAnsi="Times New Roman"/>
          <w:lang w:val="fr-FR"/>
        </w:rPr>
        <w:t>La Commission élabore actuellement une nouvelle méthodologie qui ne repose pas exclusivement sur des sources d’information extérieures pour identifier les territoires qui présentent des carences stratégiques dans la lutte contre le blanchiment de capitaux et le financement du terrorisme. Elle travaille à une méthodologie détaillée en ce qui concerne le processus d’évaluation ultérieure décrit au début de la feuille de route, qui comprend la consultation du Parlement européen et des États membres. La Commission propose une approche graduelle qui cible en premier lieu les pays tiers prioritaires. Les pays prioritaires seraient sélectionnés sur la base de leur importance financière pour l’Union et de leur exposition aux risques de blanchiment de capitaux et de financement du terrorisme. La liste des juridictions fiscales non coopératives, commune à l'UE et qui sera publiée par le Conseil, serait prise en compte.</w:t>
      </w:r>
    </w:p>
    <w:p w:rsidR="006147AC" w:rsidRPr="00631172" w:rsidRDefault="006147AC" w:rsidP="006147AC">
      <w:pPr>
        <w:spacing w:after="120"/>
        <w:rPr>
          <w:rFonts w:ascii="Times New Roman" w:hAnsi="Times New Roman"/>
          <w:lang w:val="fr-FR"/>
        </w:rPr>
      </w:pPr>
      <w:r w:rsidRPr="00631172">
        <w:rPr>
          <w:rFonts w:ascii="Times New Roman" w:hAnsi="Times New Roman"/>
          <w:lang w:val="fr-FR"/>
        </w:rPr>
        <w:t>Les critères d’évaluation envisagés par la Commission supposeraient initialement que tout pays tiers qui présente un risque pour le système financier international, tel qu’identifié par le groupe d’action financière (GAFI), représente également un risque pour le marché intérieur de l’Union. Les autres pays seraient identifiés par la Commission et ajoutés à la liste convenue au niveau international en suivant le processus décrit dans la feuille de route. Les critères s’inspireraient des critères énumérés à l’article 9 de la directive sur la lutte contre le blanchiment des capitaux ainsi que d’autres critères pertinents. L’un d'eux pourrait être la transparence des bénéficiaires effectifs.</w:t>
      </w:r>
    </w:p>
    <w:p w:rsidR="006147AC" w:rsidRPr="00631172" w:rsidRDefault="006147AC" w:rsidP="006147AC">
      <w:pPr>
        <w:spacing w:after="120"/>
        <w:rPr>
          <w:rFonts w:ascii="Times New Roman" w:hAnsi="Times New Roman"/>
          <w:lang w:val="fr-FR"/>
        </w:rPr>
      </w:pPr>
      <w:r w:rsidRPr="00631172">
        <w:rPr>
          <w:rFonts w:ascii="Times New Roman" w:hAnsi="Times New Roman"/>
          <w:lang w:val="fr-FR"/>
        </w:rPr>
        <w:t>La Commission intensifiera également sa participation au GAFI et s’emploiera à améliorer la gouvernance du groupe conformément aux engagements qu’elle a pris à l’égard du Parlement européen le 24 mars 2017.</w:t>
      </w:r>
    </w:p>
    <w:p w:rsidR="000A2241" w:rsidRPr="00F25405" w:rsidRDefault="006147AC" w:rsidP="00F25405">
      <w:pPr>
        <w:spacing w:after="120"/>
        <w:rPr>
          <w:rStyle w:val="s2"/>
          <w:rFonts w:ascii="Times New Roman" w:hAnsi="Times New Roman"/>
          <w:color w:val="000000"/>
          <w:sz w:val="24"/>
          <w:szCs w:val="20"/>
          <w:highlight w:val="yellow"/>
          <w:u w:val="single"/>
          <w:lang w:val="fr-FR"/>
        </w:rPr>
      </w:pPr>
      <w:r w:rsidRPr="00631172">
        <w:rPr>
          <w:rFonts w:ascii="Times New Roman" w:hAnsi="Times New Roman"/>
          <w:lang w:val="fr-FR"/>
        </w:rPr>
        <w:t>Tant que l’évaluation selon la nouvelle méthodologie n’aura pas été menée à son terme, la Commission estime nécessaire de continuer à adopter des actes délégués afin de garantir que les règles de l’Union s’appliquent aux pays tiers considérés à haut risque au niveau international. Au vu de l’ampleur de l’interdépendance des systèmes financiers, le marché intérieur serait exposé à de graves risques de blanchiment de capitaux et de financement du terrorisme si l’Union n’ajoute pas à sa liste les territoires à haut risque identifiés par le GAFI.</w:t>
      </w:r>
      <w:bookmarkStart w:id="0" w:name="_GoBack"/>
      <w:bookmarkEnd w:id="0"/>
    </w:p>
    <w:sectPr w:rsidR="000A2241" w:rsidRPr="00F25405" w:rsidSect="00F25405">
      <w:footerReference w:type="even" r:id="rId9"/>
      <w:footerReference w:type="default" r:id="rId10"/>
      <w:pgSz w:w="11906" w:h="16838" w:code="9"/>
      <w:pgMar w:top="1021" w:right="1416" w:bottom="1021" w:left="1588" w:header="601"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2D" w:rsidRDefault="0000312D">
      <w:r>
        <w:separator/>
      </w:r>
    </w:p>
  </w:endnote>
  <w:endnote w:type="continuationSeparator" w:id="0">
    <w:p w:rsidR="0000312D" w:rsidRDefault="000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224E5" w:rsidRDefault="00722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405">
      <w:rPr>
        <w:rStyle w:val="PageNumber"/>
        <w:noProof/>
      </w:rPr>
      <w:t>2</w:t>
    </w:r>
    <w:r>
      <w:rPr>
        <w:rStyle w:val="PageNumber"/>
      </w:rPr>
      <w:fldChar w:fldCharType="end"/>
    </w:r>
  </w:p>
  <w:p w:rsidR="007224E5" w:rsidRPr="008A6623" w:rsidRDefault="007224E5"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2D" w:rsidRDefault="0000312D">
      <w:r>
        <w:separator/>
      </w:r>
    </w:p>
  </w:footnote>
  <w:footnote w:type="continuationSeparator" w:id="0">
    <w:p w:rsidR="0000312D" w:rsidRDefault="0000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713857"/>
    <w:multiLevelType w:val="hybridMultilevel"/>
    <w:tmpl w:val="5CA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7956F9"/>
    <w:multiLevelType w:val="hybridMultilevel"/>
    <w:tmpl w:val="A46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nsid w:val="10831A51"/>
    <w:multiLevelType w:val="hybridMultilevel"/>
    <w:tmpl w:val="BCAED5BC"/>
    <w:lvl w:ilvl="0" w:tplc="7C76505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0A36E1D"/>
    <w:multiLevelType w:val="hybridMultilevel"/>
    <w:tmpl w:val="C4DE145C"/>
    <w:lvl w:ilvl="0" w:tplc="F37097B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1244F22"/>
    <w:multiLevelType w:val="hybridMultilevel"/>
    <w:tmpl w:val="C7CA0EAA"/>
    <w:lvl w:ilvl="0" w:tplc="F37097B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2973D2"/>
    <w:multiLevelType w:val="hybridMultilevel"/>
    <w:tmpl w:val="9AA8AA5A"/>
    <w:lvl w:ilvl="0" w:tplc="C104331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EBC4717"/>
    <w:multiLevelType w:val="hybridMultilevel"/>
    <w:tmpl w:val="FC04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9015B4"/>
    <w:multiLevelType w:val="hybridMultilevel"/>
    <w:tmpl w:val="1E9CBA00"/>
    <w:lvl w:ilvl="0" w:tplc="08090011">
      <w:start w:val="1"/>
      <w:numFmt w:val="decimal"/>
      <w:lvlText w:val="%1)"/>
      <w:lvlJc w:val="left"/>
      <w:pPr>
        <w:ind w:left="360" w:hanging="360"/>
      </w:pPr>
      <w:rPr>
        <w:b/>
      </w:rPr>
    </w:lvl>
    <w:lvl w:ilvl="1" w:tplc="0809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67231E"/>
    <w:multiLevelType w:val="hybridMultilevel"/>
    <w:tmpl w:val="A908369A"/>
    <w:lvl w:ilvl="0" w:tplc="046A943C">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F6713D"/>
    <w:multiLevelType w:val="hybridMultilevel"/>
    <w:tmpl w:val="5E426CAE"/>
    <w:numStyleLink w:val="ImportedStyle2"/>
  </w:abstractNum>
  <w:abstractNum w:abstractNumId="22">
    <w:nsid w:val="26890A0E"/>
    <w:multiLevelType w:val="hybridMultilevel"/>
    <w:tmpl w:val="29BEB162"/>
    <w:numStyleLink w:val="ImportedStyle1"/>
  </w:abstractNum>
  <w:abstractNum w:abstractNumId="23">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4">
    <w:nsid w:val="2B646943"/>
    <w:multiLevelType w:val="hybridMultilevel"/>
    <w:tmpl w:val="3D64ABC4"/>
    <w:lvl w:ilvl="0" w:tplc="F37097B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5B2A44"/>
    <w:multiLevelType w:val="hybridMultilevel"/>
    <w:tmpl w:val="1EDC6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398C7FD4"/>
    <w:multiLevelType w:val="hybridMultilevel"/>
    <w:tmpl w:val="89F2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CC05091"/>
    <w:multiLevelType w:val="hybridMultilevel"/>
    <w:tmpl w:val="45624F7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5">
    <w:nsid w:val="3D2858D3"/>
    <w:multiLevelType w:val="hybridMultilevel"/>
    <w:tmpl w:val="5E0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266148"/>
    <w:multiLevelType w:val="hybridMultilevel"/>
    <w:tmpl w:val="C374B214"/>
    <w:lvl w:ilvl="0" w:tplc="08090001">
      <w:start w:val="1"/>
      <w:numFmt w:val="bullet"/>
      <w:lvlText w:val=""/>
      <w:lvlJc w:val="left"/>
      <w:pPr>
        <w:ind w:left="720" w:hanging="360"/>
      </w:pPr>
      <w:rPr>
        <w:rFonts w:ascii="Symbol" w:hAnsi="Symbol" w:hint="default"/>
      </w:rPr>
    </w:lvl>
    <w:lvl w:ilvl="1" w:tplc="3B9C2DE2">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BC5E55"/>
    <w:multiLevelType w:val="hybridMultilevel"/>
    <w:tmpl w:val="27EC1256"/>
    <w:lvl w:ilvl="0" w:tplc="F36036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16863B5"/>
    <w:multiLevelType w:val="hybridMultilevel"/>
    <w:tmpl w:val="E8A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F86434"/>
    <w:multiLevelType w:val="hybridMultilevel"/>
    <w:tmpl w:val="C92C109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286899"/>
    <w:multiLevelType w:val="hybridMultilevel"/>
    <w:tmpl w:val="2750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52275D97"/>
    <w:multiLevelType w:val="hybridMultilevel"/>
    <w:tmpl w:val="6356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456CF8"/>
    <w:multiLevelType w:val="hybridMultilevel"/>
    <w:tmpl w:val="C2F236DA"/>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59F3060D"/>
    <w:multiLevelType w:val="hybridMultilevel"/>
    <w:tmpl w:val="BA76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7">
    <w:nsid w:val="5DB707F0"/>
    <w:multiLevelType w:val="hybridMultilevel"/>
    <w:tmpl w:val="88106B78"/>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5E4B2C92"/>
    <w:multiLevelType w:val="hybridMultilevel"/>
    <w:tmpl w:val="2D52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8EC7604"/>
    <w:multiLevelType w:val="hybridMultilevel"/>
    <w:tmpl w:val="A2424CD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2">
    <w:nsid w:val="6985736D"/>
    <w:multiLevelType w:val="hybridMultilevel"/>
    <w:tmpl w:val="B812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5">
    <w:nsid w:val="72E34615"/>
    <w:multiLevelType w:val="hybridMultilevel"/>
    <w:tmpl w:val="9B40626E"/>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9">
    <w:nsid w:val="76A904E4"/>
    <w:multiLevelType w:val="hybridMultilevel"/>
    <w:tmpl w:val="264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1">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2">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C75797A"/>
    <w:multiLevelType w:val="hybridMultilevel"/>
    <w:tmpl w:val="1C7C1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65">
    <w:nsid w:val="7FF11907"/>
    <w:multiLevelType w:val="hybridMultilevel"/>
    <w:tmpl w:val="9F2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1"/>
  </w:num>
  <w:num w:numId="4">
    <w:abstractNumId w:val="23"/>
  </w:num>
  <w:num w:numId="5">
    <w:abstractNumId w:val="54"/>
  </w:num>
  <w:num w:numId="6">
    <w:abstractNumId w:val="16"/>
  </w:num>
  <w:num w:numId="7">
    <w:abstractNumId w:val="11"/>
  </w:num>
  <w:num w:numId="8">
    <w:abstractNumId w:val="30"/>
  </w:num>
  <w:num w:numId="9">
    <w:abstractNumId w:val="60"/>
  </w:num>
  <w:num w:numId="10">
    <w:abstractNumId w:val="46"/>
  </w:num>
  <w:num w:numId="11">
    <w:abstractNumId w:val="50"/>
  </w:num>
  <w:num w:numId="12">
    <w:abstractNumId w:val="20"/>
  </w:num>
  <w:num w:numId="13">
    <w:abstractNumId w:val="33"/>
  </w:num>
  <w:num w:numId="14">
    <w:abstractNumId w:val="57"/>
  </w:num>
  <w:num w:numId="15">
    <w:abstractNumId w:val="29"/>
  </w:num>
  <w:num w:numId="16">
    <w:abstractNumId w:val="64"/>
  </w:num>
  <w:num w:numId="17">
    <w:abstractNumId w:val="58"/>
  </w:num>
  <w:num w:numId="18">
    <w:abstractNumId w:val="41"/>
  </w:num>
  <w:num w:numId="19">
    <w:abstractNumId w:val="44"/>
  </w:num>
  <w:num w:numId="20">
    <w:abstractNumId w:val="53"/>
  </w:num>
  <w:num w:numId="21">
    <w:abstractNumId w:val="5"/>
  </w:num>
  <w:num w:numId="22">
    <w:abstractNumId w:val="6"/>
  </w:num>
  <w:num w:numId="23">
    <w:abstractNumId w:val="28"/>
  </w:num>
  <w:num w:numId="24">
    <w:abstractNumId w:val="51"/>
  </w:num>
  <w:num w:numId="25">
    <w:abstractNumId w:val="45"/>
  </w:num>
  <w:num w:numId="26">
    <w:abstractNumId w:val="48"/>
  </w:num>
  <w:num w:numId="27">
    <w:abstractNumId w:val="22"/>
  </w:num>
  <w:num w:numId="28">
    <w:abstractNumId w:val="62"/>
  </w:num>
  <w:num w:numId="29">
    <w:abstractNumId w:val="21"/>
  </w:num>
  <w:num w:numId="30">
    <w:abstractNumId w:val="21"/>
    <w:lvlOverride w:ilvl="0">
      <w:lvl w:ilvl="0" w:tplc="8C925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D63DF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6C802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FE00F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7EB1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94F0C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4383CD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9CDE1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8A323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9"/>
  </w:num>
  <w:num w:numId="32">
    <w:abstractNumId w:val="27"/>
  </w:num>
  <w:num w:numId="33">
    <w:abstractNumId w:val="56"/>
  </w:num>
  <w:num w:numId="34">
    <w:abstractNumId w:val="18"/>
  </w:num>
  <w:num w:numId="35">
    <w:abstractNumId w:val="65"/>
  </w:num>
  <w:num w:numId="36">
    <w:abstractNumId w:val="52"/>
  </w:num>
  <w:num w:numId="37">
    <w:abstractNumId w:val="34"/>
  </w:num>
  <w:num w:numId="38">
    <w:abstractNumId w:val="10"/>
  </w:num>
  <w:num w:numId="39">
    <w:abstractNumId w:val="49"/>
  </w:num>
  <w:num w:numId="40">
    <w:abstractNumId w:val="15"/>
  </w:num>
  <w:num w:numId="41">
    <w:abstractNumId w:val="3"/>
  </w:num>
  <w:num w:numId="42">
    <w:abstractNumId w:val="25"/>
  </w:num>
  <w:num w:numId="43">
    <w:abstractNumId w:val="23"/>
  </w:num>
  <w:num w:numId="44">
    <w:abstractNumId w:val="26"/>
  </w:num>
  <w:num w:numId="45">
    <w:abstractNumId w:val="59"/>
  </w:num>
  <w:num w:numId="46">
    <w:abstractNumId w:val="40"/>
  </w:num>
  <w:num w:numId="47">
    <w:abstractNumId w:val="38"/>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35"/>
  </w:num>
  <w:num w:numId="52">
    <w:abstractNumId w:val="31"/>
  </w:num>
  <w:num w:numId="53">
    <w:abstractNumId w:val="7"/>
  </w:num>
  <w:num w:numId="54">
    <w:abstractNumId w:val="32"/>
  </w:num>
  <w:num w:numId="55">
    <w:abstractNumId w:val="42"/>
  </w:num>
  <w:num w:numId="56">
    <w:abstractNumId w:val="4"/>
  </w:num>
  <w:num w:numId="57">
    <w:abstractNumId w:val="36"/>
  </w:num>
  <w:num w:numId="58">
    <w:abstractNumId w:val="17"/>
  </w:num>
  <w:num w:numId="59">
    <w:abstractNumId w:val="2"/>
  </w:num>
  <w:num w:numId="60">
    <w:abstractNumId w:val="63"/>
  </w:num>
  <w:num w:numId="61">
    <w:abstractNumId w:val="14"/>
  </w:num>
  <w:num w:numId="62">
    <w:abstractNumId w:val="9"/>
  </w:num>
  <w:num w:numId="63">
    <w:abstractNumId w:val="24"/>
  </w:num>
  <w:num w:numId="64">
    <w:abstractNumId w:val="43"/>
  </w:num>
  <w:num w:numId="65">
    <w:abstractNumId w:val="55"/>
  </w:num>
  <w:num w:numId="66">
    <w:abstractNumId w:val="8"/>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2D"/>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11"/>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C6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CE2"/>
    <w:rsid w:val="00030E3E"/>
    <w:rsid w:val="000310AA"/>
    <w:rsid w:val="000310E8"/>
    <w:rsid w:val="000315BD"/>
    <w:rsid w:val="00031793"/>
    <w:rsid w:val="00031A4C"/>
    <w:rsid w:val="00031BDA"/>
    <w:rsid w:val="00031CA2"/>
    <w:rsid w:val="00031D00"/>
    <w:rsid w:val="00031DA3"/>
    <w:rsid w:val="00031F4C"/>
    <w:rsid w:val="0003243D"/>
    <w:rsid w:val="0003254C"/>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15"/>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990"/>
    <w:rsid w:val="00055DF6"/>
    <w:rsid w:val="00055ED8"/>
    <w:rsid w:val="000568D7"/>
    <w:rsid w:val="000568F4"/>
    <w:rsid w:val="00056C02"/>
    <w:rsid w:val="00057006"/>
    <w:rsid w:val="00057285"/>
    <w:rsid w:val="0005742E"/>
    <w:rsid w:val="00057439"/>
    <w:rsid w:val="000574AC"/>
    <w:rsid w:val="0005753C"/>
    <w:rsid w:val="00057902"/>
    <w:rsid w:val="00057DAA"/>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3E84"/>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ED8"/>
    <w:rsid w:val="00074FA3"/>
    <w:rsid w:val="000751AC"/>
    <w:rsid w:val="000752DB"/>
    <w:rsid w:val="0007575A"/>
    <w:rsid w:val="00075847"/>
    <w:rsid w:val="00075908"/>
    <w:rsid w:val="00075952"/>
    <w:rsid w:val="00075C60"/>
    <w:rsid w:val="00077252"/>
    <w:rsid w:val="000776B1"/>
    <w:rsid w:val="000776D8"/>
    <w:rsid w:val="0007770B"/>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41"/>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371"/>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7BD"/>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68"/>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5C1"/>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DE0"/>
    <w:rsid w:val="00100F0B"/>
    <w:rsid w:val="00101071"/>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7E2"/>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4E5"/>
    <w:rsid w:val="00114568"/>
    <w:rsid w:val="0011485F"/>
    <w:rsid w:val="001148C2"/>
    <w:rsid w:val="00114954"/>
    <w:rsid w:val="00114C21"/>
    <w:rsid w:val="00115521"/>
    <w:rsid w:val="0011570B"/>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5F1"/>
    <w:rsid w:val="00135DC8"/>
    <w:rsid w:val="00135F3C"/>
    <w:rsid w:val="001361F1"/>
    <w:rsid w:val="001363F1"/>
    <w:rsid w:val="001364BC"/>
    <w:rsid w:val="00136660"/>
    <w:rsid w:val="001366A2"/>
    <w:rsid w:val="00136D26"/>
    <w:rsid w:val="001370BE"/>
    <w:rsid w:val="00137319"/>
    <w:rsid w:val="00137470"/>
    <w:rsid w:val="00137C3D"/>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2CC6"/>
    <w:rsid w:val="00143061"/>
    <w:rsid w:val="00143335"/>
    <w:rsid w:val="00143391"/>
    <w:rsid w:val="001438FC"/>
    <w:rsid w:val="00143DDE"/>
    <w:rsid w:val="00143F3D"/>
    <w:rsid w:val="0014413D"/>
    <w:rsid w:val="00145246"/>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565"/>
    <w:rsid w:val="0015095B"/>
    <w:rsid w:val="00150A4F"/>
    <w:rsid w:val="00150F85"/>
    <w:rsid w:val="00151028"/>
    <w:rsid w:val="0015144C"/>
    <w:rsid w:val="00151521"/>
    <w:rsid w:val="00151572"/>
    <w:rsid w:val="00151969"/>
    <w:rsid w:val="00151B26"/>
    <w:rsid w:val="00151F5E"/>
    <w:rsid w:val="00151F7E"/>
    <w:rsid w:val="001520FA"/>
    <w:rsid w:val="0015220F"/>
    <w:rsid w:val="00152AAE"/>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CE9"/>
    <w:rsid w:val="00154E3C"/>
    <w:rsid w:val="00155050"/>
    <w:rsid w:val="00155265"/>
    <w:rsid w:val="001559B7"/>
    <w:rsid w:val="00155DAE"/>
    <w:rsid w:val="0015615D"/>
    <w:rsid w:val="001561D4"/>
    <w:rsid w:val="00156301"/>
    <w:rsid w:val="001565BD"/>
    <w:rsid w:val="00156775"/>
    <w:rsid w:val="00156BB9"/>
    <w:rsid w:val="0015715A"/>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8B0"/>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0CA6"/>
    <w:rsid w:val="00171357"/>
    <w:rsid w:val="001713B6"/>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13B"/>
    <w:rsid w:val="00174654"/>
    <w:rsid w:val="001747EB"/>
    <w:rsid w:val="00174CD1"/>
    <w:rsid w:val="001750CD"/>
    <w:rsid w:val="0017512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BE8"/>
    <w:rsid w:val="00185CCB"/>
    <w:rsid w:val="00185D07"/>
    <w:rsid w:val="0018619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5E75"/>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303"/>
    <w:rsid w:val="001C25DA"/>
    <w:rsid w:val="001C2668"/>
    <w:rsid w:val="001C2D6D"/>
    <w:rsid w:val="001C2EEF"/>
    <w:rsid w:val="001C31B9"/>
    <w:rsid w:val="001C3321"/>
    <w:rsid w:val="001C394A"/>
    <w:rsid w:val="001C3D04"/>
    <w:rsid w:val="001C3EC5"/>
    <w:rsid w:val="001C4737"/>
    <w:rsid w:val="001C4833"/>
    <w:rsid w:val="001C48DA"/>
    <w:rsid w:val="001C4A99"/>
    <w:rsid w:val="001C4D23"/>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06"/>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CDC"/>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2D7"/>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4EB"/>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4A9"/>
    <w:rsid w:val="00253A58"/>
    <w:rsid w:val="00253F47"/>
    <w:rsid w:val="00253F7D"/>
    <w:rsid w:val="00253FB8"/>
    <w:rsid w:val="00254470"/>
    <w:rsid w:val="0025459C"/>
    <w:rsid w:val="002546A9"/>
    <w:rsid w:val="00254775"/>
    <w:rsid w:val="00254E58"/>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863"/>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1D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9AC"/>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6FB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C9C"/>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80B"/>
    <w:rsid w:val="003179CF"/>
    <w:rsid w:val="00317E3D"/>
    <w:rsid w:val="00320010"/>
    <w:rsid w:val="003201FF"/>
    <w:rsid w:val="00320682"/>
    <w:rsid w:val="00320862"/>
    <w:rsid w:val="00320881"/>
    <w:rsid w:val="003214CE"/>
    <w:rsid w:val="00321665"/>
    <w:rsid w:val="00321A5B"/>
    <w:rsid w:val="00321D00"/>
    <w:rsid w:val="00321D56"/>
    <w:rsid w:val="00321F48"/>
    <w:rsid w:val="00321F9A"/>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04F"/>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C4F"/>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38E"/>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0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3B"/>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961"/>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54"/>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A7"/>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1D6C"/>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5F"/>
    <w:rsid w:val="003D30D6"/>
    <w:rsid w:val="003D34E8"/>
    <w:rsid w:val="003D3A0C"/>
    <w:rsid w:val="003D3E70"/>
    <w:rsid w:val="003D41F2"/>
    <w:rsid w:val="003D4937"/>
    <w:rsid w:val="003D4B9D"/>
    <w:rsid w:val="003D4E2B"/>
    <w:rsid w:val="003D4F80"/>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9C1"/>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DB8"/>
    <w:rsid w:val="00415EE3"/>
    <w:rsid w:val="00415F40"/>
    <w:rsid w:val="0041604E"/>
    <w:rsid w:val="004161DD"/>
    <w:rsid w:val="004162C4"/>
    <w:rsid w:val="00416341"/>
    <w:rsid w:val="004168F3"/>
    <w:rsid w:val="004173EB"/>
    <w:rsid w:val="00417B31"/>
    <w:rsid w:val="0042018B"/>
    <w:rsid w:val="004203E3"/>
    <w:rsid w:val="0042055A"/>
    <w:rsid w:val="00420AC9"/>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E35"/>
    <w:rsid w:val="00430012"/>
    <w:rsid w:val="004302B7"/>
    <w:rsid w:val="0043054F"/>
    <w:rsid w:val="00430567"/>
    <w:rsid w:val="004308E5"/>
    <w:rsid w:val="004309E8"/>
    <w:rsid w:val="00430D5E"/>
    <w:rsid w:val="00430DFD"/>
    <w:rsid w:val="00431096"/>
    <w:rsid w:val="004322D4"/>
    <w:rsid w:val="00432570"/>
    <w:rsid w:val="0043269D"/>
    <w:rsid w:val="00432A76"/>
    <w:rsid w:val="00432F05"/>
    <w:rsid w:val="00432F2D"/>
    <w:rsid w:val="004330BC"/>
    <w:rsid w:val="00433783"/>
    <w:rsid w:val="0043396B"/>
    <w:rsid w:val="00433C0B"/>
    <w:rsid w:val="00434174"/>
    <w:rsid w:val="0043417D"/>
    <w:rsid w:val="0043433A"/>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7D0"/>
    <w:rsid w:val="00444B3D"/>
    <w:rsid w:val="00444C12"/>
    <w:rsid w:val="00444D1D"/>
    <w:rsid w:val="00444E76"/>
    <w:rsid w:val="00444EA8"/>
    <w:rsid w:val="00445040"/>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81"/>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1E1"/>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5E59"/>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D2"/>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1CA"/>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A55"/>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FB"/>
    <w:rsid w:val="004A713E"/>
    <w:rsid w:val="004A72C3"/>
    <w:rsid w:val="004A73E9"/>
    <w:rsid w:val="004A7680"/>
    <w:rsid w:val="004A77AA"/>
    <w:rsid w:val="004A77B4"/>
    <w:rsid w:val="004A79E6"/>
    <w:rsid w:val="004B028E"/>
    <w:rsid w:val="004B038D"/>
    <w:rsid w:val="004B06B6"/>
    <w:rsid w:val="004B08AF"/>
    <w:rsid w:val="004B0A36"/>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AE"/>
    <w:rsid w:val="004B5DB8"/>
    <w:rsid w:val="004B5F0D"/>
    <w:rsid w:val="004B60AC"/>
    <w:rsid w:val="004B612F"/>
    <w:rsid w:val="004B6485"/>
    <w:rsid w:val="004B6618"/>
    <w:rsid w:val="004B6819"/>
    <w:rsid w:val="004B6840"/>
    <w:rsid w:val="004B6B02"/>
    <w:rsid w:val="004B6B5A"/>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4B7"/>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E41"/>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2E6"/>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C39"/>
    <w:rsid w:val="004F1CFE"/>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52A"/>
    <w:rsid w:val="005008E5"/>
    <w:rsid w:val="005009E3"/>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C9F"/>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1E65"/>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815"/>
    <w:rsid w:val="00527995"/>
    <w:rsid w:val="00527B51"/>
    <w:rsid w:val="00527CA2"/>
    <w:rsid w:val="0053006E"/>
    <w:rsid w:val="005300DA"/>
    <w:rsid w:val="00530157"/>
    <w:rsid w:val="00530208"/>
    <w:rsid w:val="00530472"/>
    <w:rsid w:val="005308E1"/>
    <w:rsid w:val="00530CAC"/>
    <w:rsid w:val="00531062"/>
    <w:rsid w:val="005313E3"/>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1F4"/>
    <w:rsid w:val="00534343"/>
    <w:rsid w:val="00534644"/>
    <w:rsid w:val="00534757"/>
    <w:rsid w:val="00535205"/>
    <w:rsid w:val="00535232"/>
    <w:rsid w:val="00535388"/>
    <w:rsid w:val="005358B3"/>
    <w:rsid w:val="005359B9"/>
    <w:rsid w:val="00535B25"/>
    <w:rsid w:val="00535C32"/>
    <w:rsid w:val="00536069"/>
    <w:rsid w:val="0053617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2A4"/>
    <w:rsid w:val="005513E0"/>
    <w:rsid w:val="005514EE"/>
    <w:rsid w:val="005516B2"/>
    <w:rsid w:val="00551930"/>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7F"/>
    <w:rsid w:val="005606DA"/>
    <w:rsid w:val="005607B2"/>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09F2"/>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BD"/>
    <w:rsid w:val="005A3DA1"/>
    <w:rsid w:val="005A4403"/>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521"/>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12D"/>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131"/>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4ED8"/>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4"/>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866"/>
    <w:rsid w:val="005D5C1F"/>
    <w:rsid w:val="005D5D17"/>
    <w:rsid w:val="005D603E"/>
    <w:rsid w:val="005D60C9"/>
    <w:rsid w:val="005D60F7"/>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EA9"/>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8E6"/>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538"/>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18B"/>
    <w:rsid w:val="00603808"/>
    <w:rsid w:val="00603B73"/>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BDF"/>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7AC"/>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2B9"/>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172"/>
    <w:rsid w:val="006312CA"/>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05C"/>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94"/>
    <w:rsid w:val="00653E17"/>
    <w:rsid w:val="00654056"/>
    <w:rsid w:val="0065406F"/>
    <w:rsid w:val="00654090"/>
    <w:rsid w:val="00654280"/>
    <w:rsid w:val="006542F2"/>
    <w:rsid w:val="006543E4"/>
    <w:rsid w:val="006546BB"/>
    <w:rsid w:val="0065481D"/>
    <w:rsid w:val="00654A84"/>
    <w:rsid w:val="00654AB8"/>
    <w:rsid w:val="00654AD7"/>
    <w:rsid w:val="00654B50"/>
    <w:rsid w:val="00654B83"/>
    <w:rsid w:val="00654C56"/>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B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44"/>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CFA"/>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0D3"/>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CF2"/>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042"/>
    <w:rsid w:val="006C1729"/>
    <w:rsid w:val="006C1916"/>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013"/>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6C3"/>
    <w:rsid w:val="006D2ED4"/>
    <w:rsid w:val="006D2FF8"/>
    <w:rsid w:val="006D302A"/>
    <w:rsid w:val="006D30B2"/>
    <w:rsid w:val="006D35FD"/>
    <w:rsid w:val="006D371B"/>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472"/>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0F"/>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5CE8"/>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30C7"/>
    <w:rsid w:val="0070343A"/>
    <w:rsid w:val="007035D6"/>
    <w:rsid w:val="007035E8"/>
    <w:rsid w:val="007039BA"/>
    <w:rsid w:val="00703AFB"/>
    <w:rsid w:val="00703BAE"/>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756"/>
    <w:rsid w:val="00707D18"/>
    <w:rsid w:val="00707F91"/>
    <w:rsid w:val="00710129"/>
    <w:rsid w:val="00710736"/>
    <w:rsid w:val="00710F1F"/>
    <w:rsid w:val="007112F8"/>
    <w:rsid w:val="007114A5"/>
    <w:rsid w:val="00711AB9"/>
    <w:rsid w:val="00711D25"/>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4E5"/>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192"/>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49"/>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310"/>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3A5"/>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10"/>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08E"/>
    <w:rsid w:val="007713FB"/>
    <w:rsid w:val="00771AE2"/>
    <w:rsid w:val="00771BFA"/>
    <w:rsid w:val="00771C6C"/>
    <w:rsid w:val="00771D80"/>
    <w:rsid w:val="00771E2B"/>
    <w:rsid w:val="0077203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5BB"/>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098"/>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24D"/>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F2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2BF"/>
    <w:rsid w:val="007A3364"/>
    <w:rsid w:val="007A39CD"/>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CE"/>
    <w:rsid w:val="007A60E5"/>
    <w:rsid w:val="007A6309"/>
    <w:rsid w:val="007A64CF"/>
    <w:rsid w:val="007A6708"/>
    <w:rsid w:val="007A685F"/>
    <w:rsid w:val="007A6B94"/>
    <w:rsid w:val="007A6ED6"/>
    <w:rsid w:val="007A71D7"/>
    <w:rsid w:val="007A7600"/>
    <w:rsid w:val="007A7960"/>
    <w:rsid w:val="007A7B6F"/>
    <w:rsid w:val="007B0002"/>
    <w:rsid w:val="007B017D"/>
    <w:rsid w:val="007B01AF"/>
    <w:rsid w:val="007B06C1"/>
    <w:rsid w:val="007B075C"/>
    <w:rsid w:val="007B083D"/>
    <w:rsid w:val="007B09B4"/>
    <w:rsid w:val="007B09D1"/>
    <w:rsid w:val="007B1265"/>
    <w:rsid w:val="007B1A21"/>
    <w:rsid w:val="007B1ACD"/>
    <w:rsid w:val="007B21A9"/>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B04"/>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0FA"/>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5F79"/>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CFF"/>
    <w:rsid w:val="007E0F92"/>
    <w:rsid w:val="007E122B"/>
    <w:rsid w:val="007E1915"/>
    <w:rsid w:val="007E2202"/>
    <w:rsid w:val="007E225F"/>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05"/>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98C"/>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7C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CC6"/>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4FE6"/>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3EA"/>
    <w:rsid w:val="00843591"/>
    <w:rsid w:val="00843761"/>
    <w:rsid w:val="008438B6"/>
    <w:rsid w:val="00843AA6"/>
    <w:rsid w:val="00843E2B"/>
    <w:rsid w:val="00843FFE"/>
    <w:rsid w:val="0084406B"/>
    <w:rsid w:val="008443BA"/>
    <w:rsid w:val="0084458D"/>
    <w:rsid w:val="00844606"/>
    <w:rsid w:val="008446F6"/>
    <w:rsid w:val="00844AA5"/>
    <w:rsid w:val="008454C5"/>
    <w:rsid w:val="008458D1"/>
    <w:rsid w:val="00845939"/>
    <w:rsid w:val="00845AEA"/>
    <w:rsid w:val="00845C2E"/>
    <w:rsid w:val="00845D3D"/>
    <w:rsid w:val="00846069"/>
    <w:rsid w:val="008460AE"/>
    <w:rsid w:val="008462C7"/>
    <w:rsid w:val="0084644F"/>
    <w:rsid w:val="008464D2"/>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8DD"/>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E0"/>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AB4"/>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05"/>
    <w:rsid w:val="008714E6"/>
    <w:rsid w:val="0087151E"/>
    <w:rsid w:val="00871A9E"/>
    <w:rsid w:val="00871AF3"/>
    <w:rsid w:val="00871B95"/>
    <w:rsid w:val="00872461"/>
    <w:rsid w:val="008724E3"/>
    <w:rsid w:val="0087271B"/>
    <w:rsid w:val="00872BF7"/>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4E9"/>
    <w:rsid w:val="00875B1F"/>
    <w:rsid w:val="00875D8A"/>
    <w:rsid w:val="00875FD1"/>
    <w:rsid w:val="00875FFE"/>
    <w:rsid w:val="00876321"/>
    <w:rsid w:val="0087659D"/>
    <w:rsid w:val="00876731"/>
    <w:rsid w:val="00876797"/>
    <w:rsid w:val="008769B5"/>
    <w:rsid w:val="00876B80"/>
    <w:rsid w:val="00876E84"/>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C3"/>
    <w:rsid w:val="008A1392"/>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2A3"/>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C3F"/>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10"/>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9C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22"/>
    <w:rsid w:val="009020C2"/>
    <w:rsid w:val="00902760"/>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65B"/>
    <w:rsid w:val="00905775"/>
    <w:rsid w:val="00905939"/>
    <w:rsid w:val="0090594B"/>
    <w:rsid w:val="009059C1"/>
    <w:rsid w:val="00905A22"/>
    <w:rsid w:val="00905DB4"/>
    <w:rsid w:val="00906310"/>
    <w:rsid w:val="009064A7"/>
    <w:rsid w:val="00906817"/>
    <w:rsid w:val="009069DA"/>
    <w:rsid w:val="00906C6F"/>
    <w:rsid w:val="00906D85"/>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5E"/>
    <w:rsid w:val="00911A9D"/>
    <w:rsid w:val="00911BBF"/>
    <w:rsid w:val="00912489"/>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3D9"/>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6EE"/>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77E62"/>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470"/>
    <w:rsid w:val="00983580"/>
    <w:rsid w:val="009839A7"/>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4CB"/>
    <w:rsid w:val="0098673A"/>
    <w:rsid w:val="00986DA8"/>
    <w:rsid w:val="00986E12"/>
    <w:rsid w:val="0098705E"/>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14D"/>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6A"/>
    <w:rsid w:val="009A6CA4"/>
    <w:rsid w:val="009A6EA0"/>
    <w:rsid w:val="009A6FD9"/>
    <w:rsid w:val="009A6FF6"/>
    <w:rsid w:val="009A70AF"/>
    <w:rsid w:val="009A724D"/>
    <w:rsid w:val="009A727F"/>
    <w:rsid w:val="009A742A"/>
    <w:rsid w:val="009A7692"/>
    <w:rsid w:val="009A772C"/>
    <w:rsid w:val="009A794E"/>
    <w:rsid w:val="009A7C10"/>
    <w:rsid w:val="009A7CB6"/>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387"/>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68"/>
    <w:rsid w:val="009D2B9C"/>
    <w:rsid w:val="009D2BD0"/>
    <w:rsid w:val="009D2DE3"/>
    <w:rsid w:val="009D3718"/>
    <w:rsid w:val="009D38C0"/>
    <w:rsid w:val="009D3A3D"/>
    <w:rsid w:val="009D3B39"/>
    <w:rsid w:val="009D3C12"/>
    <w:rsid w:val="009D3C50"/>
    <w:rsid w:val="009D3D89"/>
    <w:rsid w:val="009D4016"/>
    <w:rsid w:val="009D4291"/>
    <w:rsid w:val="009D43EF"/>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066"/>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4A93"/>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ED5"/>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31B"/>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10"/>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2B3"/>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61"/>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6A"/>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D54"/>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241"/>
    <w:rsid w:val="00A8050B"/>
    <w:rsid w:val="00A80624"/>
    <w:rsid w:val="00A8094A"/>
    <w:rsid w:val="00A80A31"/>
    <w:rsid w:val="00A80C47"/>
    <w:rsid w:val="00A80FCE"/>
    <w:rsid w:val="00A81089"/>
    <w:rsid w:val="00A8111C"/>
    <w:rsid w:val="00A813B1"/>
    <w:rsid w:val="00A8184C"/>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4E"/>
    <w:rsid w:val="00A9216C"/>
    <w:rsid w:val="00A928CC"/>
    <w:rsid w:val="00A92A99"/>
    <w:rsid w:val="00A92B1E"/>
    <w:rsid w:val="00A92DBF"/>
    <w:rsid w:val="00A9343B"/>
    <w:rsid w:val="00A93688"/>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6FE9"/>
    <w:rsid w:val="00A97011"/>
    <w:rsid w:val="00A970D3"/>
    <w:rsid w:val="00A97346"/>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671"/>
    <w:rsid w:val="00AA3A33"/>
    <w:rsid w:val="00AA3AFC"/>
    <w:rsid w:val="00AA3CC0"/>
    <w:rsid w:val="00AA3EF2"/>
    <w:rsid w:val="00AA3F94"/>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1C1"/>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5DC"/>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69D"/>
    <w:rsid w:val="00AD081B"/>
    <w:rsid w:val="00AD084B"/>
    <w:rsid w:val="00AD0A55"/>
    <w:rsid w:val="00AD101C"/>
    <w:rsid w:val="00AD1295"/>
    <w:rsid w:val="00AD14C1"/>
    <w:rsid w:val="00AD16FC"/>
    <w:rsid w:val="00AD1741"/>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C65"/>
    <w:rsid w:val="00AD5E0C"/>
    <w:rsid w:val="00AD6123"/>
    <w:rsid w:val="00AD6845"/>
    <w:rsid w:val="00AD6851"/>
    <w:rsid w:val="00AD68C1"/>
    <w:rsid w:val="00AD6C00"/>
    <w:rsid w:val="00AD6C74"/>
    <w:rsid w:val="00AD7053"/>
    <w:rsid w:val="00AD706B"/>
    <w:rsid w:val="00AD730B"/>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3DA2"/>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FCB"/>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68"/>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544"/>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9D"/>
    <w:rsid w:val="00B15581"/>
    <w:rsid w:val="00B155AE"/>
    <w:rsid w:val="00B15A59"/>
    <w:rsid w:val="00B15D04"/>
    <w:rsid w:val="00B161E9"/>
    <w:rsid w:val="00B16354"/>
    <w:rsid w:val="00B16548"/>
    <w:rsid w:val="00B169DB"/>
    <w:rsid w:val="00B169F0"/>
    <w:rsid w:val="00B16AEC"/>
    <w:rsid w:val="00B16C7D"/>
    <w:rsid w:val="00B16EFC"/>
    <w:rsid w:val="00B17232"/>
    <w:rsid w:val="00B17491"/>
    <w:rsid w:val="00B1778C"/>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4BB"/>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6F1C"/>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BEC"/>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0F67"/>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19"/>
    <w:rsid w:val="00B5548E"/>
    <w:rsid w:val="00B55AC6"/>
    <w:rsid w:val="00B55D56"/>
    <w:rsid w:val="00B55F9E"/>
    <w:rsid w:val="00B55FBA"/>
    <w:rsid w:val="00B560F0"/>
    <w:rsid w:val="00B56134"/>
    <w:rsid w:val="00B566BA"/>
    <w:rsid w:val="00B569A4"/>
    <w:rsid w:val="00B569B8"/>
    <w:rsid w:val="00B570F1"/>
    <w:rsid w:val="00B5720D"/>
    <w:rsid w:val="00B57DC9"/>
    <w:rsid w:val="00B57E2F"/>
    <w:rsid w:val="00B57E3A"/>
    <w:rsid w:val="00B600BB"/>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186"/>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9CC"/>
    <w:rsid w:val="00B82A7D"/>
    <w:rsid w:val="00B82C01"/>
    <w:rsid w:val="00B82C1F"/>
    <w:rsid w:val="00B82CAB"/>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29"/>
    <w:rsid w:val="00B917C1"/>
    <w:rsid w:val="00B91D5A"/>
    <w:rsid w:val="00B91F97"/>
    <w:rsid w:val="00B921B0"/>
    <w:rsid w:val="00B9259E"/>
    <w:rsid w:val="00B927CB"/>
    <w:rsid w:val="00B92CB2"/>
    <w:rsid w:val="00B92DCC"/>
    <w:rsid w:val="00B92FE6"/>
    <w:rsid w:val="00B93044"/>
    <w:rsid w:val="00B935F8"/>
    <w:rsid w:val="00B93687"/>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1B5"/>
    <w:rsid w:val="00B96316"/>
    <w:rsid w:val="00B963DB"/>
    <w:rsid w:val="00B964E1"/>
    <w:rsid w:val="00B9652D"/>
    <w:rsid w:val="00B965FD"/>
    <w:rsid w:val="00B96766"/>
    <w:rsid w:val="00B96864"/>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17F"/>
    <w:rsid w:val="00BB0790"/>
    <w:rsid w:val="00BB0E11"/>
    <w:rsid w:val="00BB0F25"/>
    <w:rsid w:val="00BB0F4D"/>
    <w:rsid w:val="00BB1628"/>
    <w:rsid w:val="00BB1803"/>
    <w:rsid w:val="00BB1837"/>
    <w:rsid w:val="00BB1857"/>
    <w:rsid w:val="00BB18C4"/>
    <w:rsid w:val="00BB1B9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9A8"/>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552"/>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9D8"/>
    <w:rsid w:val="00BD6C37"/>
    <w:rsid w:val="00BD6DFD"/>
    <w:rsid w:val="00BD6FDD"/>
    <w:rsid w:val="00BD7460"/>
    <w:rsid w:val="00BD74BF"/>
    <w:rsid w:val="00BE0156"/>
    <w:rsid w:val="00BE05B9"/>
    <w:rsid w:val="00BE0AC6"/>
    <w:rsid w:val="00BE0C60"/>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B5A"/>
    <w:rsid w:val="00BE7CF2"/>
    <w:rsid w:val="00BE7DC5"/>
    <w:rsid w:val="00BF000B"/>
    <w:rsid w:val="00BF0046"/>
    <w:rsid w:val="00BF0052"/>
    <w:rsid w:val="00BF026E"/>
    <w:rsid w:val="00BF044C"/>
    <w:rsid w:val="00BF0757"/>
    <w:rsid w:val="00BF0A16"/>
    <w:rsid w:val="00BF0AB1"/>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6A4"/>
    <w:rsid w:val="00C14C63"/>
    <w:rsid w:val="00C14F48"/>
    <w:rsid w:val="00C151E3"/>
    <w:rsid w:val="00C152E3"/>
    <w:rsid w:val="00C154CD"/>
    <w:rsid w:val="00C15507"/>
    <w:rsid w:val="00C15671"/>
    <w:rsid w:val="00C158D3"/>
    <w:rsid w:val="00C158DA"/>
    <w:rsid w:val="00C160CD"/>
    <w:rsid w:val="00C165B2"/>
    <w:rsid w:val="00C16703"/>
    <w:rsid w:val="00C167EE"/>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7D2"/>
    <w:rsid w:val="00C35967"/>
    <w:rsid w:val="00C35D6A"/>
    <w:rsid w:val="00C35E06"/>
    <w:rsid w:val="00C35FB5"/>
    <w:rsid w:val="00C36132"/>
    <w:rsid w:val="00C36168"/>
    <w:rsid w:val="00C362BB"/>
    <w:rsid w:val="00C36535"/>
    <w:rsid w:val="00C3665A"/>
    <w:rsid w:val="00C367B2"/>
    <w:rsid w:val="00C36B06"/>
    <w:rsid w:val="00C36C89"/>
    <w:rsid w:val="00C36D14"/>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65D"/>
    <w:rsid w:val="00C42674"/>
    <w:rsid w:val="00C426D6"/>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1EB"/>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0FC"/>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0A"/>
    <w:rsid w:val="00C81331"/>
    <w:rsid w:val="00C81975"/>
    <w:rsid w:val="00C81BF0"/>
    <w:rsid w:val="00C81E5B"/>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904A8"/>
    <w:rsid w:val="00C90603"/>
    <w:rsid w:val="00C90DA1"/>
    <w:rsid w:val="00C90F11"/>
    <w:rsid w:val="00C9131E"/>
    <w:rsid w:val="00C915A0"/>
    <w:rsid w:val="00C9185A"/>
    <w:rsid w:val="00C91975"/>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A14"/>
    <w:rsid w:val="00CA1B6B"/>
    <w:rsid w:val="00CA1C6C"/>
    <w:rsid w:val="00CA1C94"/>
    <w:rsid w:val="00CA23ED"/>
    <w:rsid w:val="00CA24D9"/>
    <w:rsid w:val="00CA2634"/>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330"/>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896"/>
    <w:rsid w:val="00CB6A01"/>
    <w:rsid w:val="00CB6FA6"/>
    <w:rsid w:val="00CB7274"/>
    <w:rsid w:val="00CB72C9"/>
    <w:rsid w:val="00CB740D"/>
    <w:rsid w:val="00CB7483"/>
    <w:rsid w:val="00CB78B6"/>
    <w:rsid w:val="00CB7A5A"/>
    <w:rsid w:val="00CB7B22"/>
    <w:rsid w:val="00CB7C5C"/>
    <w:rsid w:val="00CB7DE0"/>
    <w:rsid w:val="00CC0543"/>
    <w:rsid w:val="00CC05D3"/>
    <w:rsid w:val="00CC0609"/>
    <w:rsid w:val="00CC071E"/>
    <w:rsid w:val="00CC083E"/>
    <w:rsid w:val="00CC1463"/>
    <w:rsid w:val="00CC151C"/>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61"/>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370"/>
    <w:rsid w:val="00CC67AF"/>
    <w:rsid w:val="00CC6897"/>
    <w:rsid w:val="00CC68DC"/>
    <w:rsid w:val="00CC6A7E"/>
    <w:rsid w:val="00CC6F8F"/>
    <w:rsid w:val="00CC745A"/>
    <w:rsid w:val="00CC7832"/>
    <w:rsid w:val="00CC783C"/>
    <w:rsid w:val="00CC7AB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2FA"/>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A9E"/>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B32"/>
    <w:rsid w:val="00CF2D06"/>
    <w:rsid w:val="00CF3014"/>
    <w:rsid w:val="00CF3315"/>
    <w:rsid w:val="00CF36BD"/>
    <w:rsid w:val="00CF3769"/>
    <w:rsid w:val="00CF3B78"/>
    <w:rsid w:val="00CF3C30"/>
    <w:rsid w:val="00CF4606"/>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2A5"/>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1C31"/>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B8"/>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799"/>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3AE"/>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10"/>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25A"/>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5A3"/>
    <w:rsid w:val="00D66CDA"/>
    <w:rsid w:val="00D66CDB"/>
    <w:rsid w:val="00D66EFF"/>
    <w:rsid w:val="00D66F39"/>
    <w:rsid w:val="00D67661"/>
    <w:rsid w:val="00D67710"/>
    <w:rsid w:val="00D677CA"/>
    <w:rsid w:val="00D67C18"/>
    <w:rsid w:val="00D70039"/>
    <w:rsid w:val="00D70318"/>
    <w:rsid w:val="00D70604"/>
    <w:rsid w:val="00D70631"/>
    <w:rsid w:val="00D708BC"/>
    <w:rsid w:val="00D709D6"/>
    <w:rsid w:val="00D70B9C"/>
    <w:rsid w:val="00D70C68"/>
    <w:rsid w:val="00D70C6E"/>
    <w:rsid w:val="00D70E1F"/>
    <w:rsid w:val="00D70E42"/>
    <w:rsid w:val="00D70EFA"/>
    <w:rsid w:val="00D711FF"/>
    <w:rsid w:val="00D714AE"/>
    <w:rsid w:val="00D7165F"/>
    <w:rsid w:val="00D717C5"/>
    <w:rsid w:val="00D71D84"/>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65E"/>
    <w:rsid w:val="00D8297C"/>
    <w:rsid w:val="00D82A80"/>
    <w:rsid w:val="00D831DD"/>
    <w:rsid w:val="00D832A1"/>
    <w:rsid w:val="00D832D6"/>
    <w:rsid w:val="00D83420"/>
    <w:rsid w:val="00D834ED"/>
    <w:rsid w:val="00D835DC"/>
    <w:rsid w:val="00D83753"/>
    <w:rsid w:val="00D83BC6"/>
    <w:rsid w:val="00D8406F"/>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4B67"/>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17"/>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9CF"/>
    <w:rsid w:val="00DE5C1E"/>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744"/>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1BD"/>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DF2"/>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751"/>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0F6"/>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424"/>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274"/>
    <w:rsid w:val="00E84526"/>
    <w:rsid w:val="00E846A9"/>
    <w:rsid w:val="00E84719"/>
    <w:rsid w:val="00E848C4"/>
    <w:rsid w:val="00E84A60"/>
    <w:rsid w:val="00E84F79"/>
    <w:rsid w:val="00E8511A"/>
    <w:rsid w:val="00E851A2"/>
    <w:rsid w:val="00E853C8"/>
    <w:rsid w:val="00E853F5"/>
    <w:rsid w:val="00E85449"/>
    <w:rsid w:val="00E859F1"/>
    <w:rsid w:val="00E85A91"/>
    <w:rsid w:val="00E85B5F"/>
    <w:rsid w:val="00E85BE3"/>
    <w:rsid w:val="00E85C82"/>
    <w:rsid w:val="00E85F3D"/>
    <w:rsid w:val="00E860D5"/>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EE"/>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C6"/>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050"/>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240"/>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E7CDA"/>
    <w:rsid w:val="00EF004A"/>
    <w:rsid w:val="00EF03FF"/>
    <w:rsid w:val="00EF04B5"/>
    <w:rsid w:val="00EF0973"/>
    <w:rsid w:val="00EF0BC4"/>
    <w:rsid w:val="00EF0F78"/>
    <w:rsid w:val="00EF1002"/>
    <w:rsid w:val="00EF1305"/>
    <w:rsid w:val="00EF14EB"/>
    <w:rsid w:val="00EF1613"/>
    <w:rsid w:val="00EF1786"/>
    <w:rsid w:val="00EF18CA"/>
    <w:rsid w:val="00EF199A"/>
    <w:rsid w:val="00EF1BF8"/>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4A8"/>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05"/>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D5"/>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F95"/>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0C0"/>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8C0"/>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26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2D46"/>
    <w:rsid w:val="00F62FC0"/>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9E"/>
    <w:rsid w:val="00F7381F"/>
    <w:rsid w:val="00F73B9B"/>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0C3"/>
    <w:rsid w:val="00F81434"/>
    <w:rsid w:val="00F81509"/>
    <w:rsid w:val="00F815A4"/>
    <w:rsid w:val="00F81671"/>
    <w:rsid w:val="00F81765"/>
    <w:rsid w:val="00F81814"/>
    <w:rsid w:val="00F818A9"/>
    <w:rsid w:val="00F81A9C"/>
    <w:rsid w:val="00F81B84"/>
    <w:rsid w:val="00F81CB7"/>
    <w:rsid w:val="00F81DCD"/>
    <w:rsid w:val="00F81E23"/>
    <w:rsid w:val="00F81F8D"/>
    <w:rsid w:val="00F81FC0"/>
    <w:rsid w:val="00F82192"/>
    <w:rsid w:val="00F821B5"/>
    <w:rsid w:val="00F821B7"/>
    <w:rsid w:val="00F822A0"/>
    <w:rsid w:val="00F8247F"/>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D34"/>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05"/>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1E"/>
    <w:rsid w:val="00FB7EF3"/>
    <w:rsid w:val="00FB7F6F"/>
    <w:rsid w:val="00FC0004"/>
    <w:rsid w:val="00FC0013"/>
    <w:rsid w:val="00FC00FE"/>
    <w:rsid w:val="00FC0193"/>
    <w:rsid w:val="00FC0DD5"/>
    <w:rsid w:val="00FC0E23"/>
    <w:rsid w:val="00FC0EEC"/>
    <w:rsid w:val="00FC13FD"/>
    <w:rsid w:val="00FC143F"/>
    <w:rsid w:val="00FC162E"/>
    <w:rsid w:val="00FC18B1"/>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9E4"/>
    <w:rsid w:val="00FC3E5D"/>
    <w:rsid w:val="00FC4058"/>
    <w:rsid w:val="00FC4146"/>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142"/>
    <w:rsid w:val="00FC720C"/>
    <w:rsid w:val="00FC73EB"/>
    <w:rsid w:val="00FD0BB7"/>
    <w:rsid w:val="00FD0CD2"/>
    <w:rsid w:val="00FD0E43"/>
    <w:rsid w:val="00FD0F39"/>
    <w:rsid w:val="00FD1555"/>
    <w:rsid w:val="00FD15B5"/>
    <w:rsid w:val="00FD16C9"/>
    <w:rsid w:val="00FD1856"/>
    <w:rsid w:val="00FD1A38"/>
    <w:rsid w:val="00FD1BD1"/>
    <w:rsid w:val="00FD1EA3"/>
    <w:rsid w:val="00FD1FBF"/>
    <w:rsid w:val="00FD2054"/>
    <w:rsid w:val="00FD20F4"/>
    <w:rsid w:val="00FD21B0"/>
    <w:rsid w:val="00FD2236"/>
    <w:rsid w:val="00FD22F7"/>
    <w:rsid w:val="00FD24E4"/>
    <w:rsid w:val="00FD2504"/>
    <w:rsid w:val="00FD2617"/>
    <w:rsid w:val="00FD275C"/>
    <w:rsid w:val="00FD2778"/>
    <w:rsid w:val="00FD2980"/>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8B8"/>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48C"/>
    <w:rsid w:val="00FE6A92"/>
    <w:rsid w:val="00FE6B9A"/>
    <w:rsid w:val="00FE6FB2"/>
    <w:rsid w:val="00FE7026"/>
    <w:rsid w:val="00FE738E"/>
    <w:rsid w:val="00FE7614"/>
    <w:rsid w:val="00FE76B0"/>
    <w:rsid w:val="00FE7B92"/>
    <w:rsid w:val="00FF0004"/>
    <w:rsid w:val="00FF013D"/>
    <w:rsid w:val="00FF0264"/>
    <w:rsid w:val="00FF037E"/>
    <w:rsid w:val="00FF04A0"/>
    <w:rsid w:val="00FF04CF"/>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Dot pt"/>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8"/>
      </w:numPr>
    </w:pPr>
  </w:style>
  <w:style w:type="character" w:customStyle="1" w:styleId="Hyperlink0">
    <w:name w:val="Hyperlink.0"/>
    <w:rsid w:val="004461F6"/>
    <w:rPr>
      <w:color w:val="0000FF"/>
      <w:u w:val="single" w:color="0000FF"/>
      <w:lang w:val="en-US"/>
    </w:rPr>
  </w:style>
  <w:style w:type="paragraph" w:customStyle="1" w:styleId="p2">
    <w:name w:val="p2"/>
    <w:basedOn w:val="Normal"/>
    <w:rsid w:val="000A2241"/>
    <w:pPr>
      <w:spacing w:after="0"/>
      <w:jc w:val="left"/>
    </w:pPr>
    <w:rPr>
      <w:rFonts w:ascii=".SF UI Text" w:eastAsia="Calibri" w:hAnsi=".SF UI Text"/>
      <w:color w:val="454545"/>
      <w:sz w:val="26"/>
      <w:szCs w:val="26"/>
    </w:rPr>
  </w:style>
  <w:style w:type="character" w:customStyle="1" w:styleId="s2">
    <w:name w:val="s2"/>
    <w:rsid w:val="000A2241"/>
    <w:rPr>
      <w:rFonts w:ascii=".SFUIText" w:hAnsi=".SFUIText" w:hint="default"/>
      <w:b w:val="0"/>
      <w:bCs w:val="0"/>
      <w:i w:val="0"/>
      <w:iCs w:val="0"/>
      <w:sz w:val="34"/>
      <w:szCs w:val="34"/>
    </w:rPr>
  </w:style>
  <w:style w:type="character" w:customStyle="1" w:styleId="HeaderChar2">
    <w:name w:val="Header Char2"/>
    <w:locked/>
    <w:rsid w:val="00A97346"/>
    <w:rPr>
      <w:rFonts w:ascii="Times New Roman" w:eastAsia="Times New Roman" w:hAnsi="Times New Roman" w:cs="Times New Roman"/>
      <w:sz w:val="24"/>
      <w:szCs w:val="20"/>
      <w:lang w:eastAsia="en-GB"/>
    </w:rPr>
  </w:style>
  <w:style w:type="paragraph" w:customStyle="1" w:styleId="Pa59">
    <w:name w:val="Pa59"/>
    <w:basedOn w:val="Default"/>
    <w:next w:val="Default"/>
    <w:uiPriority w:val="99"/>
    <w:rsid w:val="00473AD2"/>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473AD2"/>
    <w:rPr>
      <w:shd w:val="clear" w:color="auto" w:fill="FFFFFF"/>
    </w:rPr>
  </w:style>
  <w:style w:type="paragraph" w:customStyle="1" w:styleId="Corpsdutexte0">
    <w:name w:val="Corps du texte"/>
    <w:basedOn w:val="Normal"/>
    <w:link w:val="Corpsdutexte"/>
    <w:rsid w:val="00473AD2"/>
    <w:pPr>
      <w:shd w:val="clear" w:color="auto" w:fill="FFFFFF"/>
      <w:spacing w:before="960" w:after="420" w:line="0" w:lineRule="atLeast"/>
      <w:ind w:hanging="76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ImportedStyle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470">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23193582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0570993">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975334466">
      <w:bodyDiv w:val="1"/>
      <w:marLeft w:val="0"/>
      <w:marRight w:val="0"/>
      <w:marTop w:val="0"/>
      <w:marBottom w:val="0"/>
      <w:divBdr>
        <w:top w:val="none" w:sz="0" w:space="0" w:color="auto"/>
        <w:left w:val="none" w:sz="0" w:space="0" w:color="auto"/>
        <w:bottom w:val="none" w:sz="0" w:space="0" w:color="auto"/>
        <w:right w:val="none" w:sz="0" w:space="0" w:color="auto"/>
      </w:divBdr>
    </w:div>
    <w:div w:id="1217935861">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674841408">
      <w:bodyDiv w:val="1"/>
      <w:marLeft w:val="0"/>
      <w:marRight w:val="0"/>
      <w:marTop w:val="0"/>
      <w:marBottom w:val="0"/>
      <w:divBdr>
        <w:top w:val="none" w:sz="0" w:space="0" w:color="auto"/>
        <w:left w:val="none" w:sz="0" w:space="0" w:color="auto"/>
        <w:bottom w:val="none" w:sz="0" w:space="0" w:color="auto"/>
        <w:right w:val="none" w:sz="0" w:space="0" w:color="auto"/>
      </w:divBdr>
    </w:div>
    <w:div w:id="17242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7C9F-4C99-40FB-BBA5-D49C7839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2</Pages>
  <Words>814</Words>
  <Characters>4479</Characters>
  <Application>Microsoft Office Word</Application>
  <DocSecurity>0</DocSecurity>
  <PresentationFormat>Microsoft Word 8.0b</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5283</CharactersWithSpaces>
  <SharedDoc>false</SharedDoc>
  <HLinks>
    <vt:vector size="354" baseType="variant">
      <vt:variant>
        <vt:i4>1966087</vt:i4>
      </vt:variant>
      <vt:variant>
        <vt:i4>0</vt:i4>
      </vt:variant>
      <vt:variant>
        <vt:i4>0</vt:i4>
      </vt:variant>
      <vt:variant>
        <vt:i4>5</vt:i4>
      </vt:variant>
      <vt:variant>
        <vt:lpwstr>http://ec.europa.eu/research/participants/portal/desktop/en/opportunities/h2020/topics/smeinst-07-2016-2017.html</vt:lpwstr>
      </vt:variant>
      <vt:variant>
        <vt:lpwstr/>
      </vt:variant>
      <vt:variant>
        <vt:i4>1572888</vt:i4>
      </vt:variant>
      <vt:variant>
        <vt:i4>171</vt:i4>
      </vt:variant>
      <vt:variant>
        <vt:i4>0</vt:i4>
      </vt:variant>
      <vt:variant>
        <vt:i4>5</vt:i4>
      </vt:variant>
      <vt:variant>
        <vt:lpwstr>http://www.europarl.europa.eu/oeil/popups/ficheprocedure.do?lang=en&amp;reference=2015/2254%28INL%29</vt:lpwstr>
      </vt:variant>
      <vt:variant>
        <vt:lpwstr>tab-0</vt:lpwstr>
      </vt:variant>
      <vt:variant>
        <vt:i4>3407945</vt:i4>
      </vt:variant>
      <vt:variant>
        <vt:i4>168</vt:i4>
      </vt:variant>
      <vt:variant>
        <vt:i4>0</vt:i4>
      </vt:variant>
      <vt:variant>
        <vt:i4>5</vt:i4>
      </vt:variant>
      <vt:variant>
        <vt:lpwstr>http://curia.europa.eu/juris/document/document.jsf?text=&amp;docid=191225&amp;pageIndex=0&amp;doclang=en_x000b_&amp;mode=lst&amp;dir=&amp;occ=first&amp;part=1&amp;cid=540284</vt:lpwstr>
      </vt:variant>
      <vt:variant>
        <vt:lpwstr/>
      </vt:variant>
      <vt:variant>
        <vt:i4>4522043</vt:i4>
      </vt:variant>
      <vt:variant>
        <vt:i4>165</vt:i4>
      </vt:variant>
      <vt:variant>
        <vt:i4>0</vt:i4>
      </vt:variant>
      <vt:variant>
        <vt:i4>5</vt:i4>
      </vt:variant>
      <vt:variant>
        <vt:lpwstr>https://ec.europa.eu/info/strategy/european-semester/framework/europe-2020-strategy_en</vt:lpwstr>
      </vt:variant>
      <vt:variant>
        <vt:lpwstr/>
      </vt:variant>
      <vt:variant>
        <vt:i4>4194364</vt:i4>
      </vt:variant>
      <vt:variant>
        <vt:i4>162</vt:i4>
      </vt:variant>
      <vt:variant>
        <vt:i4>0</vt:i4>
      </vt:variant>
      <vt:variant>
        <vt:i4>5</vt:i4>
      </vt:variant>
      <vt:variant>
        <vt:lpwstr>https://ec.europa.eu/food/sites/food/files/safety/docs/fw_eu-actions_flw-platform_tor.pdf</vt:lpwstr>
      </vt:variant>
      <vt:variant>
        <vt:lpwstr/>
      </vt:variant>
      <vt:variant>
        <vt:i4>8126505</vt:i4>
      </vt:variant>
      <vt:variant>
        <vt:i4>159</vt:i4>
      </vt:variant>
      <vt:variant>
        <vt:i4>0</vt:i4>
      </vt:variant>
      <vt:variant>
        <vt:i4>5</vt:i4>
      </vt:variant>
      <vt:variant>
        <vt:lpwstr>http://ec.europa.eu/environment/gpp/gpp_criteria_process.htm</vt:lpwstr>
      </vt:variant>
      <vt:variant>
        <vt:lpwstr/>
      </vt:variant>
      <vt:variant>
        <vt:i4>1048656</vt:i4>
      </vt:variant>
      <vt:variant>
        <vt:i4>156</vt:i4>
      </vt:variant>
      <vt:variant>
        <vt:i4>0</vt:i4>
      </vt:variant>
      <vt:variant>
        <vt:i4>5</vt:i4>
      </vt:variant>
      <vt:variant>
        <vt:lpwstr>https://ec.europa.eu/eip/agriculture/en/content/innovative-short-food-supply-chain-management</vt:lpwstr>
      </vt:variant>
      <vt:variant>
        <vt:lpwstr/>
      </vt:variant>
      <vt:variant>
        <vt:i4>3539034</vt:i4>
      </vt:variant>
      <vt:variant>
        <vt:i4>153</vt:i4>
      </vt:variant>
      <vt:variant>
        <vt:i4>0</vt:i4>
      </vt:variant>
      <vt:variant>
        <vt:i4>5</vt:i4>
      </vt:variant>
      <vt:variant>
        <vt:lpwstr>http://cordis.europa.eu/project/rcn/200534_en.html</vt:lpwstr>
      </vt:variant>
      <vt:variant>
        <vt:lpwstr/>
      </vt:variant>
      <vt:variant>
        <vt:i4>3932253</vt:i4>
      </vt:variant>
      <vt:variant>
        <vt:i4>150</vt:i4>
      </vt:variant>
      <vt:variant>
        <vt:i4>0</vt:i4>
      </vt:variant>
      <vt:variant>
        <vt:i4>5</vt:i4>
      </vt:variant>
      <vt:variant>
        <vt:lpwstr>http://cordis.europa.eu/project/rcn/205813_en.html</vt:lpwstr>
      </vt:variant>
      <vt:variant>
        <vt:lpwstr/>
      </vt:variant>
      <vt:variant>
        <vt:i4>3211355</vt:i4>
      </vt:variant>
      <vt:variant>
        <vt:i4>147</vt:i4>
      </vt:variant>
      <vt:variant>
        <vt:i4>0</vt:i4>
      </vt:variant>
      <vt:variant>
        <vt:i4>5</vt:i4>
      </vt:variant>
      <vt:variant>
        <vt:lpwstr>http://cordis.europa.eu/project/rcn/200224_en.html</vt:lpwstr>
      </vt:variant>
      <vt:variant>
        <vt:lpwstr/>
      </vt:variant>
      <vt:variant>
        <vt:i4>3342424</vt:i4>
      </vt:variant>
      <vt:variant>
        <vt:i4>144</vt:i4>
      </vt:variant>
      <vt:variant>
        <vt:i4>0</vt:i4>
      </vt:variant>
      <vt:variant>
        <vt:i4>5</vt:i4>
      </vt:variant>
      <vt:variant>
        <vt:lpwstr>http://cordis.europa.eu/project/rcn/200216_en.html</vt:lpwstr>
      </vt:variant>
      <vt:variant>
        <vt:lpwstr/>
      </vt:variant>
      <vt:variant>
        <vt:i4>7602285</vt:i4>
      </vt:variant>
      <vt:variant>
        <vt:i4>141</vt:i4>
      </vt:variant>
      <vt:variant>
        <vt:i4>0</vt:i4>
      </vt:variant>
      <vt:variant>
        <vt:i4>5</vt:i4>
      </vt:variant>
      <vt:variant>
        <vt:lpwstr>http://eu-refresh.org/</vt:lpwstr>
      </vt:variant>
      <vt:variant>
        <vt:lpwstr/>
      </vt:variant>
      <vt:variant>
        <vt:i4>7602285</vt:i4>
      </vt:variant>
      <vt:variant>
        <vt:i4>138</vt:i4>
      </vt:variant>
      <vt:variant>
        <vt:i4>0</vt:i4>
      </vt:variant>
      <vt:variant>
        <vt:i4>5</vt:i4>
      </vt:variant>
      <vt:variant>
        <vt:lpwstr>http://eu-refresh.org/</vt:lpwstr>
      </vt:variant>
      <vt:variant>
        <vt:lpwstr/>
      </vt:variant>
      <vt:variant>
        <vt:i4>2883643</vt:i4>
      </vt:variant>
      <vt:variant>
        <vt:i4>135</vt:i4>
      </vt:variant>
      <vt:variant>
        <vt:i4>0</vt:i4>
      </vt:variant>
      <vt:variant>
        <vt:i4>5</vt:i4>
      </vt:variant>
      <vt:variant>
        <vt:lpwstr>https://ec.europa.eu/programmes/horizon2020/en</vt:lpwstr>
      </vt:variant>
      <vt:variant>
        <vt:lpwstr/>
      </vt:variant>
      <vt:variant>
        <vt:i4>3276919</vt:i4>
      </vt:variant>
      <vt:variant>
        <vt:i4>132</vt:i4>
      </vt:variant>
      <vt:variant>
        <vt:i4>0</vt:i4>
      </vt:variant>
      <vt:variant>
        <vt:i4>5</vt:i4>
      </vt:variant>
      <vt:variant>
        <vt:lpwstr>https://www.bbi-europe.eu/</vt:lpwstr>
      </vt:variant>
      <vt:variant>
        <vt:lpwstr/>
      </vt:variant>
      <vt:variant>
        <vt:i4>3276810</vt:i4>
      </vt:variant>
      <vt:variant>
        <vt:i4>129</vt:i4>
      </vt:variant>
      <vt:variant>
        <vt:i4>0</vt:i4>
      </vt:variant>
      <vt:variant>
        <vt:i4>5</vt:i4>
      </vt:variant>
      <vt:variant>
        <vt:lpwstr>http://ec.europa.eu/research/innovation-union/index_en.cfm?pg=eip</vt:lpwstr>
      </vt:variant>
      <vt:variant>
        <vt:lpwstr/>
      </vt:variant>
      <vt:variant>
        <vt:i4>458794</vt:i4>
      </vt:variant>
      <vt:variant>
        <vt:i4>126</vt:i4>
      </vt:variant>
      <vt:variant>
        <vt:i4>0</vt:i4>
      </vt:variant>
      <vt:variant>
        <vt:i4>5</vt:i4>
      </vt:variant>
      <vt:variant>
        <vt:lpwstr>https://ec.europa.eu/growth/sectors/food/competitiveness/supply-chain-forum_en</vt:lpwstr>
      </vt:variant>
      <vt:variant>
        <vt:lpwstr/>
      </vt:variant>
      <vt:variant>
        <vt:i4>1179754</vt:i4>
      </vt:variant>
      <vt:variant>
        <vt:i4>123</vt:i4>
      </vt:variant>
      <vt:variant>
        <vt:i4>0</vt:i4>
      </vt:variant>
      <vt:variant>
        <vt:i4>5</vt:i4>
      </vt:variant>
      <vt:variant>
        <vt:lpwstr>https://ec.europa.eu/agriculture/sites/agriculture/files/agri-markets-task-force/improving-markets-outcomes_en.pdf</vt:lpwstr>
      </vt:variant>
      <vt:variant>
        <vt:lpwstr/>
      </vt:variant>
      <vt:variant>
        <vt:i4>7995467</vt:i4>
      </vt:variant>
      <vt:variant>
        <vt:i4>120</vt:i4>
      </vt:variant>
      <vt:variant>
        <vt:i4>0</vt:i4>
      </vt:variant>
      <vt:variant>
        <vt:i4>5</vt:i4>
      </vt:variant>
      <vt:variant>
        <vt:lpwstr>https://ec.europa.eu/agriculture/rural-development-2014-2020_en</vt:lpwstr>
      </vt:variant>
      <vt:variant>
        <vt:lpwstr/>
      </vt:variant>
      <vt:variant>
        <vt:i4>6226043</vt:i4>
      </vt:variant>
      <vt:variant>
        <vt:i4>117</vt:i4>
      </vt:variant>
      <vt:variant>
        <vt:i4>0</vt:i4>
      </vt:variant>
      <vt:variant>
        <vt:i4>5</vt:i4>
      </vt:variant>
      <vt:variant>
        <vt:lpwstr>https://ec.europa.eu/agriculture/future-cap_en</vt:lpwstr>
      </vt:variant>
      <vt:variant>
        <vt:lpwstr/>
      </vt:variant>
      <vt:variant>
        <vt:i4>7929947</vt:i4>
      </vt:variant>
      <vt:variant>
        <vt:i4>114</vt:i4>
      </vt:variant>
      <vt:variant>
        <vt:i4>0</vt:i4>
      </vt:variant>
      <vt:variant>
        <vt:i4>5</vt:i4>
      </vt:variant>
      <vt:variant>
        <vt:lpwstr>https://ec.europa.eu/agriculture/cap-overview_en</vt:lpwstr>
      </vt:variant>
      <vt:variant>
        <vt:lpwstr/>
      </vt:variant>
      <vt:variant>
        <vt:i4>5505069</vt:i4>
      </vt:variant>
      <vt:variant>
        <vt:i4>111</vt:i4>
      </vt:variant>
      <vt:variant>
        <vt:i4>0</vt:i4>
      </vt:variant>
      <vt:variant>
        <vt:i4>5</vt:i4>
      </vt:variant>
      <vt:variant>
        <vt:lpwstr>https://ec.europa.eu/food/sites/food/files/safety/docs/fw_eu_actions_tech-specs_2016-e1-024_annex2.pdf</vt:lpwstr>
      </vt:variant>
      <vt:variant>
        <vt:lpwstr/>
      </vt:variant>
      <vt:variant>
        <vt:i4>852055</vt:i4>
      </vt:variant>
      <vt:variant>
        <vt:i4>108</vt:i4>
      </vt:variant>
      <vt:variant>
        <vt:i4>0</vt:i4>
      </vt:variant>
      <vt:variant>
        <vt:i4>5</vt:i4>
      </vt:variant>
      <vt:variant>
        <vt:lpwstr>http://ec.europa.eu/food/safety/food_waste/library_en</vt:lpwstr>
      </vt:variant>
      <vt:variant>
        <vt:lpwstr/>
      </vt:variant>
      <vt:variant>
        <vt:i4>7602283</vt:i4>
      </vt:variant>
      <vt:variant>
        <vt:i4>105</vt:i4>
      </vt:variant>
      <vt:variant>
        <vt:i4>0</vt:i4>
      </vt:variant>
      <vt:variant>
        <vt:i4>5</vt:i4>
      </vt:variant>
      <vt:variant>
        <vt:lpwstr>http://ec.europa.eu/food/safety/docs/fw_eu_actions_date_marking_infographic_en.pdf</vt:lpwstr>
      </vt:variant>
      <vt:variant>
        <vt:lpwstr/>
      </vt:variant>
      <vt:variant>
        <vt:i4>3866700</vt:i4>
      </vt:variant>
      <vt:variant>
        <vt:i4>102</vt:i4>
      </vt:variant>
      <vt:variant>
        <vt:i4>0</vt:i4>
      </vt:variant>
      <vt:variant>
        <vt:i4>5</vt:i4>
      </vt:variant>
      <vt:variant>
        <vt:lpwstr>http://ec.europa.eu/consumers/consumer_evidence/behavioural_research/milan_expo_food_choices_eating_habits_study/index_en.htm</vt:lpwstr>
      </vt:variant>
      <vt:variant>
        <vt:lpwstr/>
      </vt:variant>
      <vt:variant>
        <vt:i4>5046316</vt:i4>
      </vt:variant>
      <vt:variant>
        <vt:i4>99</vt:i4>
      </vt:variant>
      <vt:variant>
        <vt:i4>0</vt:i4>
      </vt:variant>
      <vt:variant>
        <vt:i4>5</vt:i4>
      </vt:variant>
      <vt:variant>
        <vt:lpwstr>http://ec.europa.eu/consumers/consumer_evidence/behavioural_research/docs/bexpo_milan_final_report_website_en.pdf</vt:lpwstr>
      </vt:variant>
      <vt:variant>
        <vt:lpwstr/>
      </vt:variant>
      <vt:variant>
        <vt:i4>7012411</vt:i4>
      </vt:variant>
      <vt:variant>
        <vt:i4>96</vt:i4>
      </vt:variant>
      <vt:variant>
        <vt:i4>0</vt:i4>
      </vt:variant>
      <vt:variant>
        <vt:i4>5</vt:i4>
      </vt:variant>
      <vt:variant>
        <vt:lpwstr>http://ec.europa.eu/COMMFrontOffice/publicopinion/index.cfm/Survey/getSurveyDetail/instruments/FLASH/surveyKy/2095</vt:lpwstr>
      </vt:variant>
      <vt:variant>
        <vt:lpwstr/>
      </vt:variant>
      <vt:variant>
        <vt:i4>8323177</vt:i4>
      </vt:variant>
      <vt:variant>
        <vt:i4>93</vt:i4>
      </vt:variant>
      <vt:variant>
        <vt:i4>0</vt:i4>
      </vt:variant>
      <vt:variant>
        <vt:i4>5</vt:i4>
      </vt:variant>
      <vt:variant>
        <vt:lpwstr>http://ec.europa.eu/food/safety/food_waste/eu_actions/date_marking_en</vt:lpwstr>
      </vt:variant>
      <vt:variant>
        <vt:lpwstr/>
      </vt:variant>
      <vt:variant>
        <vt:i4>4194345</vt:i4>
      </vt:variant>
      <vt:variant>
        <vt:i4>90</vt:i4>
      </vt:variant>
      <vt:variant>
        <vt:i4>0</vt:i4>
      </vt:variant>
      <vt:variant>
        <vt:i4>5</vt:i4>
      </vt:variant>
      <vt:variant>
        <vt:lpwstr>http://ec.europa.eu/food/safety/food_waste/eu_actions/eu-platform/meetings-eu-platform-food-losses-and-food-waste_en</vt:lpwstr>
      </vt:variant>
      <vt:variant>
        <vt:lpwstr/>
      </vt:variant>
      <vt:variant>
        <vt:i4>1114194</vt:i4>
      </vt:variant>
      <vt:variant>
        <vt:i4>87</vt:i4>
      </vt:variant>
      <vt:variant>
        <vt:i4>0</vt:i4>
      </vt:variant>
      <vt:variant>
        <vt:i4>5</vt:i4>
      </vt:variant>
      <vt:variant>
        <vt:lpwstr>http://www.europarl.europa.eu/sides/getAllAnswers.do?reference=E-2014-009571&amp;language=EN</vt:lpwstr>
      </vt:variant>
      <vt:variant>
        <vt:lpwstr/>
      </vt:variant>
      <vt:variant>
        <vt:i4>6357095</vt:i4>
      </vt:variant>
      <vt:variant>
        <vt:i4>84</vt:i4>
      </vt:variant>
      <vt:variant>
        <vt:i4>0</vt:i4>
      </vt:variant>
      <vt:variant>
        <vt:i4>5</vt:i4>
      </vt:variant>
      <vt:variant>
        <vt:lpwstr>http://ec.europa.eu/social/main.jsp?catId=1089</vt:lpwstr>
      </vt:variant>
      <vt:variant>
        <vt:lpwstr/>
      </vt:variant>
      <vt:variant>
        <vt:i4>6357095</vt:i4>
      </vt:variant>
      <vt:variant>
        <vt:i4>81</vt:i4>
      </vt:variant>
      <vt:variant>
        <vt:i4>0</vt:i4>
      </vt:variant>
      <vt:variant>
        <vt:i4>5</vt:i4>
      </vt:variant>
      <vt:variant>
        <vt:lpwstr>http://ec.europa.eu/social/main.jsp?catId=1089</vt:lpwstr>
      </vt:variant>
      <vt:variant>
        <vt:lpwstr/>
      </vt:variant>
      <vt:variant>
        <vt:i4>2949247</vt:i4>
      </vt:variant>
      <vt:variant>
        <vt:i4>78</vt:i4>
      </vt:variant>
      <vt:variant>
        <vt:i4>0</vt:i4>
      </vt:variant>
      <vt:variant>
        <vt:i4>5</vt:i4>
      </vt:variant>
      <vt:variant>
        <vt:lpwstr>https://www.fiware.org/</vt:lpwstr>
      </vt:variant>
      <vt:variant>
        <vt:lpwstr/>
      </vt:variant>
      <vt:variant>
        <vt:i4>3014758</vt:i4>
      </vt:variant>
      <vt:variant>
        <vt:i4>75</vt:i4>
      </vt:variant>
      <vt:variant>
        <vt:i4>0</vt:i4>
      </vt:variant>
      <vt:variant>
        <vt:i4>5</vt:i4>
      </vt:variant>
      <vt:variant>
        <vt:lpwstr>https://savingfood.eu/the-project/</vt:lpwstr>
      </vt:variant>
      <vt:variant>
        <vt:lpwstr/>
      </vt:variant>
      <vt:variant>
        <vt:i4>2228347</vt:i4>
      </vt:variant>
      <vt:variant>
        <vt:i4>72</vt:i4>
      </vt:variant>
      <vt:variant>
        <vt:i4>0</vt:i4>
      </vt:variant>
      <vt:variant>
        <vt:i4>5</vt:i4>
      </vt:variant>
      <vt:variant>
        <vt:lpwstr>https://ec.europa.eu/digital-single-market/en/collective-awareness</vt:lpwstr>
      </vt:variant>
      <vt:variant>
        <vt:lpwstr/>
      </vt:variant>
      <vt:variant>
        <vt:i4>4194345</vt:i4>
      </vt:variant>
      <vt:variant>
        <vt:i4>69</vt:i4>
      </vt:variant>
      <vt:variant>
        <vt:i4>0</vt:i4>
      </vt:variant>
      <vt:variant>
        <vt:i4>5</vt:i4>
      </vt:variant>
      <vt:variant>
        <vt:lpwstr>http://ec.europa.eu/food/safety/food_waste/eu_actions/eu-platform/meetings-eu-platform-food-losses-and-food-waste_en</vt:lpwstr>
      </vt:variant>
      <vt:variant>
        <vt:lpwstr/>
      </vt:variant>
      <vt:variant>
        <vt:i4>7602285</vt:i4>
      </vt:variant>
      <vt:variant>
        <vt:i4>66</vt:i4>
      </vt:variant>
      <vt:variant>
        <vt:i4>0</vt:i4>
      </vt:variant>
      <vt:variant>
        <vt:i4>5</vt:i4>
      </vt:variant>
      <vt:variant>
        <vt:lpwstr>http://eu-refresh.org/</vt:lpwstr>
      </vt:variant>
      <vt:variant>
        <vt:lpwstr/>
      </vt:variant>
      <vt:variant>
        <vt:i4>7602285</vt:i4>
      </vt:variant>
      <vt:variant>
        <vt:i4>63</vt:i4>
      </vt:variant>
      <vt:variant>
        <vt:i4>0</vt:i4>
      </vt:variant>
      <vt:variant>
        <vt:i4>5</vt:i4>
      </vt:variant>
      <vt:variant>
        <vt:lpwstr>http://eu-refresh.org/</vt:lpwstr>
      </vt:variant>
      <vt:variant>
        <vt:lpwstr/>
      </vt:variant>
      <vt:variant>
        <vt:i4>5111850</vt:i4>
      </vt:variant>
      <vt:variant>
        <vt:i4>60</vt:i4>
      </vt:variant>
      <vt:variant>
        <vt:i4>0</vt:i4>
      </vt:variant>
      <vt:variant>
        <vt:i4>5</vt:i4>
      </vt:variant>
      <vt:variant>
        <vt:lpwstr>http://ec.europa.eu/food/safety/food_waste/eu_actions/eu-platform_en</vt:lpwstr>
      </vt:variant>
      <vt:variant>
        <vt:lpwstr/>
      </vt:variant>
      <vt:variant>
        <vt:i4>4194364</vt:i4>
      </vt:variant>
      <vt:variant>
        <vt:i4>57</vt:i4>
      </vt:variant>
      <vt:variant>
        <vt:i4>0</vt:i4>
      </vt:variant>
      <vt:variant>
        <vt:i4>5</vt:i4>
      </vt:variant>
      <vt:variant>
        <vt:lpwstr>https://ec.europa.eu/food/sites/food/files/safety/docs/fw_eu-actions_flw-platform_tor.pdf</vt:lpwstr>
      </vt:variant>
      <vt:variant>
        <vt:lpwstr/>
      </vt:variant>
      <vt:variant>
        <vt:i4>4849670</vt:i4>
      </vt:variant>
      <vt:variant>
        <vt:i4>54</vt:i4>
      </vt:variant>
      <vt:variant>
        <vt:i4>0</vt:i4>
      </vt:variant>
      <vt:variant>
        <vt:i4>5</vt:i4>
      </vt:variant>
      <vt:variant>
        <vt:lpwstr>http://eur-lex.europa.eu/legal-content/EN/TXT/?uri=CELEX:52015PC0595</vt:lpwstr>
      </vt:variant>
      <vt:variant>
        <vt:lpwstr/>
      </vt:variant>
      <vt:variant>
        <vt:i4>6029425</vt:i4>
      </vt:variant>
      <vt:variant>
        <vt:i4>51</vt:i4>
      </vt:variant>
      <vt:variant>
        <vt:i4>0</vt:i4>
      </vt:variant>
      <vt:variant>
        <vt:i4>5</vt:i4>
      </vt:variant>
      <vt:variant>
        <vt:lpwstr>http://ec.europa.eu/environment/circular-economy/implementation_report.pdf</vt:lpwstr>
      </vt:variant>
      <vt:variant>
        <vt:lpwstr/>
      </vt:variant>
      <vt:variant>
        <vt:i4>3014676</vt:i4>
      </vt:variant>
      <vt:variant>
        <vt:i4>48</vt:i4>
      </vt:variant>
      <vt:variant>
        <vt:i4>0</vt:i4>
      </vt:variant>
      <vt:variant>
        <vt:i4>5</vt:i4>
      </vt:variant>
      <vt:variant>
        <vt:lpwstr>http://eur-lex.europa.eu/resource.html?uri=cellar:8a8ef5e8-99a0-11e5-b3b7-01aa75ed71a1.0012.02/DOC_1&amp;format=PDF</vt:lpwstr>
      </vt:variant>
      <vt:variant>
        <vt:lpwstr/>
      </vt:variant>
      <vt:variant>
        <vt:i4>917504</vt:i4>
      </vt:variant>
      <vt:variant>
        <vt:i4>45</vt:i4>
      </vt:variant>
      <vt:variant>
        <vt:i4>0</vt:i4>
      </vt:variant>
      <vt:variant>
        <vt:i4>5</vt:i4>
      </vt:variant>
      <vt:variant>
        <vt:lpwstr>http://www.un.org/sustainabledevelopment/sustainable-consumption-production/</vt:lpwstr>
      </vt:variant>
      <vt:variant>
        <vt:lpwstr/>
      </vt:variant>
      <vt:variant>
        <vt:i4>2949238</vt:i4>
      </vt:variant>
      <vt:variant>
        <vt:i4>42</vt:i4>
      </vt:variant>
      <vt:variant>
        <vt:i4>0</vt:i4>
      </vt:variant>
      <vt:variant>
        <vt:i4>5</vt:i4>
      </vt:variant>
      <vt:variant>
        <vt:lpwstr>https://edps.europa.eu/sites/edp/files/publication/07-07-19_olaf_investigative_function_en.pdf</vt:lpwstr>
      </vt:variant>
      <vt:variant>
        <vt:lpwstr/>
      </vt:variant>
      <vt:variant>
        <vt:i4>1441852</vt:i4>
      </vt:variant>
      <vt:variant>
        <vt:i4>39</vt:i4>
      </vt:variant>
      <vt:variant>
        <vt:i4>0</vt:i4>
      </vt:variant>
      <vt:variant>
        <vt:i4>5</vt:i4>
      </vt:variant>
      <vt:variant>
        <vt:lpwstr>https://ec.europa.eu/info/publications/management-plan-2017-european-anti-fraud-office_en</vt:lpwstr>
      </vt:variant>
      <vt:variant>
        <vt:lpwstr/>
      </vt:variant>
      <vt:variant>
        <vt:i4>2883611</vt:i4>
      </vt:variant>
      <vt:variant>
        <vt:i4>36</vt:i4>
      </vt:variant>
      <vt:variant>
        <vt:i4>0</vt:i4>
      </vt:variant>
      <vt:variant>
        <vt:i4>5</vt:i4>
      </vt:variant>
      <vt:variant>
        <vt:lpwstr>http://ec.europa.eu/regional_policy/en/policy/how/improving-investment/public-procurement/</vt:lpwstr>
      </vt:variant>
      <vt:variant>
        <vt:lpwstr/>
      </vt:variant>
      <vt:variant>
        <vt:i4>1310821</vt:i4>
      </vt:variant>
      <vt:variant>
        <vt:i4>33</vt:i4>
      </vt:variant>
      <vt:variant>
        <vt:i4>0</vt:i4>
      </vt:variant>
      <vt:variant>
        <vt:i4>5</vt:i4>
      </vt:variant>
      <vt:variant>
        <vt:lpwstr>https://ec.europa.eu/taxation_customs/sites/taxation/files/2016_ipr_statistics.pdf</vt:lpwstr>
      </vt:variant>
      <vt:variant>
        <vt:lpwstr/>
      </vt:variant>
      <vt:variant>
        <vt:i4>3997725</vt:i4>
      </vt:variant>
      <vt:variant>
        <vt:i4>30</vt:i4>
      </vt:variant>
      <vt:variant>
        <vt:i4>0</vt:i4>
      </vt:variant>
      <vt:variant>
        <vt:i4>5</vt:i4>
      </vt:variant>
      <vt:variant>
        <vt:lpwstr>http://ec.europa.eu/regional_policy/p2p</vt:lpwstr>
      </vt:variant>
      <vt:variant>
        <vt:lpwstr/>
      </vt:variant>
      <vt:variant>
        <vt:i4>4128842</vt:i4>
      </vt:variant>
      <vt:variant>
        <vt:i4>27</vt:i4>
      </vt:variant>
      <vt:variant>
        <vt:i4>0</vt:i4>
      </vt:variant>
      <vt:variant>
        <vt:i4>5</vt:i4>
      </vt:variant>
      <vt:variant>
        <vt:lpwstr>http://ec.europa.eu/regional_policy/en/policy/how/improving-investment/integrity-pacts/</vt:lpwstr>
      </vt:variant>
      <vt:variant>
        <vt:lpwstr/>
      </vt:variant>
      <vt:variant>
        <vt:i4>3080241</vt:i4>
      </vt:variant>
      <vt:variant>
        <vt:i4>24</vt:i4>
      </vt:variant>
      <vt:variant>
        <vt:i4>0</vt:i4>
      </vt:variant>
      <vt:variant>
        <vt:i4>5</vt:i4>
      </vt:variant>
      <vt:variant>
        <vt:lpwstr>https://ec.europa.eu/sfc/en/2014/anti-fraud</vt:lpwstr>
      </vt:variant>
      <vt:variant>
        <vt:lpwstr/>
      </vt:variant>
      <vt:variant>
        <vt:i4>131077</vt:i4>
      </vt:variant>
      <vt:variant>
        <vt:i4>21</vt:i4>
      </vt:variant>
      <vt:variant>
        <vt:i4>0</vt:i4>
      </vt:variant>
      <vt:variant>
        <vt:i4>5</vt:i4>
      </vt:variant>
      <vt:variant>
        <vt:lpwstr>http://ec.europa.eu/anti-fraud/sites/antifraud/files/pifreport_2015_en.pdf</vt:lpwstr>
      </vt:variant>
      <vt:variant>
        <vt:lpwstr/>
      </vt:variant>
      <vt:variant>
        <vt:i4>2293836</vt:i4>
      </vt:variant>
      <vt:variant>
        <vt:i4>18</vt:i4>
      </vt:variant>
      <vt:variant>
        <vt:i4>0</vt:i4>
      </vt:variant>
      <vt:variant>
        <vt:i4>5</vt:i4>
      </vt:variant>
      <vt:variant>
        <vt:lpwstr>http://eur-lex.europa.eu/resource.html?uri=cellar:2c2f2554-0faf-11e7-8a35-01aa75ed71a1.0017.02/DOC_1&amp;format=PDF</vt:lpwstr>
      </vt:variant>
      <vt:variant>
        <vt:lpwstr/>
      </vt:variant>
      <vt:variant>
        <vt:i4>4784140</vt:i4>
      </vt:variant>
      <vt:variant>
        <vt:i4>15</vt:i4>
      </vt:variant>
      <vt:variant>
        <vt:i4>0</vt:i4>
      </vt:variant>
      <vt:variant>
        <vt:i4>5</vt:i4>
      </vt:variant>
      <vt:variant>
        <vt:lpwstr>http://step4youth.eu/</vt:lpwstr>
      </vt:variant>
      <vt:variant>
        <vt:lpwstr/>
      </vt:variant>
      <vt:variant>
        <vt:i4>7667770</vt:i4>
      </vt:variant>
      <vt:variant>
        <vt:i4>12</vt:i4>
      </vt:variant>
      <vt:variant>
        <vt:i4>0</vt:i4>
      </vt:variant>
      <vt:variant>
        <vt:i4>5</vt:i4>
      </vt:variant>
      <vt:variant>
        <vt:lpwstr>https://www.euthproject.eu/</vt:lpwstr>
      </vt:variant>
      <vt:variant>
        <vt:lpwstr/>
      </vt:variant>
      <vt:variant>
        <vt:i4>7274528</vt:i4>
      </vt:variant>
      <vt:variant>
        <vt:i4>9</vt:i4>
      </vt:variant>
      <vt:variant>
        <vt:i4>0</vt:i4>
      </vt:variant>
      <vt:variant>
        <vt:i4>5</vt:i4>
      </vt:variant>
      <vt:variant>
        <vt:lpwstr>https://ec.europa.eu/futurium/en/egovernment4eu</vt:lpwstr>
      </vt:variant>
      <vt:variant>
        <vt:lpwstr/>
      </vt:variant>
      <vt:variant>
        <vt:i4>2621448</vt:i4>
      </vt:variant>
      <vt:variant>
        <vt:i4>6</vt:i4>
      </vt:variant>
      <vt:variant>
        <vt:i4>0</vt:i4>
      </vt:variant>
      <vt:variant>
        <vt:i4>5</vt:i4>
      </vt:variant>
      <vt:variant>
        <vt:lpwstr>http://ec.europa.eu/newsroom/just/item-detail.cfm?item_id=58190</vt:lpwstr>
      </vt:variant>
      <vt:variant>
        <vt:lpwstr/>
      </vt:variant>
      <vt:variant>
        <vt:i4>3145822</vt:i4>
      </vt:variant>
      <vt:variant>
        <vt:i4>3</vt:i4>
      </vt:variant>
      <vt:variant>
        <vt:i4>0</vt:i4>
      </vt:variant>
      <vt:variant>
        <vt:i4>5</vt:i4>
      </vt:variant>
      <vt:variant>
        <vt:lpwstr>http://ec.europa.eu/internal_market/eu-go/</vt:lpwstr>
      </vt:variant>
      <vt:variant>
        <vt:lpwstr/>
      </vt:variant>
      <vt:variant>
        <vt:i4>2359343</vt:i4>
      </vt:variant>
      <vt:variant>
        <vt:i4>0</vt:i4>
      </vt:variant>
      <vt:variant>
        <vt:i4>0</vt:i4>
      </vt:variant>
      <vt:variant>
        <vt:i4>5</vt:i4>
      </vt:variant>
      <vt:variant>
        <vt:lpwstr>https://ec.europa.eu/futurium/en/egovernment4eu/actions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2017-03-22T07:48:00Z</cp:lastPrinted>
  <dcterms:created xsi:type="dcterms:W3CDTF">2017-09-26T08:11:00Z</dcterms:created>
  <dcterms:modified xsi:type="dcterms:W3CDTF">2017-09-26T08:12:00Z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