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84" w:rsidRDefault="00063E84" w:rsidP="00063E84">
      <w:pPr>
        <w:pStyle w:val="Default"/>
        <w:spacing w:after="600"/>
        <w:ind w:right="-30"/>
        <w:jc w:val="center"/>
        <w:rPr>
          <w:b/>
        </w:rPr>
      </w:pPr>
      <w:r>
        <w:rPr>
          <w:b/>
        </w:rPr>
        <w:t xml:space="preserve">Suite donnée à la résolution du Parlement européen du 17 mai 2017 sur </w:t>
      </w:r>
      <w:r>
        <w:rPr>
          <w:b/>
        </w:rPr>
        <w:br/>
        <w:t xml:space="preserve">le projet de décision d’exécution de la Commission autorisant la mise sur le marché </w:t>
      </w:r>
      <w:r>
        <w:rPr>
          <w:b/>
        </w:rPr>
        <w:br/>
        <w:t>de produits contenant du coton génétiquement modifié GHB119 (BCS-GHØØ5-8), consistant en ce coton ou produits à partir de celui-ci</w:t>
      </w:r>
    </w:p>
    <w:p w:rsidR="00063E84" w:rsidRPr="001F6622" w:rsidRDefault="00063E84" w:rsidP="00063E84">
      <w:pPr>
        <w:pStyle w:val="Default"/>
        <w:spacing w:after="600"/>
        <w:ind w:right="-30"/>
        <w:jc w:val="center"/>
        <w:rPr>
          <w:b/>
        </w:rPr>
      </w:pPr>
      <w:r>
        <w:rPr>
          <w:b/>
        </w:rPr>
        <w:t>2017/2675 (RSP)</w:t>
      </w:r>
    </w:p>
    <w:p w:rsidR="00063E84" w:rsidRPr="00FE48B8" w:rsidRDefault="00063E84" w:rsidP="00063E84">
      <w:pPr>
        <w:widowControl w:val="0"/>
        <w:ind w:left="567" w:right="-30" w:hanging="567"/>
        <w:outlineLvl w:val="0"/>
        <w:rPr>
          <w:rFonts w:ascii="Times New Roman" w:hAnsi="Times New Roman"/>
          <w:szCs w:val="24"/>
          <w:lang w:val="fr-FR"/>
        </w:rPr>
      </w:pPr>
      <w:r w:rsidRPr="00FE48B8">
        <w:rPr>
          <w:rFonts w:ascii="Times New Roman" w:hAnsi="Times New Roman"/>
          <w:b/>
          <w:lang w:val="fr-FR"/>
        </w:rPr>
        <w:t>1.</w:t>
      </w:r>
      <w:r w:rsidRPr="00FE48B8">
        <w:rPr>
          <w:lang w:val="fr-FR"/>
        </w:rPr>
        <w:tab/>
      </w:r>
      <w:r w:rsidRPr="00FE48B8">
        <w:rPr>
          <w:rFonts w:ascii="Times New Roman" w:hAnsi="Times New Roman"/>
          <w:b/>
          <w:lang w:val="fr-FR"/>
        </w:rPr>
        <w:t>Résolution présentée, conformément à l’article 106, paragraphes 2 et 3, du règlement du Parlement européen, par la commission de l’environnement, de la santé publique et de la sécurité alimentaire (ENVI)</w:t>
      </w:r>
    </w:p>
    <w:p w:rsidR="00063E84" w:rsidRPr="00FE48B8" w:rsidRDefault="00063E84" w:rsidP="00063E84">
      <w:pPr>
        <w:widowControl w:val="0"/>
        <w:ind w:left="567" w:right="-30" w:hanging="567"/>
        <w:outlineLvl w:val="0"/>
        <w:rPr>
          <w:rFonts w:ascii="Times New Roman" w:hAnsi="Times New Roman"/>
          <w:smallCaps/>
          <w:szCs w:val="24"/>
          <w:lang w:val="fr-FR"/>
        </w:rPr>
      </w:pPr>
      <w:r w:rsidRPr="00FE48B8">
        <w:rPr>
          <w:rFonts w:ascii="Times New Roman" w:hAnsi="Times New Roman"/>
          <w:b/>
          <w:lang w:val="fr-FR"/>
        </w:rPr>
        <w:t>2.</w:t>
      </w:r>
      <w:r w:rsidRPr="00FE48B8">
        <w:rPr>
          <w:lang w:val="fr-FR"/>
        </w:rPr>
        <w:tab/>
      </w:r>
      <w:r w:rsidRPr="00FE48B8">
        <w:rPr>
          <w:rFonts w:ascii="Times New Roman" w:hAnsi="Times New Roman"/>
          <w:b/>
          <w:lang w:val="fr-FR"/>
        </w:rPr>
        <w:t xml:space="preserve">Numéro de référence du PE: </w:t>
      </w:r>
      <w:r w:rsidRPr="00FE48B8">
        <w:rPr>
          <w:rFonts w:ascii="Times New Roman" w:hAnsi="Times New Roman"/>
          <w:lang w:val="fr-FR"/>
        </w:rPr>
        <w:t>B8-0293/2017 /</w:t>
      </w:r>
      <w:r w:rsidRPr="00FE48B8">
        <w:rPr>
          <w:lang w:val="fr-FR"/>
        </w:rPr>
        <w:t xml:space="preserve"> </w:t>
      </w:r>
      <w:r w:rsidRPr="00FE48B8">
        <w:rPr>
          <w:rFonts w:ascii="Times New Roman" w:hAnsi="Times New Roman"/>
          <w:smallCaps/>
          <w:lang w:val="fr-FR"/>
        </w:rPr>
        <w:t>P8_TA-PROV(2017)0214</w:t>
      </w:r>
    </w:p>
    <w:p w:rsidR="00063E84" w:rsidRPr="00FE48B8" w:rsidRDefault="00063E84" w:rsidP="00063E84">
      <w:pPr>
        <w:widowControl w:val="0"/>
        <w:ind w:left="567" w:right="-30" w:hanging="567"/>
        <w:outlineLvl w:val="0"/>
        <w:rPr>
          <w:rFonts w:ascii="Times New Roman" w:hAnsi="Times New Roman"/>
          <w:lang w:val="fr-FR"/>
        </w:rPr>
      </w:pPr>
      <w:r w:rsidRPr="00FE48B8">
        <w:rPr>
          <w:rFonts w:ascii="Times New Roman" w:hAnsi="Times New Roman"/>
          <w:b/>
          <w:lang w:val="fr-FR"/>
        </w:rPr>
        <w:t>3.</w:t>
      </w:r>
      <w:r w:rsidRPr="00FE48B8">
        <w:rPr>
          <w:lang w:val="fr-FR"/>
        </w:rPr>
        <w:tab/>
      </w:r>
      <w:r w:rsidRPr="00FE48B8">
        <w:rPr>
          <w:rFonts w:ascii="Times New Roman" w:hAnsi="Times New Roman"/>
          <w:b/>
          <w:lang w:val="fr-FR"/>
        </w:rPr>
        <w:t xml:space="preserve">Date d’adoption de la résolution: </w:t>
      </w:r>
      <w:r w:rsidRPr="00FE48B8">
        <w:rPr>
          <w:rFonts w:ascii="Times New Roman" w:hAnsi="Times New Roman"/>
          <w:lang w:val="fr-FR"/>
        </w:rPr>
        <w:t>17 mai 2016</w:t>
      </w:r>
    </w:p>
    <w:p w:rsidR="00063E84" w:rsidRPr="00FE48B8" w:rsidRDefault="00063E84" w:rsidP="00063E84">
      <w:pPr>
        <w:widowControl w:val="0"/>
        <w:ind w:left="567" w:right="-30" w:hanging="567"/>
        <w:rPr>
          <w:rFonts w:ascii="Times New Roman" w:hAnsi="Times New Roman"/>
          <w:szCs w:val="24"/>
          <w:lang w:val="fr-FR"/>
        </w:rPr>
      </w:pPr>
      <w:r w:rsidRPr="00FE48B8">
        <w:rPr>
          <w:rFonts w:ascii="Times New Roman" w:hAnsi="Times New Roman"/>
          <w:b/>
          <w:lang w:val="fr-FR"/>
        </w:rPr>
        <w:t>4.</w:t>
      </w:r>
      <w:r w:rsidRPr="00FE48B8">
        <w:rPr>
          <w:lang w:val="fr-FR"/>
        </w:rPr>
        <w:tab/>
      </w:r>
      <w:r w:rsidRPr="00FE48B8">
        <w:rPr>
          <w:rFonts w:ascii="Times New Roman" w:hAnsi="Times New Roman"/>
          <w:b/>
          <w:lang w:val="fr-FR"/>
        </w:rPr>
        <w:t>Objet:</w:t>
      </w:r>
      <w:r w:rsidRPr="00FE48B8">
        <w:rPr>
          <w:rFonts w:ascii="Times New Roman" w:hAnsi="Times New Roman"/>
          <w:lang w:val="fr-FR"/>
        </w:rPr>
        <w:t xml:space="preserve"> mise sur le marché de produits de coton génétiquement modifié GHB119 en application du règlement (CE) nº 1829/2003 du Parlement européen et du Conseil</w:t>
      </w:r>
    </w:p>
    <w:p w:rsidR="00063E84" w:rsidRPr="00FE48B8" w:rsidRDefault="00063E84" w:rsidP="00063E84">
      <w:pPr>
        <w:pStyle w:val="NormalWeb"/>
        <w:widowControl w:val="0"/>
        <w:spacing w:before="0" w:beforeAutospacing="0" w:after="240" w:afterAutospacing="0"/>
        <w:ind w:left="567" w:right="-30" w:hanging="567"/>
        <w:jc w:val="both"/>
        <w:rPr>
          <w:b/>
          <w:bCs/>
          <w:color w:val="000000"/>
          <w:lang w:val="fr-FR"/>
        </w:rPr>
      </w:pPr>
      <w:r w:rsidRPr="00FE48B8">
        <w:rPr>
          <w:b/>
          <w:color w:val="000000"/>
          <w:lang w:val="fr-FR"/>
        </w:rPr>
        <w:t>5.</w:t>
      </w:r>
      <w:r w:rsidRPr="00FE48B8">
        <w:rPr>
          <w:lang w:val="fr-FR"/>
        </w:rPr>
        <w:tab/>
      </w:r>
      <w:r w:rsidRPr="00FE48B8">
        <w:rPr>
          <w:b/>
          <w:lang w:val="fr-FR"/>
        </w:rPr>
        <w:t>Commission parlementaire compétente:</w:t>
      </w:r>
      <w:r w:rsidRPr="00FE48B8">
        <w:rPr>
          <w:lang w:val="fr-FR"/>
        </w:rPr>
        <w:t xml:space="preserve"> commission de l’environnement, de la santé publique et de la sécurité alimentaire (ENVI</w:t>
      </w:r>
      <w:r w:rsidRPr="00FE48B8">
        <w:rPr>
          <w:color w:val="000000"/>
          <w:lang w:val="fr-FR"/>
        </w:rPr>
        <w:t>)</w:t>
      </w:r>
    </w:p>
    <w:p w:rsidR="00063E84" w:rsidRPr="00FE48B8" w:rsidRDefault="00063E84" w:rsidP="00063E84">
      <w:pPr>
        <w:widowControl w:val="0"/>
        <w:ind w:left="567" w:right="-30" w:hanging="567"/>
        <w:rPr>
          <w:rFonts w:ascii="Times New Roman" w:hAnsi="Times New Roman"/>
          <w:b/>
          <w:color w:val="000000"/>
          <w:szCs w:val="24"/>
          <w:lang w:val="fr-FR"/>
        </w:rPr>
      </w:pPr>
      <w:r w:rsidRPr="00FE48B8">
        <w:rPr>
          <w:rFonts w:ascii="Times New Roman" w:hAnsi="Times New Roman"/>
          <w:b/>
          <w:color w:val="000000"/>
          <w:lang w:val="fr-FR"/>
        </w:rPr>
        <w:t>6.</w:t>
      </w:r>
      <w:r w:rsidRPr="00FE48B8">
        <w:rPr>
          <w:lang w:val="fr-FR"/>
        </w:rPr>
        <w:tab/>
      </w:r>
      <w:r w:rsidRPr="00FE48B8">
        <w:rPr>
          <w:rFonts w:ascii="Times New Roman" w:hAnsi="Times New Roman"/>
          <w:b/>
          <w:color w:val="000000"/>
          <w:lang w:val="fr-FR"/>
        </w:rPr>
        <w:t>Analyse/évaluation succincte de la résolution et des demandes qu’elle contient:</w:t>
      </w:r>
    </w:p>
    <w:p w:rsidR="00063E84" w:rsidRPr="00FE48B8" w:rsidRDefault="00063E84" w:rsidP="00063E84">
      <w:pPr>
        <w:spacing w:after="120"/>
        <w:ind w:right="-30"/>
        <w:rPr>
          <w:rFonts w:ascii="Times New Roman" w:hAnsi="Times New Roman"/>
          <w:szCs w:val="24"/>
          <w:lang w:val="fr-FR"/>
        </w:rPr>
      </w:pPr>
      <w:r w:rsidRPr="00FE48B8">
        <w:rPr>
          <w:rFonts w:ascii="Times New Roman" w:hAnsi="Times New Roman"/>
          <w:lang w:val="fr-FR"/>
        </w:rPr>
        <w:t xml:space="preserve">La résolution s’oppose à l’adoption du projet de décision d’exécution de la Commission et demande son retrait </w:t>
      </w:r>
      <w:r w:rsidRPr="00FE48B8">
        <w:rPr>
          <w:rFonts w:ascii="Times New Roman" w:hAnsi="Times New Roman"/>
          <w:b/>
          <w:lang w:val="fr-FR"/>
        </w:rPr>
        <w:t>(paragraphe 3)</w:t>
      </w:r>
      <w:r w:rsidRPr="00FE48B8">
        <w:rPr>
          <w:rFonts w:ascii="Times New Roman" w:hAnsi="Times New Roman"/>
          <w:lang w:val="fr-FR"/>
        </w:rPr>
        <w:t xml:space="preserve">, au motif que le projet de décision d’exécution en question excède les compétences d’exécution prévues dans le règlement (CE) nº 1829/2003 </w:t>
      </w:r>
      <w:r w:rsidRPr="00FE48B8">
        <w:rPr>
          <w:rFonts w:ascii="Times New Roman" w:hAnsi="Times New Roman"/>
          <w:b/>
          <w:lang w:val="fr-FR"/>
        </w:rPr>
        <w:t>(paragraphe 1)</w:t>
      </w:r>
      <w:r w:rsidRPr="00FE48B8">
        <w:rPr>
          <w:rFonts w:ascii="Times New Roman" w:hAnsi="Times New Roman"/>
          <w:lang w:val="fr-FR"/>
        </w:rPr>
        <w:t xml:space="preserve"> et qu’il n’est pas compatible avec l’objectif du règlement (CE) nº 1829/2003 et les principes généraux du règlement (CE) nº 178/2002, à savoir la protection de la vie et de la santé des personnes, de la santé et du bien-être des animaux, de l’environnement et des intérêts des consommateurs </w:t>
      </w:r>
      <w:r w:rsidRPr="00FE48B8">
        <w:rPr>
          <w:rFonts w:ascii="Times New Roman" w:hAnsi="Times New Roman"/>
          <w:b/>
          <w:lang w:val="fr-FR"/>
        </w:rPr>
        <w:t>(paragraphe 2)</w:t>
      </w:r>
      <w:r w:rsidRPr="00FE48B8">
        <w:rPr>
          <w:rFonts w:ascii="Times New Roman" w:hAnsi="Times New Roman"/>
          <w:lang w:val="fr-FR"/>
        </w:rPr>
        <w:t xml:space="preserve">. En outre, la résolution demande à la Commission de suspendre toute décision d’exécution relative aux demandes d’autorisation d’organismes génétiquement modifiés jusqu’à ce que la procédure </w:t>
      </w:r>
      <w:proofErr w:type="gramStart"/>
      <w:r w:rsidRPr="00FE48B8">
        <w:rPr>
          <w:rFonts w:ascii="Times New Roman" w:hAnsi="Times New Roman"/>
          <w:lang w:val="fr-FR"/>
        </w:rPr>
        <w:t>d’autorisation</w:t>
      </w:r>
      <w:proofErr w:type="gramEnd"/>
      <w:r w:rsidRPr="00FE48B8">
        <w:rPr>
          <w:rFonts w:ascii="Times New Roman" w:hAnsi="Times New Roman"/>
          <w:lang w:val="fr-FR"/>
        </w:rPr>
        <w:t xml:space="preserve"> ait été révisée de manière à remédier aux lacunes de la procédure actuelle, qui s’est révélée inadéquate</w:t>
      </w:r>
      <w:r w:rsidRPr="00FE48B8">
        <w:rPr>
          <w:lang w:val="fr-FR"/>
        </w:rPr>
        <w:t xml:space="preserve"> </w:t>
      </w:r>
      <w:r w:rsidRPr="00FE48B8">
        <w:rPr>
          <w:rFonts w:ascii="Times New Roman" w:hAnsi="Times New Roman"/>
          <w:b/>
          <w:lang w:val="fr-FR"/>
        </w:rPr>
        <w:t>(paragraphe 4)</w:t>
      </w:r>
      <w:r w:rsidRPr="00FE48B8">
        <w:rPr>
          <w:rFonts w:ascii="Times New Roman" w:hAnsi="Times New Roman"/>
          <w:lang w:val="fr-FR"/>
        </w:rPr>
        <w:t>.</w:t>
      </w:r>
    </w:p>
    <w:p w:rsidR="00063E84" w:rsidRPr="00FE48B8" w:rsidRDefault="00063E84" w:rsidP="00063E84">
      <w:pPr>
        <w:spacing w:after="120"/>
        <w:ind w:right="-30"/>
        <w:rPr>
          <w:rFonts w:ascii="Times New Roman" w:hAnsi="Times New Roman"/>
          <w:szCs w:val="24"/>
          <w:lang w:val="fr-FR"/>
        </w:rPr>
      </w:pPr>
      <w:r w:rsidRPr="00FE48B8">
        <w:rPr>
          <w:rFonts w:ascii="Times New Roman" w:hAnsi="Times New Roman"/>
          <w:lang w:val="fr-FR"/>
        </w:rPr>
        <w:t>La résolution rappelle les résultats du vote du comité permanent du 27 mars 2017 sur le projet de décision d’exécution (</w:t>
      </w:r>
      <w:r w:rsidRPr="00FE48B8">
        <w:rPr>
          <w:rFonts w:ascii="Times New Roman" w:hAnsi="Times New Roman"/>
          <w:b/>
          <w:lang w:val="fr-FR"/>
        </w:rPr>
        <w:t>considérant H</w:t>
      </w:r>
      <w:r w:rsidRPr="00FE48B8">
        <w:rPr>
          <w:rFonts w:ascii="Times New Roman" w:hAnsi="Times New Roman"/>
          <w:lang w:val="fr-FR"/>
        </w:rPr>
        <w:t>),</w:t>
      </w:r>
      <w:r w:rsidRPr="00FE48B8">
        <w:rPr>
          <w:rFonts w:ascii="Times New Roman" w:hAnsi="Times New Roman"/>
          <w:b/>
          <w:lang w:val="fr-FR"/>
        </w:rPr>
        <w:t xml:space="preserve"> </w:t>
      </w:r>
      <w:r w:rsidRPr="00FE48B8">
        <w:rPr>
          <w:rFonts w:ascii="Times New Roman" w:hAnsi="Times New Roman"/>
          <w:lang w:val="fr-FR"/>
        </w:rPr>
        <w:t xml:space="preserve">rappelle que le coton génétiquement modifié est tolérant au </w:t>
      </w:r>
      <w:proofErr w:type="spellStart"/>
      <w:r w:rsidRPr="00FE48B8">
        <w:rPr>
          <w:rFonts w:ascii="Times New Roman" w:hAnsi="Times New Roman"/>
          <w:lang w:val="fr-FR"/>
        </w:rPr>
        <w:t>glufosinate</w:t>
      </w:r>
      <w:proofErr w:type="spellEnd"/>
      <w:r w:rsidRPr="00FE48B8">
        <w:rPr>
          <w:rFonts w:ascii="Times New Roman" w:hAnsi="Times New Roman"/>
          <w:lang w:val="fr-FR"/>
        </w:rPr>
        <w:t xml:space="preserve">-ammonium et que celui-ci est classé comme toxique pour la reproduction </w:t>
      </w:r>
      <w:r w:rsidRPr="00FE48B8">
        <w:rPr>
          <w:rFonts w:ascii="Times New Roman" w:hAnsi="Times New Roman"/>
          <w:b/>
          <w:lang w:val="fr-FR"/>
        </w:rPr>
        <w:t>(considérants C et D)</w:t>
      </w:r>
      <w:r w:rsidRPr="00FE48B8">
        <w:rPr>
          <w:rFonts w:ascii="Times New Roman" w:hAnsi="Times New Roman"/>
          <w:lang w:val="fr-FR"/>
        </w:rPr>
        <w:t>.</w:t>
      </w:r>
    </w:p>
    <w:p w:rsidR="00063E84" w:rsidRPr="00FE48B8" w:rsidRDefault="00063E84" w:rsidP="00063E84">
      <w:pPr>
        <w:spacing w:after="120"/>
        <w:ind w:right="-30"/>
        <w:rPr>
          <w:rFonts w:ascii="Times New Roman" w:hAnsi="Times New Roman"/>
          <w:szCs w:val="24"/>
          <w:lang w:val="fr-FR"/>
        </w:rPr>
      </w:pPr>
      <w:r w:rsidRPr="00FE48B8">
        <w:rPr>
          <w:rFonts w:ascii="Times New Roman" w:hAnsi="Times New Roman"/>
          <w:lang w:val="fr-FR"/>
        </w:rPr>
        <w:t>En outre, la résolution rappelle que le Parlement a rejeté la proposition législative de la Commission du 22 avril 2015 modifiant le règlement (CE) nº 1829/2003 et a invité la Commission à la retirer et à en présenter une nouvelle (</w:t>
      </w:r>
      <w:r w:rsidRPr="00FE48B8">
        <w:rPr>
          <w:rFonts w:ascii="Times New Roman" w:hAnsi="Times New Roman"/>
          <w:b/>
          <w:lang w:val="fr-FR"/>
        </w:rPr>
        <w:t>considérants I et J</w:t>
      </w:r>
      <w:r w:rsidRPr="00FE48B8">
        <w:rPr>
          <w:rFonts w:ascii="Times New Roman" w:hAnsi="Times New Roman"/>
          <w:lang w:val="fr-FR"/>
        </w:rPr>
        <w:t>).</w:t>
      </w:r>
    </w:p>
    <w:p w:rsidR="00063E84" w:rsidRPr="00FE48B8" w:rsidRDefault="00063E84" w:rsidP="00063E84">
      <w:pPr>
        <w:keepNext/>
        <w:spacing w:before="240"/>
        <w:ind w:left="567" w:right="-30" w:hanging="567"/>
        <w:rPr>
          <w:rFonts w:ascii="Times New Roman" w:hAnsi="Times New Roman"/>
          <w:b/>
          <w:color w:val="000000"/>
          <w:szCs w:val="24"/>
          <w:lang w:val="fr-FR"/>
        </w:rPr>
      </w:pPr>
      <w:r w:rsidRPr="00FE48B8">
        <w:rPr>
          <w:rFonts w:ascii="Times New Roman" w:hAnsi="Times New Roman"/>
          <w:b/>
          <w:color w:val="000000"/>
          <w:lang w:val="fr-FR"/>
        </w:rPr>
        <w:t>7.</w:t>
      </w:r>
      <w:r w:rsidRPr="00FE48B8">
        <w:rPr>
          <w:lang w:val="fr-FR"/>
        </w:rPr>
        <w:tab/>
      </w:r>
      <w:r w:rsidRPr="00FE48B8">
        <w:rPr>
          <w:rFonts w:ascii="Times New Roman" w:hAnsi="Times New Roman"/>
          <w:b/>
          <w:color w:val="000000"/>
          <w:lang w:val="fr-FR"/>
        </w:rPr>
        <w:t>Réponses aux demandes du Parlement européen et aperçu des mesures que la Commission a prises ou envisage de prendre:</w:t>
      </w:r>
    </w:p>
    <w:p w:rsidR="00063E84" w:rsidRPr="00FE48B8" w:rsidRDefault="00063E84" w:rsidP="00063E84">
      <w:pPr>
        <w:spacing w:after="120"/>
        <w:ind w:right="-30"/>
        <w:rPr>
          <w:rFonts w:ascii="Times New Roman" w:hAnsi="Times New Roman"/>
          <w:szCs w:val="24"/>
          <w:lang w:val="fr-FR"/>
        </w:rPr>
      </w:pPr>
      <w:r w:rsidRPr="00FE48B8">
        <w:rPr>
          <w:rFonts w:ascii="Times New Roman" w:hAnsi="Times New Roman"/>
          <w:lang w:val="fr-FR"/>
        </w:rPr>
        <w:t>La Commission tient à expliquer que le projet de décision d’exécution en objet autorise la mise sur le marché de coton génétiquement modifié GHB119 en application du règlement (CE) nº 1829/2003.</w:t>
      </w:r>
    </w:p>
    <w:p w:rsidR="00063E84" w:rsidRPr="00FE48B8" w:rsidRDefault="00063E84" w:rsidP="00063E84">
      <w:pPr>
        <w:spacing w:after="120"/>
        <w:ind w:right="-30"/>
        <w:rPr>
          <w:rFonts w:ascii="Times New Roman" w:hAnsi="Times New Roman"/>
          <w:szCs w:val="24"/>
          <w:lang w:val="fr-FR"/>
        </w:rPr>
      </w:pPr>
      <w:r w:rsidRPr="00FE48B8">
        <w:rPr>
          <w:rFonts w:ascii="Times New Roman" w:hAnsi="Times New Roman"/>
          <w:lang w:val="fr-FR"/>
        </w:rPr>
        <w:t xml:space="preserve">En ce qui concerne les </w:t>
      </w:r>
      <w:r w:rsidRPr="00FE48B8">
        <w:rPr>
          <w:rFonts w:ascii="Times New Roman" w:hAnsi="Times New Roman"/>
          <w:b/>
          <w:lang w:val="fr-FR"/>
        </w:rPr>
        <w:t>paragraphes 1 à 4</w:t>
      </w:r>
      <w:r w:rsidRPr="00FE48B8">
        <w:rPr>
          <w:rFonts w:ascii="Times New Roman" w:hAnsi="Times New Roman"/>
          <w:lang w:val="fr-FR"/>
        </w:rPr>
        <w:t xml:space="preserve"> de la résolution, la Commission souhaite souligner que le projet de décision d’exécution pour la mise sur le marché de produits de coton génétiquement modifié GHB119 a suivi en toute conformité les étapes de procédure définies dans le règlement (UE) nº 182/2011 sur la comitologie et dans le règlement (CE) nº 1829/2003 concernant les denrées alimentaires et les aliments pour animaux génétiquement modifiés, comme l’illustrent les faits ci-après:</w:t>
      </w:r>
    </w:p>
    <w:p w:rsidR="00063E84" w:rsidRPr="00FE48B8" w:rsidRDefault="00063E84" w:rsidP="00063E84">
      <w:pPr>
        <w:numPr>
          <w:ilvl w:val="1"/>
          <w:numId w:val="33"/>
        </w:numPr>
        <w:spacing w:after="120"/>
        <w:ind w:left="567" w:right="-30" w:hanging="567"/>
        <w:rPr>
          <w:rFonts w:ascii="Times New Roman" w:hAnsi="Times New Roman"/>
          <w:lang w:val="fr-FR"/>
        </w:rPr>
      </w:pPr>
      <w:r w:rsidRPr="00FE48B8">
        <w:rPr>
          <w:rFonts w:ascii="Times New Roman" w:hAnsi="Times New Roman"/>
          <w:snapToGrid w:val="0"/>
          <w:lang w:val="fr-FR"/>
        </w:rPr>
        <w:t xml:space="preserve">Le 25 mars 2011, </w:t>
      </w:r>
      <w:r w:rsidRPr="00FE48B8">
        <w:rPr>
          <w:rFonts w:ascii="Times New Roman" w:hAnsi="Times New Roman"/>
          <w:lang w:val="fr-FR"/>
        </w:rPr>
        <w:t xml:space="preserve">Bayer </w:t>
      </w:r>
      <w:r w:rsidRPr="00FE48B8">
        <w:rPr>
          <w:rFonts w:ascii="Times New Roman" w:hAnsi="Times New Roman"/>
          <w:color w:val="000000"/>
          <w:lang w:val="fr-FR"/>
        </w:rPr>
        <w:t>a soumis à l’autorité néerlandaise compétente</w:t>
      </w:r>
      <w:r w:rsidRPr="00FE48B8">
        <w:rPr>
          <w:rFonts w:ascii="Times New Roman" w:hAnsi="Times New Roman"/>
          <w:lang w:val="fr-FR"/>
        </w:rPr>
        <w:t xml:space="preserve"> </w:t>
      </w:r>
      <w:r w:rsidRPr="00FE48B8">
        <w:rPr>
          <w:rFonts w:ascii="Times New Roman" w:hAnsi="Times New Roman"/>
          <w:color w:val="000000"/>
          <w:lang w:val="fr-FR"/>
        </w:rPr>
        <w:t>une demande</w:t>
      </w:r>
      <w:r w:rsidRPr="00FE48B8">
        <w:rPr>
          <w:rFonts w:ascii="Times New Roman" w:hAnsi="Times New Roman"/>
          <w:lang w:val="fr-FR"/>
        </w:rPr>
        <w:t xml:space="preserve"> de mise sur le marché de coton GHB119 à des fins d’alimentation humaine ou animale.</w:t>
      </w:r>
    </w:p>
    <w:p w:rsidR="00063E84" w:rsidRPr="00FE48B8" w:rsidRDefault="00063E84" w:rsidP="00063E84">
      <w:pPr>
        <w:pStyle w:val="Considrant"/>
        <w:numPr>
          <w:ilvl w:val="1"/>
          <w:numId w:val="33"/>
        </w:numPr>
        <w:spacing w:before="0"/>
        <w:ind w:left="567" w:right="-30" w:hanging="567"/>
        <w:rPr>
          <w:lang w:val="fr-FR"/>
        </w:rPr>
      </w:pPr>
      <w:r w:rsidRPr="00FE48B8">
        <w:rPr>
          <w:lang w:val="fr-FR"/>
        </w:rPr>
        <w:t xml:space="preserve">L’Autorité européenne de sécurité des aliments (EFSA) a procédé à une évaluation complète des risques du produit et publié </w:t>
      </w:r>
      <w:r w:rsidRPr="00FE48B8">
        <w:rPr>
          <w:color w:val="000000"/>
          <w:lang w:val="fr-FR"/>
        </w:rPr>
        <w:t>le 21 octobre 2016</w:t>
      </w:r>
      <w:r w:rsidRPr="00FE48B8">
        <w:rPr>
          <w:lang w:val="fr-FR"/>
        </w:rPr>
        <w:t xml:space="preserve"> un avis favorable à cette demande, conformément aux articles 6 et 18 du règlement (CE) nº 1829/2003</w:t>
      </w:r>
      <w:r>
        <w:rPr>
          <w:rStyle w:val="FootnoteReference"/>
        </w:rPr>
        <w:footnoteReference w:id="1"/>
      </w:r>
      <w:r w:rsidRPr="00FE48B8">
        <w:rPr>
          <w:lang w:val="fr-FR"/>
        </w:rPr>
        <w:t>. L’EFSA a conclu que le coton génétiquement modifié GHB119 est aussi sûr et nutritif que le produit conventionnel de référence.</w:t>
      </w:r>
    </w:p>
    <w:p w:rsidR="00063E84" w:rsidRPr="00FE48B8" w:rsidRDefault="00063E84" w:rsidP="00063E84">
      <w:pPr>
        <w:pStyle w:val="Considrant"/>
        <w:numPr>
          <w:ilvl w:val="1"/>
          <w:numId w:val="33"/>
        </w:numPr>
        <w:spacing w:before="0"/>
        <w:ind w:left="567" w:right="-30" w:hanging="567"/>
        <w:rPr>
          <w:lang w:val="fr-FR"/>
        </w:rPr>
      </w:pPr>
      <w:r w:rsidRPr="00FE48B8">
        <w:rPr>
          <w:lang w:val="fr-FR"/>
        </w:rPr>
        <w:t>Dans son avis, l’EFSA a pris en considération l’ensemble des questions et préoccupations spécifiques exprimées par les États membres lors de la consultation des autorités nationales compétentes, comme le prévoient l’article 6, paragraphe 4, et l’article 18, paragraphe 4, du règlement (CE) nº 1829/2003.</w:t>
      </w:r>
    </w:p>
    <w:p w:rsidR="00063E84" w:rsidRPr="00FE48B8" w:rsidRDefault="00063E84" w:rsidP="00063E84">
      <w:pPr>
        <w:numPr>
          <w:ilvl w:val="1"/>
          <w:numId w:val="33"/>
        </w:numPr>
        <w:spacing w:after="120"/>
        <w:ind w:left="567" w:right="-30" w:hanging="567"/>
        <w:rPr>
          <w:rFonts w:ascii="Times New Roman" w:hAnsi="Times New Roman"/>
          <w:szCs w:val="24"/>
          <w:lang w:val="fr-FR"/>
        </w:rPr>
      </w:pPr>
      <w:r w:rsidRPr="00FE48B8">
        <w:rPr>
          <w:rFonts w:ascii="Times New Roman" w:hAnsi="Times New Roman"/>
          <w:lang w:val="fr-FR"/>
        </w:rPr>
        <w:t>La population avait la possibilité d’envoyer des observations concernant l’avis de l’EFSA dans un délai d’un mois après sa publication et aucune observation scientifique n’a été reçue.</w:t>
      </w:r>
    </w:p>
    <w:p w:rsidR="00063E84" w:rsidRPr="00FE48B8" w:rsidRDefault="00063E84" w:rsidP="00063E84">
      <w:pPr>
        <w:numPr>
          <w:ilvl w:val="1"/>
          <w:numId w:val="33"/>
        </w:numPr>
        <w:spacing w:after="120"/>
        <w:ind w:left="567" w:right="-30" w:hanging="567"/>
        <w:rPr>
          <w:rFonts w:ascii="Times New Roman" w:hAnsi="Times New Roman"/>
          <w:szCs w:val="24"/>
          <w:lang w:val="fr-FR"/>
        </w:rPr>
      </w:pPr>
      <w:r w:rsidRPr="00FE48B8">
        <w:rPr>
          <w:rFonts w:ascii="Times New Roman" w:hAnsi="Times New Roman"/>
          <w:lang w:val="fr-FR"/>
        </w:rPr>
        <w:t>Le projet de décision a été soumis au vote du comité permanent le 27 mars 2017; aucune majorité qualifiée ne s’est dégagée pour ou contre la décision.</w:t>
      </w:r>
    </w:p>
    <w:p w:rsidR="00063E84" w:rsidRPr="00FE48B8" w:rsidRDefault="00063E84" w:rsidP="00063E84">
      <w:pPr>
        <w:numPr>
          <w:ilvl w:val="1"/>
          <w:numId w:val="33"/>
        </w:numPr>
        <w:spacing w:after="120"/>
        <w:ind w:left="567" w:right="-30" w:hanging="567"/>
        <w:rPr>
          <w:rFonts w:ascii="Times New Roman" w:hAnsi="Times New Roman"/>
          <w:lang w:val="fr-FR"/>
        </w:rPr>
      </w:pPr>
      <w:r w:rsidRPr="00FE48B8">
        <w:rPr>
          <w:rFonts w:ascii="Times New Roman" w:hAnsi="Times New Roman"/>
          <w:lang w:val="fr-FR"/>
        </w:rPr>
        <w:t>En vertu des règles établies dans le règlement (UE) nº 182/2011 relatif à la comitologie, la Commission a soumis le projet de décision au comité d’appel le 16 mai 2017 et, là encore, aucune majorité qualifiée ne s’est dégagée pour ou contre la décision.</w:t>
      </w:r>
    </w:p>
    <w:p w:rsidR="00063E84" w:rsidRPr="00FE48B8" w:rsidRDefault="00063E84" w:rsidP="00063E84">
      <w:pPr>
        <w:spacing w:after="120"/>
        <w:ind w:right="-30"/>
        <w:rPr>
          <w:rFonts w:ascii="Times New Roman" w:hAnsi="Times New Roman"/>
          <w:lang w:val="fr-FR"/>
        </w:rPr>
      </w:pPr>
      <w:r w:rsidRPr="00FE48B8">
        <w:rPr>
          <w:rFonts w:ascii="Times New Roman" w:hAnsi="Times New Roman"/>
          <w:lang w:val="fr-FR"/>
        </w:rPr>
        <w:t xml:space="preserve">Par conséquent, la Commission estime ne pas passer outre ses compétences d’exécution en adoptant une décision entièrement conforme à la procédure fixée par les </w:t>
      </w:r>
      <w:proofErr w:type="spellStart"/>
      <w:r w:rsidRPr="00FE48B8">
        <w:rPr>
          <w:rFonts w:ascii="Times New Roman" w:hAnsi="Times New Roman"/>
          <w:lang w:val="fr-FR"/>
        </w:rPr>
        <w:t>colégislateurs</w:t>
      </w:r>
      <w:proofErr w:type="spellEnd"/>
      <w:r w:rsidRPr="00FE48B8">
        <w:rPr>
          <w:rFonts w:ascii="Times New Roman" w:hAnsi="Times New Roman"/>
          <w:lang w:val="fr-FR"/>
        </w:rPr>
        <w:t xml:space="preserve"> dans la législation relative aux organismes génétiquement modifiés (OGM). Il n’y a dès lors pas de motif de retirer le projet de décision pour l’autorisation du coton GM GHB119.</w:t>
      </w:r>
    </w:p>
    <w:p w:rsidR="00063E84" w:rsidRPr="00FE48B8" w:rsidRDefault="00063E84" w:rsidP="00063E84">
      <w:pPr>
        <w:spacing w:after="120"/>
        <w:ind w:right="-30"/>
        <w:rPr>
          <w:rFonts w:ascii="Times New Roman" w:hAnsi="Times New Roman"/>
          <w:lang w:val="fr-FR"/>
        </w:rPr>
      </w:pPr>
      <w:r w:rsidRPr="00FE48B8">
        <w:rPr>
          <w:rFonts w:ascii="Times New Roman" w:hAnsi="Times New Roman"/>
          <w:lang w:val="fr-FR"/>
        </w:rPr>
        <w:t>Lors de la réunion du 3 mai 2017 de la commission de l’environnement, de la santé publique et de la sécurité alimentaire du Parlement européen, la Commission a expliqué dans le détail l’état d’avancement de la procédure d’autorisation et a aussi démontré qu’elle n’a pas excédé ses compétences d’exécution.</w:t>
      </w:r>
    </w:p>
    <w:p w:rsidR="00063E84" w:rsidRPr="00FE48B8" w:rsidRDefault="00063E84" w:rsidP="00063E84">
      <w:pPr>
        <w:spacing w:after="120"/>
        <w:ind w:right="-30"/>
        <w:rPr>
          <w:rFonts w:ascii="Times New Roman" w:hAnsi="Times New Roman"/>
          <w:lang w:val="fr-FR"/>
        </w:rPr>
      </w:pPr>
      <w:r w:rsidRPr="00FE48B8">
        <w:rPr>
          <w:rFonts w:ascii="Times New Roman" w:hAnsi="Times New Roman"/>
          <w:lang w:val="fr-FR"/>
        </w:rPr>
        <w:t xml:space="preserve">En ce qui concerne les </w:t>
      </w:r>
      <w:r w:rsidRPr="00FE48B8">
        <w:rPr>
          <w:rFonts w:ascii="Times New Roman" w:hAnsi="Times New Roman"/>
          <w:b/>
          <w:lang w:val="fr-FR"/>
        </w:rPr>
        <w:t>autres dispositions de la résolution</w:t>
      </w:r>
      <w:r w:rsidRPr="00FE48B8">
        <w:rPr>
          <w:rFonts w:ascii="Times New Roman" w:hAnsi="Times New Roman"/>
          <w:lang w:val="fr-FR"/>
        </w:rPr>
        <w:t>, la Commission considère que celles-ci dépassent le droit de regard du Parlement, qui se limite à examiner si le projet d’acte d’exécution excède les compétences d’exécution prévues dans l’acte de base. La Commission n’est donc pas tenue de justifier le projet d’acte d’exécution à l’égard de ces points. Néanmoins, ayant examiné attentivement les positions exprimées par le Parlement européen, la Commission souhaite formuler les observations suivantes:</w:t>
      </w:r>
    </w:p>
    <w:p w:rsidR="00063E84" w:rsidRPr="00FE48B8" w:rsidRDefault="00063E84" w:rsidP="00063E84">
      <w:pPr>
        <w:numPr>
          <w:ilvl w:val="0"/>
          <w:numId w:val="32"/>
        </w:numPr>
        <w:spacing w:after="120"/>
        <w:ind w:left="567" w:right="-30" w:hanging="567"/>
        <w:rPr>
          <w:rFonts w:ascii="Times New Roman" w:hAnsi="Times New Roman"/>
          <w:lang w:val="fr-FR"/>
        </w:rPr>
      </w:pPr>
      <w:r w:rsidRPr="00FE48B8">
        <w:rPr>
          <w:rFonts w:ascii="Times New Roman" w:hAnsi="Times New Roman"/>
          <w:lang w:val="fr-FR"/>
        </w:rPr>
        <w:t xml:space="preserve">Eu égard aux préoccupations spécifiques soulevées aux </w:t>
      </w:r>
      <w:r w:rsidRPr="00FE48B8">
        <w:rPr>
          <w:rFonts w:ascii="Times New Roman" w:hAnsi="Times New Roman"/>
          <w:b/>
          <w:lang w:val="fr-FR"/>
        </w:rPr>
        <w:t>considérants C et D</w:t>
      </w:r>
      <w:r w:rsidRPr="00FE48B8">
        <w:rPr>
          <w:rFonts w:ascii="Times New Roman" w:hAnsi="Times New Roman"/>
          <w:lang w:val="fr-FR"/>
        </w:rPr>
        <w:t xml:space="preserve"> de la résolution sur le fait que le coton GHB119 est tolérant aux herbicides à base de </w:t>
      </w:r>
      <w:proofErr w:type="spellStart"/>
      <w:r w:rsidRPr="00FE48B8">
        <w:rPr>
          <w:rFonts w:ascii="Times New Roman" w:hAnsi="Times New Roman"/>
          <w:lang w:val="fr-FR"/>
        </w:rPr>
        <w:t>glufosinate</w:t>
      </w:r>
      <w:proofErr w:type="spellEnd"/>
      <w:r w:rsidRPr="00FE48B8">
        <w:rPr>
          <w:rFonts w:ascii="Times New Roman" w:hAnsi="Times New Roman"/>
          <w:lang w:val="fr-FR"/>
        </w:rPr>
        <w:t xml:space="preserve"> ammonium, classé comme toxique pour la reproduction, la Commission tient à souligner que l’évaluation des risques et l’autorisation des herbicides à base de </w:t>
      </w:r>
      <w:proofErr w:type="spellStart"/>
      <w:r w:rsidRPr="00FE48B8">
        <w:rPr>
          <w:rFonts w:ascii="Times New Roman" w:hAnsi="Times New Roman"/>
          <w:lang w:val="fr-FR"/>
        </w:rPr>
        <w:t>glufosinate</w:t>
      </w:r>
      <w:proofErr w:type="spellEnd"/>
      <w:r w:rsidRPr="00FE48B8">
        <w:rPr>
          <w:rFonts w:ascii="Times New Roman" w:hAnsi="Times New Roman"/>
          <w:lang w:val="fr-FR"/>
        </w:rPr>
        <w:t xml:space="preserve"> ammonium sont soumises aux procédures définies dans le règlement (CE) nº 1107/2009 et que les limites maximales de résidus (LMR) sont fixées par le règlement (CE) nº 396/2005. Ces règles s’appliquent à toutes les plantes et tous les produits pertinents, qu’ils soient ou non génétiquement modifiés (GM), y compris ce coton GM. De même, les futures décisions relatives à l’autorisation ou au renouvellement de l’herbicide susmentionné et de ses LMR seraient également applicables à ce coton GM. Selon l’avis de l’EFSA, l’usage prévu du coton GHB119 est sûr et répond entièrement aux exigences du règlement (CE) nº 1829/2003 applicable aux autorisations d’OGM.</w:t>
      </w:r>
    </w:p>
    <w:p w:rsidR="00063E84" w:rsidRPr="00FE48B8" w:rsidRDefault="00063E84" w:rsidP="00063E84">
      <w:pPr>
        <w:pStyle w:val="ListBullet2"/>
        <w:numPr>
          <w:ilvl w:val="0"/>
          <w:numId w:val="32"/>
        </w:numPr>
        <w:spacing w:after="120"/>
        <w:ind w:left="567" w:right="-30" w:hanging="567"/>
        <w:rPr>
          <w:rFonts w:ascii="Times New Roman" w:hAnsi="Times New Roman"/>
          <w:szCs w:val="24"/>
          <w:lang w:val="fr-FR"/>
        </w:rPr>
      </w:pPr>
      <w:r w:rsidRPr="00FE48B8">
        <w:rPr>
          <w:rFonts w:ascii="Times New Roman" w:hAnsi="Times New Roman"/>
          <w:lang w:val="fr-FR"/>
        </w:rPr>
        <w:t>Eu égard aux résultats du vote du comité permanent du 27 mars 2017 (</w:t>
      </w:r>
      <w:r w:rsidRPr="00FE48B8">
        <w:rPr>
          <w:rFonts w:ascii="Times New Roman" w:hAnsi="Times New Roman"/>
          <w:b/>
          <w:lang w:val="fr-FR"/>
        </w:rPr>
        <w:t>considérant H</w:t>
      </w:r>
      <w:r w:rsidRPr="00FE48B8">
        <w:rPr>
          <w:rFonts w:ascii="Times New Roman" w:hAnsi="Times New Roman"/>
          <w:lang w:val="fr-FR"/>
        </w:rPr>
        <w:t>), la Commission tient à souligner que l’absence de majorité qualifiée – c’est-à-dire que les États membres ne parviennent pas à émettre un avis sur les autorisations relatives aux denrées alimentaires et aliments pour animaux GM – est le facteur sous-jacent de la proposition législative</w:t>
      </w:r>
      <w:r>
        <w:rPr>
          <w:vertAlign w:val="superscript"/>
        </w:rPr>
        <w:footnoteReference w:id="2"/>
      </w:r>
      <w:r w:rsidRPr="00FE48B8">
        <w:rPr>
          <w:rFonts w:ascii="Times New Roman" w:hAnsi="Times New Roman"/>
          <w:lang w:val="fr-FR"/>
        </w:rPr>
        <w:t xml:space="preserve"> de la Commission, qui une fois adoptée par les </w:t>
      </w:r>
      <w:proofErr w:type="spellStart"/>
      <w:r w:rsidRPr="00FE48B8">
        <w:rPr>
          <w:rFonts w:ascii="Times New Roman" w:hAnsi="Times New Roman"/>
          <w:lang w:val="fr-FR"/>
        </w:rPr>
        <w:t>colégislateurs</w:t>
      </w:r>
      <w:proofErr w:type="spellEnd"/>
      <w:r w:rsidRPr="00FE48B8">
        <w:rPr>
          <w:rFonts w:ascii="Times New Roman" w:hAnsi="Times New Roman"/>
          <w:lang w:val="fr-FR"/>
        </w:rPr>
        <w:t>, permettrait aux États membres de restreindre ou d’interdire l’utilisation de denrées alimentaires ou d’aliments pour animaux GM sur leur territoire pour des raisons autres que la sécurité.</w:t>
      </w:r>
    </w:p>
    <w:p w:rsidR="00063E84" w:rsidRPr="00FE48B8" w:rsidRDefault="00063E84" w:rsidP="00063E84">
      <w:pPr>
        <w:pStyle w:val="ListBullet2"/>
        <w:numPr>
          <w:ilvl w:val="0"/>
          <w:numId w:val="32"/>
        </w:numPr>
        <w:spacing w:after="120"/>
        <w:ind w:left="567" w:right="-30" w:hanging="567"/>
        <w:rPr>
          <w:rFonts w:ascii="Times New Roman" w:hAnsi="Times New Roman"/>
          <w:szCs w:val="24"/>
          <w:lang w:val="fr-FR"/>
        </w:rPr>
      </w:pPr>
      <w:r w:rsidRPr="00FE48B8">
        <w:rPr>
          <w:rFonts w:ascii="Times New Roman" w:hAnsi="Times New Roman"/>
          <w:lang w:val="fr-FR"/>
        </w:rPr>
        <w:t xml:space="preserve">En ce qui concerne l’invitation à présenter une nouvelle proposition législative faite à la Commission au </w:t>
      </w:r>
      <w:r w:rsidRPr="00FE48B8">
        <w:rPr>
          <w:rFonts w:ascii="Times New Roman" w:hAnsi="Times New Roman"/>
          <w:b/>
          <w:lang w:val="fr-FR"/>
        </w:rPr>
        <w:t>considérant J</w:t>
      </w:r>
      <w:r w:rsidRPr="00FE48B8">
        <w:rPr>
          <w:rFonts w:ascii="Times New Roman" w:hAnsi="Times New Roman"/>
          <w:lang w:val="fr-FR"/>
        </w:rPr>
        <w:t xml:space="preserve">, la Commission tient à rappeler qu’elle déplore la décision du Parlement européen du 28 octobre 2015 rejetant la proposition législative, puisque celle-ci visait justement à </w:t>
      </w:r>
      <w:r w:rsidRPr="00FE48B8">
        <w:rPr>
          <w:rFonts w:ascii="Times New Roman" w:hAnsi="Times New Roman"/>
          <w:i/>
          <w:lang w:val="fr-FR"/>
        </w:rPr>
        <w:t>«[prendre] en compte des préoccupations nationales souvent exprimées, qui ne portent pas seulement sur les questions de sécurité des OGM pour la santé et l’environnement»</w:t>
      </w:r>
      <w:r w:rsidRPr="00FE48B8">
        <w:rPr>
          <w:rFonts w:ascii="Times New Roman" w:hAnsi="Times New Roman"/>
          <w:lang w:val="fr-FR"/>
        </w:rPr>
        <w:t>. Par conséquent, la Commission maintient sa proposition d’origine, laquelle, si elle était adoptée, permettrait aux États membres de restreindre ou d’interdire l’utilisation de denrées alimentaires ou d’aliments pour animaux GM après l’émission d’une décision par la Commission, sur le fondement de considérations nationales.</w:t>
      </w:r>
    </w:p>
    <w:p w:rsidR="00063E84" w:rsidRPr="00FE48B8" w:rsidRDefault="00063E84" w:rsidP="00063E84">
      <w:pPr>
        <w:pStyle w:val="ListBullet2"/>
        <w:numPr>
          <w:ilvl w:val="0"/>
          <w:numId w:val="32"/>
        </w:numPr>
        <w:spacing w:after="120"/>
        <w:ind w:left="567" w:right="-30" w:hanging="567"/>
        <w:rPr>
          <w:rFonts w:ascii="Times New Roman" w:hAnsi="Times New Roman"/>
          <w:szCs w:val="24"/>
          <w:lang w:val="fr-FR"/>
        </w:rPr>
      </w:pPr>
      <w:r w:rsidRPr="00FE48B8">
        <w:rPr>
          <w:rFonts w:ascii="Times New Roman" w:hAnsi="Times New Roman"/>
          <w:lang w:val="fr-FR"/>
        </w:rPr>
        <w:t xml:space="preserve">De plus, comme évoqué au </w:t>
      </w:r>
      <w:r w:rsidRPr="00FE48B8">
        <w:rPr>
          <w:rFonts w:ascii="Times New Roman" w:hAnsi="Times New Roman"/>
          <w:b/>
          <w:lang w:val="fr-FR"/>
        </w:rPr>
        <w:t>considérant I</w:t>
      </w:r>
      <w:r w:rsidRPr="00FE48B8">
        <w:rPr>
          <w:rFonts w:ascii="Times New Roman" w:hAnsi="Times New Roman"/>
          <w:lang w:val="fr-FR"/>
        </w:rPr>
        <w:t>, la Commission a soumis le 14 février 2017 une proposition</w:t>
      </w:r>
      <w:r>
        <w:rPr>
          <w:rStyle w:val="FootnoteReference"/>
          <w:rFonts w:ascii="Times New Roman" w:hAnsi="Times New Roman"/>
        </w:rPr>
        <w:footnoteReference w:id="3"/>
      </w:r>
      <w:r w:rsidRPr="00FE48B8">
        <w:rPr>
          <w:rFonts w:ascii="Times New Roman" w:hAnsi="Times New Roman"/>
          <w:lang w:val="fr-FR"/>
        </w:rPr>
        <w:t xml:space="preserve"> au Conseil et au Parlement européen visant à modifier les règles relatives au vote au sein du comité d’appel, qui, si elle était adoptée par les </w:t>
      </w:r>
      <w:proofErr w:type="spellStart"/>
      <w:r w:rsidRPr="00FE48B8">
        <w:rPr>
          <w:rFonts w:ascii="Times New Roman" w:hAnsi="Times New Roman"/>
          <w:lang w:val="fr-FR"/>
        </w:rPr>
        <w:t>colégislateurs</w:t>
      </w:r>
      <w:proofErr w:type="spellEnd"/>
      <w:r w:rsidRPr="00FE48B8">
        <w:rPr>
          <w:rFonts w:ascii="Times New Roman" w:hAnsi="Times New Roman"/>
          <w:lang w:val="fr-FR"/>
        </w:rPr>
        <w:t>, améliorerait la transparence et la responsabilité dans le processus décisionnel en matière d’OGM.</w:t>
      </w:r>
    </w:p>
    <w:p w:rsidR="00E82F61" w:rsidRPr="00E82F61" w:rsidRDefault="00063E84" w:rsidP="00E82F61">
      <w:pPr>
        <w:numPr>
          <w:ilvl w:val="0"/>
          <w:numId w:val="32"/>
        </w:numPr>
        <w:spacing w:after="120"/>
        <w:ind w:left="567" w:right="-30" w:hanging="567"/>
        <w:rPr>
          <w:rStyle w:val="s2"/>
          <w:rFonts w:ascii="Times New Roman" w:hAnsi="Times New Roman"/>
          <w:sz w:val="24"/>
          <w:szCs w:val="24"/>
          <w:lang w:val="fr-FR"/>
        </w:rPr>
      </w:pPr>
      <w:r w:rsidRPr="00FE48B8">
        <w:rPr>
          <w:rFonts w:ascii="Times New Roman" w:hAnsi="Times New Roman"/>
          <w:lang w:val="fr-FR"/>
        </w:rPr>
        <w:t xml:space="preserve">En conclusion, la Commission souhaite souligner que, comme pour toute procédure législative soumise dans le cadre de la procédure ordinaire, les règles en vigueur restent applicables durant les négociations entre les </w:t>
      </w:r>
      <w:proofErr w:type="spellStart"/>
      <w:r w:rsidRPr="00FE48B8">
        <w:rPr>
          <w:rFonts w:ascii="Times New Roman" w:hAnsi="Times New Roman"/>
          <w:lang w:val="fr-FR"/>
        </w:rPr>
        <w:t>colégislateurs</w:t>
      </w:r>
      <w:proofErr w:type="spellEnd"/>
      <w:r w:rsidRPr="00FE48B8">
        <w:rPr>
          <w:rFonts w:ascii="Times New Roman" w:hAnsi="Times New Roman"/>
          <w:lang w:val="fr-FR"/>
        </w:rPr>
        <w:t xml:space="preserve"> et jusqu’à ce qu’un accord final soit trouvé. En conséquence, la Commission doit continuer à traiter les demandes pour les denrées alimentaires et les aliments pour animaux GM.</w:t>
      </w:r>
      <w:bookmarkStart w:id="0" w:name="_GoBack"/>
      <w:bookmarkEnd w:id="0"/>
    </w:p>
    <w:sectPr w:rsidR="00E82F61" w:rsidRPr="00E82F61" w:rsidSect="00E82F61">
      <w:footerReference w:type="even" r:id="rId9"/>
      <w:footerReference w:type="default" r:id="rId10"/>
      <w:pgSz w:w="11906" w:h="16838" w:code="9"/>
      <w:pgMar w:top="1021" w:right="1416" w:bottom="1021" w:left="1588" w:header="601"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2D" w:rsidRDefault="0000312D">
      <w:r>
        <w:separator/>
      </w:r>
    </w:p>
  </w:endnote>
  <w:endnote w:type="continuationSeparator" w:id="0">
    <w:p w:rsidR="0000312D" w:rsidRDefault="0000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E5" w:rsidRDefault="007224E5"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7224E5" w:rsidRDefault="00722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E5" w:rsidRDefault="007224E5"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2F61">
      <w:rPr>
        <w:rStyle w:val="PageNumber"/>
        <w:noProof/>
      </w:rPr>
      <w:t>2</w:t>
    </w:r>
    <w:r>
      <w:rPr>
        <w:rStyle w:val="PageNumber"/>
      </w:rPr>
      <w:fldChar w:fldCharType="end"/>
    </w:r>
  </w:p>
  <w:p w:rsidR="007224E5" w:rsidRPr="008A6623" w:rsidRDefault="007224E5"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2D" w:rsidRDefault="0000312D">
      <w:r>
        <w:separator/>
      </w:r>
    </w:p>
  </w:footnote>
  <w:footnote w:type="continuationSeparator" w:id="0">
    <w:p w:rsidR="0000312D" w:rsidRDefault="0000312D">
      <w:r>
        <w:continuationSeparator/>
      </w:r>
    </w:p>
  </w:footnote>
  <w:footnote w:id="1">
    <w:p w:rsidR="00063E84" w:rsidRPr="007224E5" w:rsidRDefault="00063E84" w:rsidP="00063E84">
      <w:pPr>
        <w:pStyle w:val="FootnoteText"/>
        <w:spacing w:after="120"/>
        <w:ind w:left="284" w:right="-312" w:hanging="284"/>
        <w:rPr>
          <w:rFonts w:ascii="Times New Roman" w:hAnsi="Times New Roman"/>
          <w:i/>
        </w:rPr>
      </w:pPr>
      <w:r>
        <w:rPr>
          <w:rStyle w:val="FootnoteReference"/>
        </w:rPr>
        <w:footnoteRef/>
      </w:r>
      <w:r w:rsidRPr="00FE48B8">
        <w:rPr>
          <w:lang w:val="fr-FR"/>
        </w:rPr>
        <w:tab/>
      </w:r>
      <w:r w:rsidRPr="00FE48B8">
        <w:rPr>
          <w:rFonts w:ascii="Times New Roman" w:hAnsi="Times New Roman"/>
          <w:lang w:val="fr-FR"/>
        </w:rPr>
        <w:t xml:space="preserve">Groupe scientifique sur les organismes génétiquement modifiés (groupe scientifique OGM) de l’EFSA, 2016. </w:t>
      </w:r>
      <w:r>
        <w:rPr>
          <w:rFonts w:ascii="Times New Roman" w:hAnsi="Times New Roman"/>
        </w:rPr>
        <w:t xml:space="preserve">«Scientific opinion on application (EFSA-GMO-NL-2011-96) for the placing on the market of genetically modified insect-resistant and herbicide-tolerant cotton GHB119, for food and feed uses, import and processing under Regulation (EC) No 1829/2003 from Bayer </w:t>
      </w:r>
      <w:proofErr w:type="spellStart"/>
      <w:r>
        <w:rPr>
          <w:rFonts w:ascii="Times New Roman" w:hAnsi="Times New Roman"/>
        </w:rPr>
        <w:t>CropScience</w:t>
      </w:r>
      <w:proofErr w:type="spellEnd"/>
      <w:r>
        <w:rPr>
          <w:rFonts w:ascii="Times New Roman" w:hAnsi="Times New Roman"/>
        </w:rPr>
        <w:t xml:space="preserve"> AG». EFSA Journal, 2016, 14(10):4586, 27 p., doi:10.2903/j.efsa.2016.4586.</w:t>
      </w:r>
    </w:p>
  </w:footnote>
  <w:footnote w:id="2">
    <w:p w:rsidR="00063E84" w:rsidRPr="00FE48B8" w:rsidRDefault="00063E84" w:rsidP="00063E84">
      <w:pPr>
        <w:pStyle w:val="FootnoteText"/>
        <w:spacing w:after="120"/>
        <w:ind w:left="284" w:right="-314" w:hanging="284"/>
        <w:rPr>
          <w:rFonts w:ascii="Times New Roman" w:hAnsi="Times New Roman"/>
          <w:szCs w:val="22"/>
          <w:lang w:val="fr-FR" w:eastAsia="en-US"/>
        </w:rPr>
      </w:pPr>
      <w:r>
        <w:rPr>
          <w:rStyle w:val="FootnoteReference"/>
        </w:rPr>
        <w:footnoteRef/>
      </w:r>
      <w:r w:rsidRPr="00FE48B8">
        <w:rPr>
          <w:lang w:val="fr-FR"/>
        </w:rPr>
        <w:tab/>
      </w:r>
      <w:r w:rsidRPr="00FE48B8">
        <w:rPr>
          <w:rFonts w:ascii="Times New Roman" w:hAnsi="Times New Roman"/>
          <w:lang w:val="fr-FR"/>
        </w:rPr>
        <w:t>Proposition de règlement du Parlement européen et du Conseil modifiant le règlement (CE) nº 1829/2003 en ce qui concerne la possibilité pour les États membres de restreindre ou d’interdire sur leur territoire l’utilisation de denrées alimentaires et d’aliments pour animaux génétiquement modifiés [COM(2015) 177 final].</w:t>
      </w:r>
    </w:p>
  </w:footnote>
  <w:footnote w:id="3">
    <w:p w:rsidR="00063E84" w:rsidRPr="00FE48B8" w:rsidRDefault="00063E84" w:rsidP="00063E84">
      <w:pPr>
        <w:pStyle w:val="FootnoteText"/>
        <w:spacing w:after="120"/>
        <w:ind w:left="284" w:right="-314" w:hanging="284"/>
        <w:rPr>
          <w:rFonts w:ascii="Times New Roman" w:hAnsi="Times New Roman"/>
          <w:lang w:val="fr-FR"/>
        </w:rPr>
      </w:pPr>
      <w:r>
        <w:rPr>
          <w:rStyle w:val="FootnoteReference"/>
          <w:rFonts w:ascii="Times New Roman" w:hAnsi="Times New Roman"/>
        </w:rPr>
        <w:footnoteRef/>
      </w:r>
      <w:r w:rsidRPr="00FE48B8">
        <w:rPr>
          <w:lang w:val="fr-FR"/>
        </w:rPr>
        <w:tab/>
      </w:r>
      <w:r w:rsidRPr="00FE48B8">
        <w:rPr>
          <w:rFonts w:ascii="Times New Roman" w:hAnsi="Times New Roman"/>
          <w:lang w:val="fr-FR"/>
        </w:rPr>
        <w:t>Proposition de règlement du Parlement européen et du Conseil portant modification du règlement (UE) nº 182/2011 établissant les règles et principes généraux relatifs aux modalités de contrôle par les États membres de l’exercice des compétences d’exécution par la Commission [COM(2017) 85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3713857"/>
    <w:multiLevelType w:val="hybridMultilevel"/>
    <w:tmpl w:val="5CAE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7956F9"/>
    <w:multiLevelType w:val="hybridMultilevel"/>
    <w:tmpl w:val="A464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7">
    <w:nsid w:val="10831A51"/>
    <w:multiLevelType w:val="hybridMultilevel"/>
    <w:tmpl w:val="BCAED5BC"/>
    <w:lvl w:ilvl="0" w:tplc="7C765058">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0A36E1D"/>
    <w:multiLevelType w:val="hybridMultilevel"/>
    <w:tmpl w:val="C4DE145C"/>
    <w:lvl w:ilvl="0" w:tplc="F37097B6">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1244F22"/>
    <w:multiLevelType w:val="hybridMultilevel"/>
    <w:tmpl w:val="C7CA0EAA"/>
    <w:lvl w:ilvl="0" w:tplc="F37097B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29A61D9"/>
    <w:multiLevelType w:val="hybridMultilevel"/>
    <w:tmpl w:val="7B76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2">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846745F"/>
    <w:multiLevelType w:val="hybridMultilevel"/>
    <w:tmpl w:val="A21A5F70"/>
    <w:lvl w:ilvl="0" w:tplc="C5F84428">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92973D2"/>
    <w:multiLevelType w:val="hybridMultilevel"/>
    <w:tmpl w:val="9AA8AA5A"/>
    <w:lvl w:ilvl="0" w:tplc="C104331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7">
    <w:nsid w:val="1EBC4717"/>
    <w:multiLevelType w:val="hybridMultilevel"/>
    <w:tmpl w:val="FC04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9015B4"/>
    <w:multiLevelType w:val="hybridMultilevel"/>
    <w:tmpl w:val="1E9CBA00"/>
    <w:lvl w:ilvl="0" w:tplc="08090011">
      <w:start w:val="1"/>
      <w:numFmt w:val="decimal"/>
      <w:lvlText w:val="%1)"/>
      <w:lvlJc w:val="left"/>
      <w:pPr>
        <w:ind w:left="360" w:hanging="360"/>
      </w:pPr>
      <w:rPr>
        <w:b/>
      </w:rPr>
    </w:lvl>
    <w:lvl w:ilvl="1" w:tplc="08090011">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167231E"/>
    <w:multiLevelType w:val="hybridMultilevel"/>
    <w:tmpl w:val="A908369A"/>
    <w:lvl w:ilvl="0" w:tplc="046A943C">
      <w:start w:val="1"/>
      <w:numFmt w:val="decimal"/>
      <w:lvlText w:val="%1."/>
      <w:lvlJc w:val="left"/>
      <w:pPr>
        <w:tabs>
          <w:tab w:val="num" w:pos="360"/>
        </w:tabs>
        <w:ind w:left="360" w:hanging="360"/>
      </w:pPr>
      <w:rPr>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2F6713D"/>
    <w:multiLevelType w:val="hybridMultilevel"/>
    <w:tmpl w:val="5E426CAE"/>
    <w:numStyleLink w:val="ImportedStyle2"/>
  </w:abstractNum>
  <w:abstractNum w:abstractNumId="22">
    <w:nsid w:val="26890A0E"/>
    <w:multiLevelType w:val="hybridMultilevel"/>
    <w:tmpl w:val="29BEB162"/>
    <w:numStyleLink w:val="ImportedStyle1"/>
  </w:abstractNum>
  <w:abstractNum w:abstractNumId="23">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4">
    <w:nsid w:val="2B646943"/>
    <w:multiLevelType w:val="hybridMultilevel"/>
    <w:tmpl w:val="3D64ABC4"/>
    <w:lvl w:ilvl="0" w:tplc="F37097B6">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5B2A44"/>
    <w:multiLevelType w:val="hybridMultilevel"/>
    <w:tmpl w:val="1EDC6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386115C9"/>
    <w:multiLevelType w:val="hybridMultilevel"/>
    <w:tmpl w:val="086C824C"/>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398C7FD4"/>
    <w:multiLevelType w:val="hybridMultilevel"/>
    <w:tmpl w:val="89F26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CC05091"/>
    <w:multiLevelType w:val="hybridMultilevel"/>
    <w:tmpl w:val="45624F72"/>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5">
    <w:nsid w:val="3D2858D3"/>
    <w:multiLevelType w:val="hybridMultilevel"/>
    <w:tmpl w:val="5E00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F266148"/>
    <w:multiLevelType w:val="hybridMultilevel"/>
    <w:tmpl w:val="C374B214"/>
    <w:lvl w:ilvl="0" w:tplc="08090001">
      <w:start w:val="1"/>
      <w:numFmt w:val="bullet"/>
      <w:lvlText w:val=""/>
      <w:lvlJc w:val="left"/>
      <w:pPr>
        <w:ind w:left="720" w:hanging="360"/>
      </w:pPr>
      <w:rPr>
        <w:rFonts w:ascii="Symbol" w:hAnsi="Symbol" w:hint="default"/>
      </w:rPr>
    </w:lvl>
    <w:lvl w:ilvl="1" w:tplc="3B9C2DE2">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FBC5E55"/>
    <w:multiLevelType w:val="hybridMultilevel"/>
    <w:tmpl w:val="27EC1256"/>
    <w:lvl w:ilvl="0" w:tplc="F360363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16863B5"/>
    <w:multiLevelType w:val="hybridMultilevel"/>
    <w:tmpl w:val="E8A6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2F86434"/>
    <w:multiLevelType w:val="hybridMultilevel"/>
    <w:tmpl w:val="C92C109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C286899"/>
    <w:multiLevelType w:val="hybridMultilevel"/>
    <w:tmpl w:val="2750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52275D97"/>
    <w:multiLevelType w:val="hybridMultilevel"/>
    <w:tmpl w:val="63562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6456CF8"/>
    <w:multiLevelType w:val="hybridMultilevel"/>
    <w:tmpl w:val="C2F236DA"/>
    <w:lvl w:ilvl="0" w:tplc="F37097B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59F3060D"/>
    <w:multiLevelType w:val="hybridMultilevel"/>
    <w:tmpl w:val="BA76BD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47">
    <w:nsid w:val="5DB707F0"/>
    <w:multiLevelType w:val="hybridMultilevel"/>
    <w:tmpl w:val="88106B78"/>
    <w:lvl w:ilvl="0" w:tplc="F37097B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5E4B2C92"/>
    <w:multiLevelType w:val="hybridMultilevel"/>
    <w:tmpl w:val="2D52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E4D6B63"/>
    <w:multiLevelType w:val="hybridMultilevel"/>
    <w:tmpl w:val="EF8423CC"/>
    <w:lvl w:ilvl="0" w:tplc="EF3C7C0C">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5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68EC7604"/>
    <w:multiLevelType w:val="hybridMultilevel"/>
    <w:tmpl w:val="A2424CD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2">
    <w:nsid w:val="6985736D"/>
    <w:multiLevelType w:val="hybridMultilevel"/>
    <w:tmpl w:val="B812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55">
    <w:nsid w:val="72E34615"/>
    <w:multiLevelType w:val="hybridMultilevel"/>
    <w:tmpl w:val="9B40626E"/>
    <w:lvl w:ilvl="0" w:tplc="F37097B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59">
    <w:nsid w:val="76A904E4"/>
    <w:multiLevelType w:val="hybridMultilevel"/>
    <w:tmpl w:val="264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61">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62">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nsid w:val="7C75797A"/>
    <w:multiLevelType w:val="hybridMultilevel"/>
    <w:tmpl w:val="1C7C1F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ECB7708"/>
    <w:multiLevelType w:val="singleLevel"/>
    <w:tmpl w:val="5EA8E34C"/>
    <w:lvl w:ilvl="0">
      <w:start w:val="1"/>
      <w:numFmt w:val="decimal"/>
      <w:pStyle w:val="ATHeading1"/>
      <w:lvlText w:val="%1."/>
      <w:lvlJc w:val="left"/>
      <w:pPr>
        <w:tabs>
          <w:tab w:val="num" w:pos="360"/>
        </w:tabs>
        <w:ind w:left="360" w:hanging="360"/>
      </w:pPr>
    </w:lvl>
  </w:abstractNum>
  <w:abstractNum w:abstractNumId="65">
    <w:nsid w:val="7FF11907"/>
    <w:multiLevelType w:val="hybridMultilevel"/>
    <w:tmpl w:val="9F2A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1"/>
  </w:num>
  <w:num w:numId="4">
    <w:abstractNumId w:val="23"/>
  </w:num>
  <w:num w:numId="5">
    <w:abstractNumId w:val="54"/>
  </w:num>
  <w:num w:numId="6">
    <w:abstractNumId w:val="16"/>
  </w:num>
  <w:num w:numId="7">
    <w:abstractNumId w:val="11"/>
  </w:num>
  <w:num w:numId="8">
    <w:abstractNumId w:val="30"/>
  </w:num>
  <w:num w:numId="9">
    <w:abstractNumId w:val="60"/>
  </w:num>
  <w:num w:numId="10">
    <w:abstractNumId w:val="46"/>
  </w:num>
  <w:num w:numId="11">
    <w:abstractNumId w:val="50"/>
  </w:num>
  <w:num w:numId="12">
    <w:abstractNumId w:val="20"/>
  </w:num>
  <w:num w:numId="13">
    <w:abstractNumId w:val="33"/>
  </w:num>
  <w:num w:numId="14">
    <w:abstractNumId w:val="57"/>
  </w:num>
  <w:num w:numId="15">
    <w:abstractNumId w:val="29"/>
  </w:num>
  <w:num w:numId="16">
    <w:abstractNumId w:val="64"/>
  </w:num>
  <w:num w:numId="17">
    <w:abstractNumId w:val="58"/>
  </w:num>
  <w:num w:numId="18">
    <w:abstractNumId w:val="41"/>
  </w:num>
  <w:num w:numId="19">
    <w:abstractNumId w:val="44"/>
  </w:num>
  <w:num w:numId="20">
    <w:abstractNumId w:val="53"/>
  </w:num>
  <w:num w:numId="21">
    <w:abstractNumId w:val="5"/>
  </w:num>
  <w:num w:numId="22">
    <w:abstractNumId w:val="6"/>
  </w:num>
  <w:num w:numId="23">
    <w:abstractNumId w:val="28"/>
  </w:num>
  <w:num w:numId="24">
    <w:abstractNumId w:val="51"/>
  </w:num>
  <w:num w:numId="25">
    <w:abstractNumId w:val="45"/>
  </w:num>
  <w:num w:numId="26">
    <w:abstractNumId w:val="48"/>
  </w:num>
  <w:num w:numId="27">
    <w:abstractNumId w:val="22"/>
  </w:num>
  <w:num w:numId="28">
    <w:abstractNumId w:val="62"/>
  </w:num>
  <w:num w:numId="29">
    <w:abstractNumId w:val="21"/>
  </w:num>
  <w:num w:numId="30">
    <w:abstractNumId w:val="21"/>
    <w:lvlOverride w:ilvl="0">
      <w:lvl w:ilvl="0" w:tplc="EFC0541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CC0DC6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0A733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A88A21E">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C4BE1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B07C1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B6256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9B2A3A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D72435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39"/>
  </w:num>
  <w:num w:numId="32">
    <w:abstractNumId w:val="27"/>
  </w:num>
  <w:num w:numId="33">
    <w:abstractNumId w:val="56"/>
  </w:num>
  <w:num w:numId="34">
    <w:abstractNumId w:val="18"/>
  </w:num>
  <w:num w:numId="35">
    <w:abstractNumId w:val="65"/>
  </w:num>
  <w:num w:numId="36">
    <w:abstractNumId w:val="52"/>
  </w:num>
  <w:num w:numId="37">
    <w:abstractNumId w:val="34"/>
  </w:num>
  <w:num w:numId="38">
    <w:abstractNumId w:val="10"/>
  </w:num>
  <w:num w:numId="39">
    <w:abstractNumId w:val="49"/>
  </w:num>
  <w:num w:numId="40">
    <w:abstractNumId w:val="15"/>
  </w:num>
  <w:num w:numId="41">
    <w:abstractNumId w:val="3"/>
  </w:num>
  <w:num w:numId="42">
    <w:abstractNumId w:val="25"/>
  </w:num>
  <w:num w:numId="43">
    <w:abstractNumId w:val="23"/>
  </w:num>
  <w:num w:numId="44">
    <w:abstractNumId w:val="26"/>
  </w:num>
  <w:num w:numId="45">
    <w:abstractNumId w:val="59"/>
  </w:num>
  <w:num w:numId="46">
    <w:abstractNumId w:val="40"/>
  </w:num>
  <w:num w:numId="47">
    <w:abstractNumId w:val="38"/>
  </w:num>
  <w:num w:numId="48">
    <w:abstractNumId w:val="3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35"/>
  </w:num>
  <w:num w:numId="52">
    <w:abstractNumId w:val="31"/>
  </w:num>
  <w:num w:numId="53">
    <w:abstractNumId w:val="7"/>
  </w:num>
  <w:num w:numId="54">
    <w:abstractNumId w:val="32"/>
  </w:num>
  <w:num w:numId="55">
    <w:abstractNumId w:val="42"/>
  </w:num>
  <w:num w:numId="56">
    <w:abstractNumId w:val="4"/>
  </w:num>
  <w:num w:numId="57">
    <w:abstractNumId w:val="36"/>
  </w:num>
  <w:num w:numId="58">
    <w:abstractNumId w:val="17"/>
  </w:num>
  <w:num w:numId="59">
    <w:abstractNumId w:val="2"/>
  </w:num>
  <w:num w:numId="60">
    <w:abstractNumId w:val="63"/>
  </w:num>
  <w:num w:numId="61">
    <w:abstractNumId w:val="14"/>
  </w:num>
  <w:num w:numId="62">
    <w:abstractNumId w:val="9"/>
  </w:num>
  <w:num w:numId="63">
    <w:abstractNumId w:val="24"/>
  </w:num>
  <w:num w:numId="64">
    <w:abstractNumId w:val="43"/>
  </w:num>
  <w:num w:numId="65">
    <w:abstractNumId w:val="55"/>
  </w:num>
  <w:num w:numId="66">
    <w:abstractNumId w:val="8"/>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2D"/>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11"/>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C6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CE2"/>
    <w:rsid w:val="00030E3E"/>
    <w:rsid w:val="000310AA"/>
    <w:rsid w:val="000310E8"/>
    <w:rsid w:val="000315BD"/>
    <w:rsid w:val="00031793"/>
    <w:rsid w:val="00031A4C"/>
    <w:rsid w:val="00031BDA"/>
    <w:rsid w:val="00031CA2"/>
    <w:rsid w:val="00031D00"/>
    <w:rsid w:val="00031DA3"/>
    <w:rsid w:val="00031F4C"/>
    <w:rsid w:val="0003243D"/>
    <w:rsid w:val="0003254C"/>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15"/>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990"/>
    <w:rsid w:val="00055DF6"/>
    <w:rsid w:val="00055ED8"/>
    <w:rsid w:val="000568D7"/>
    <w:rsid w:val="000568F4"/>
    <w:rsid w:val="00056C02"/>
    <w:rsid w:val="00057006"/>
    <w:rsid w:val="00057285"/>
    <w:rsid w:val="0005742E"/>
    <w:rsid w:val="00057439"/>
    <w:rsid w:val="000574AC"/>
    <w:rsid w:val="0005753C"/>
    <w:rsid w:val="00057902"/>
    <w:rsid w:val="00057DAA"/>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3E84"/>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ED8"/>
    <w:rsid w:val="00074FA3"/>
    <w:rsid w:val="000751AC"/>
    <w:rsid w:val="000752DB"/>
    <w:rsid w:val="0007575A"/>
    <w:rsid w:val="00075847"/>
    <w:rsid w:val="00075908"/>
    <w:rsid w:val="00075952"/>
    <w:rsid w:val="00075C60"/>
    <w:rsid w:val="00077252"/>
    <w:rsid w:val="000776B1"/>
    <w:rsid w:val="000776D8"/>
    <w:rsid w:val="0007770B"/>
    <w:rsid w:val="00077912"/>
    <w:rsid w:val="00077B88"/>
    <w:rsid w:val="00077BFB"/>
    <w:rsid w:val="000800AF"/>
    <w:rsid w:val="00080191"/>
    <w:rsid w:val="0008029D"/>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41"/>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371"/>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7BD"/>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68"/>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5C1"/>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DE0"/>
    <w:rsid w:val="00100F0B"/>
    <w:rsid w:val="00101071"/>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7E2"/>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4E5"/>
    <w:rsid w:val="00114568"/>
    <w:rsid w:val="0011485F"/>
    <w:rsid w:val="001148C2"/>
    <w:rsid w:val="00114954"/>
    <w:rsid w:val="00114C21"/>
    <w:rsid w:val="00115521"/>
    <w:rsid w:val="0011570B"/>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5F1"/>
    <w:rsid w:val="00135DC8"/>
    <w:rsid w:val="00135F3C"/>
    <w:rsid w:val="001361F1"/>
    <w:rsid w:val="001363F1"/>
    <w:rsid w:val="001364BC"/>
    <w:rsid w:val="00136660"/>
    <w:rsid w:val="001366A2"/>
    <w:rsid w:val="00136D26"/>
    <w:rsid w:val="001370BE"/>
    <w:rsid w:val="00137319"/>
    <w:rsid w:val="00137470"/>
    <w:rsid w:val="00137C3D"/>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2CC6"/>
    <w:rsid w:val="00143061"/>
    <w:rsid w:val="00143335"/>
    <w:rsid w:val="00143391"/>
    <w:rsid w:val="001438FC"/>
    <w:rsid w:val="00143DDE"/>
    <w:rsid w:val="00143F3D"/>
    <w:rsid w:val="0014413D"/>
    <w:rsid w:val="00145246"/>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565"/>
    <w:rsid w:val="0015095B"/>
    <w:rsid w:val="00150A4F"/>
    <w:rsid w:val="00150F85"/>
    <w:rsid w:val="00151028"/>
    <w:rsid w:val="0015144C"/>
    <w:rsid w:val="00151521"/>
    <w:rsid w:val="00151572"/>
    <w:rsid w:val="00151969"/>
    <w:rsid w:val="00151B26"/>
    <w:rsid w:val="00151F5E"/>
    <w:rsid w:val="00151F7E"/>
    <w:rsid w:val="001520FA"/>
    <w:rsid w:val="0015220F"/>
    <w:rsid w:val="00152AAE"/>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CE9"/>
    <w:rsid w:val="00154E3C"/>
    <w:rsid w:val="00155050"/>
    <w:rsid w:val="00155265"/>
    <w:rsid w:val="001559B7"/>
    <w:rsid w:val="00155DAE"/>
    <w:rsid w:val="0015615D"/>
    <w:rsid w:val="001561D4"/>
    <w:rsid w:val="00156301"/>
    <w:rsid w:val="001565BD"/>
    <w:rsid w:val="00156775"/>
    <w:rsid w:val="00156BB9"/>
    <w:rsid w:val="0015715A"/>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8B0"/>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0CA6"/>
    <w:rsid w:val="00171357"/>
    <w:rsid w:val="001713B6"/>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13B"/>
    <w:rsid w:val="00174654"/>
    <w:rsid w:val="001747EB"/>
    <w:rsid w:val="00174CD1"/>
    <w:rsid w:val="001750CD"/>
    <w:rsid w:val="00175127"/>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BE8"/>
    <w:rsid w:val="00185CCB"/>
    <w:rsid w:val="00185D07"/>
    <w:rsid w:val="0018619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5E75"/>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303"/>
    <w:rsid w:val="001C25DA"/>
    <w:rsid w:val="001C2668"/>
    <w:rsid w:val="001C2D6D"/>
    <w:rsid w:val="001C2EEF"/>
    <w:rsid w:val="001C31B9"/>
    <w:rsid w:val="001C3321"/>
    <w:rsid w:val="001C394A"/>
    <w:rsid w:val="001C3D04"/>
    <w:rsid w:val="001C3EC5"/>
    <w:rsid w:val="001C4737"/>
    <w:rsid w:val="001C4833"/>
    <w:rsid w:val="001C48DA"/>
    <w:rsid w:val="001C4A99"/>
    <w:rsid w:val="001C4D23"/>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06"/>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CDC"/>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2D7"/>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4EB"/>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4A9"/>
    <w:rsid w:val="00253A58"/>
    <w:rsid w:val="00253F47"/>
    <w:rsid w:val="00253F7D"/>
    <w:rsid w:val="00253FB8"/>
    <w:rsid w:val="00254470"/>
    <w:rsid w:val="0025459C"/>
    <w:rsid w:val="002546A9"/>
    <w:rsid w:val="00254775"/>
    <w:rsid w:val="00254E58"/>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863"/>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1D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49AC"/>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6FB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C9C"/>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80B"/>
    <w:rsid w:val="003179CF"/>
    <w:rsid w:val="00317E3D"/>
    <w:rsid w:val="00320010"/>
    <w:rsid w:val="003201FF"/>
    <w:rsid w:val="00320682"/>
    <w:rsid w:val="00320862"/>
    <w:rsid w:val="00320881"/>
    <w:rsid w:val="003214CE"/>
    <w:rsid w:val="00321665"/>
    <w:rsid w:val="00321A5B"/>
    <w:rsid w:val="00321D00"/>
    <w:rsid w:val="00321D56"/>
    <w:rsid w:val="00321F48"/>
    <w:rsid w:val="00321F9A"/>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04F"/>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C4F"/>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38E"/>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0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3B"/>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961"/>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54"/>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A7"/>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1D6C"/>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5F"/>
    <w:rsid w:val="003D30D6"/>
    <w:rsid w:val="003D34E8"/>
    <w:rsid w:val="003D3A0C"/>
    <w:rsid w:val="003D3E70"/>
    <w:rsid w:val="003D41F2"/>
    <w:rsid w:val="003D4937"/>
    <w:rsid w:val="003D4B9D"/>
    <w:rsid w:val="003D4E2B"/>
    <w:rsid w:val="003D4F80"/>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9C1"/>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DB8"/>
    <w:rsid w:val="00415EE3"/>
    <w:rsid w:val="00415F40"/>
    <w:rsid w:val="0041604E"/>
    <w:rsid w:val="004161DD"/>
    <w:rsid w:val="004162C4"/>
    <w:rsid w:val="00416341"/>
    <w:rsid w:val="004168F3"/>
    <w:rsid w:val="004173EB"/>
    <w:rsid w:val="00417B31"/>
    <w:rsid w:val="0042018B"/>
    <w:rsid w:val="004203E3"/>
    <w:rsid w:val="0042055A"/>
    <w:rsid w:val="00420AC9"/>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E35"/>
    <w:rsid w:val="00430012"/>
    <w:rsid w:val="004302B7"/>
    <w:rsid w:val="0043054F"/>
    <w:rsid w:val="00430567"/>
    <w:rsid w:val="004308E5"/>
    <w:rsid w:val="004309E8"/>
    <w:rsid w:val="00430D5E"/>
    <w:rsid w:val="00430DFD"/>
    <w:rsid w:val="00431096"/>
    <w:rsid w:val="004322D4"/>
    <w:rsid w:val="00432570"/>
    <w:rsid w:val="0043269D"/>
    <w:rsid w:val="00432A76"/>
    <w:rsid w:val="00432F05"/>
    <w:rsid w:val="00432F2D"/>
    <w:rsid w:val="004330BC"/>
    <w:rsid w:val="00433783"/>
    <w:rsid w:val="0043396B"/>
    <w:rsid w:val="00433C0B"/>
    <w:rsid w:val="00434174"/>
    <w:rsid w:val="0043417D"/>
    <w:rsid w:val="0043433A"/>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7D0"/>
    <w:rsid w:val="00444B3D"/>
    <w:rsid w:val="00444C12"/>
    <w:rsid w:val="00444D1D"/>
    <w:rsid w:val="00444E76"/>
    <w:rsid w:val="00444EA8"/>
    <w:rsid w:val="00445040"/>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581"/>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1E1"/>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5E59"/>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AD2"/>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1CA"/>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A55"/>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FB"/>
    <w:rsid w:val="004A713E"/>
    <w:rsid w:val="004A72C3"/>
    <w:rsid w:val="004A73E9"/>
    <w:rsid w:val="004A7680"/>
    <w:rsid w:val="004A77AA"/>
    <w:rsid w:val="004A77B4"/>
    <w:rsid w:val="004A79E6"/>
    <w:rsid w:val="004B028E"/>
    <w:rsid w:val="004B038D"/>
    <w:rsid w:val="004B06B6"/>
    <w:rsid w:val="004B08AF"/>
    <w:rsid w:val="004B0A36"/>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AE"/>
    <w:rsid w:val="004B5DB8"/>
    <w:rsid w:val="004B5F0D"/>
    <w:rsid w:val="004B60AC"/>
    <w:rsid w:val="004B612F"/>
    <w:rsid w:val="004B6485"/>
    <w:rsid w:val="004B6618"/>
    <w:rsid w:val="004B6819"/>
    <w:rsid w:val="004B6840"/>
    <w:rsid w:val="004B6B02"/>
    <w:rsid w:val="004B6B5A"/>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4B7"/>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E41"/>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2E6"/>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C39"/>
    <w:rsid w:val="004F1CFE"/>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52A"/>
    <w:rsid w:val="005008E5"/>
    <w:rsid w:val="005009E3"/>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C9F"/>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1E65"/>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815"/>
    <w:rsid w:val="00527995"/>
    <w:rsid w:val="00527B51"/>
    <w:rsid w:val="00527CA2"/>
    <w:rsid w:val="0053006E"/>
    <w:rsid w:val="005300DA"/>
    <w:rsid w:val="00530157"/>
    <w:rsid w:val="00530208"/>
    <w:rsid w:val="00530472"/>
    <w:rsid w:val="005308E1"/>
    <w:rsid w:val="00530CAC"/>
    <w:rsid w:val="00531062"/>
    <w:rsid w:val="005313E3"/>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1F4"/>
    <w:rsid w:val="00534343"/>
    <w:rsid w:val="00534644"/>
    <w:rsid w:val="00534757"/>
    <w:rsid w:val="00535205"/>
    <w:rsid w:val="00535232"/>
    <w:rsid w:val="00535388"/>
    <w:rsid w:val="005358B3"/>
    <w:rsid w:val="005359B9"/>
    <w:rsid w:val="00535B25"/>
    <w:rsid w:val="00535C32"/>
    <w:rsid w:val="00536069"/>
    <w:rsid w:val="0053617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2A4"/>
    <w:rsid w:val="005513E0"/>
    <w:rsid w:val="005514EE"/>
    <w:rsid w:val="005516B2"/>
    <w:rsid w:val="00551930"/>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7F"/>
    <w:rsid w:val="005606DA"/>
    <w:rsid w:val="005607B2"/>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09F2"/>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CBD"/>
    <w:rsid w:val="005A3DA1"/>
    <w:rsid w:val="005A4403"/>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521"/>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12D"/>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131"/>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4ED8"/>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4"/>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866"/>
    <w:rsid w:val="005D5C1F"/>
    <w:rsid w:val="005D5D17"/>
    <w:rsid w:val="005D603E"/>
    <w:rsid w:val="005D60C9"/>
    <w:rsid w:val="005D60F7"/>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EA9"/>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8E6"/>
    <w:rsid w:val="005F2EF6"/>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538"/>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18B"/>
    <w:rsid w:val="00603808"/>
    <w:rsid w:val="00603B73"/>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BDF"/>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7AC"/>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2B9"/>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172"/>
    <w:rsid w:val="006312CA"/>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05C"/>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D94"/>
    <w:rsid w:val="00653E17"/>
    <w:rsid w:val="00654056"/>
    <w:rsid w:val="0065406F"/>
    <w:rsid w:val="00654090"/>
    <w:rsid w:val="00654280"/>
    <w:rsid w:val="006542F2"/>
    <w:rsid w:val="006543E4"/>
    <w:rsid w:val="006546BB"/>
    <w:rsid w:val="0065481D"/>
    <w:rsid w:val="00654A84"/>
    <w:rsid w:val="00654AB8"/>
    <w:rsid w:val="00654AD7"/>
    <w:rsid w:val="00654B50"/>
    <w:rsid w:val="00654B83"/>
    <w:rsid w:val="00654C56"/>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B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44"/>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2CFA"/>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0D3"/>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CF2"/>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042"/>
    <w:rsid w:val="006C1729"/>
    <w:rsid w:val="006C1916"/>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013"/>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6C3"/>
    <w:rsid w:val="006D2ED4"/>
    <w:rsid w:val="006D2FF8"/>
    <w:rsid w:val="006D302A"/>
    <w:rsid w:val="006D30B2"/>
    <w:rsid w:val="006D35FD"/>
    <w:rsid w:val="006D371B"/>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472"/>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0F"/>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5CE8"/>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30C7"/>
    <w:rsid w:val="0070343A"/>
    <w:rsid w:val="007035D6"/>
    <w:rsid w:val="007035E8"/>
    <w:rsid w:val="007039BA"/>
    <w:rsid w:val="00703AFB"/>
    <w:rsid w:val="00703BAE"/>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756"/>
    <w:rsid w:val="00707D18"/>
    <w:rsid w:val="00707F91"/>
    <w:rsid w:val="00710129"/>
    <w:rsid w:val="00710736"/>
    <w:rsid w:val="00710F1F"/>
    <w:rsid w:val="007112F8"/>
    <w:rsid w:val="007114A5"/>
    <w:rsid w:val="00711AB9"/>
    <w:rsid w:val="00711D25"/>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4E5"/>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192"/>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49"/>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2FA6"/>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310"/>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3A5"/>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10"/>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08E"/>
    <w:rsid w:val="007713FB"/>
    <w:rsid w:val="00771AE2"/>
    <w:rsid w:val="00771BFA"/>
    <w:rsid w:val="00771C6C"/>
    <w:rsid w:val="00771D80"/>
    <w:rsid w:val="00771E2B"/>
    <w:rsid w:val="0077203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5BB"/>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098"/>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24D"/>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3F2C"/>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2BF"/>
    <w:rsid w:val="007A3364"/>
    <w:rsid w:val="007A39CD"/>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CE"/>
    <w:rsid w:val="007A60E5"/>
    <w:rsid w:val="007A6309"/>
    <w:rsid w:val="007A64CF"/>
    <w:rsid w:val="007A6708"/>
    <w:rsid w:val="007A685F"/>
    <w:rsid w:val="007A6B94"/>
    <w:rsid w:val="007A6ED6"/>
    <w:rsid w:val="007A71D7"/>
    <w:rsid w:val="007A7600"/>
    <w:rsid w:val="007A7960"/>
    <w:rsid w:val="007A7B6F"/>
    <w:rsid w:val="007B0002"/>
    <w:rsid w:val="007B017D"/>
    <w:rsid w:val="007B01AF"/>
    <w:rsid w:val="007B06C1"/>
    <w:rsid w:val="007B075C"/>
    <w:rsid w:val="007B083D"/>
    <w:rsid w:val="007B09B4"/>
    <w:rsid w:val="007B09D1"/>
    <w:rsid w:val="007B1265"/>
    <w:rsid w:val="007B1A21"/>
    <w:rsid w:val="007B1ACD"/>
    <w:rsid w:val="007B21A9"/>
    <w:rsid w:val="007B21B1"/>
    <w:rsid w:val="007B234D"/>
    <w:rsid w:val="007B2840"/>
    <w:rsid w:val="007B28B4"/>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B04"/>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0FA"/>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5F79"/>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CFF"/>
    <w:rsid w:val="007E0F92"/>
    <w:rsid w:val="007E122B"/>
    <w:rsid w:val="007E1915"/>
    <w:rsid w:val="007E2202"/>
    <w:rsid w:val="007E225F"/>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05"/>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98C"/>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7C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0CC6"/>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4FE6"/>
    <w:rsid w:val="00815556"/>
    <w:rsid w:val="00815A27"/>
    <w:rsid w:val="00816205"/>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3EA"/>
    <w:rsid w:val="00843591"/>
    <w:rsid w:val="00843761"/>
    <w:rsid w:val="008438B6"/>
    <w:rsid w:val="00843AA6"/>
    <w:rsid w:val="00843E2B"/>
    <w:rsid w:val="00843FFE"/>
    <w:rsid w:val="0084406B"/>
    <w:rsid w:val="008443BA"/>
    <w:rsid w:val="0084458D"/>
    <w:rsid w:val="00844606"/>
    <w:rsid w:val="008446F6"/>
    <w:rsid w:val="00844AA5"/>
    <w:rsid w:val="008454C5"/>
    <w:rsid w:val="008458D1"/>
    <w:rsid w:val="00845939"/>
    <w:rsid w:val="00845AEA"/>
    <w:rsid w:val="00845C2E"/>
    <w:rsid w:val="00845D3D"/>
    <w:rsid w:val="00846069"/>
    <w:rsid w:val="008460AE"/>
    <w:rsid w:val="008462C7"/>
    <w:rsid w:val="0084644F"/>
    <w:rsid w:val="008464D2"/>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728"/>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8DD"/>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3E0"/>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AB4"/>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05"/>
    <w:rsid w:val="008714E6"/>
    <w:rsid w:val="0087151E"/>
    <w:rsid w:val="00871A9E"/>
    <w:rsid w:val="00871AF3"/>
    <w:rsid w:val="00871B95"/>
    <w:rsid w:val="00872461"/>
    <w:rsid w:val="008724E3"/>
    <w:rsid w:val="0087271B"/>
    <w:rsid w:val="00872BF7"/>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4E9"/>
    <w:rsid w:val="00875B1F"/>
    <w:rsid w:val="00875D8A"/>
    <w:rsid w:val="00875FD1"/>
    <w:rsid w:val="00875FFE"/>
    <w:rsid w:val="00876321"/>
    <w:rsid w:val="0087659D"/>
    <w:rsid w:val="00876731"/>
    <w:rsid w:val="00876797"/>
    <w:rsid w:val="008769B5"/>
    <w:rsid w:val="00876B80"/>
    <w:rsid w:val="00876E84"/>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C3"/>
    <w:rsid w:val="008A1392"/>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2A3"/>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C3F"/>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10"/>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9C3"/>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22"/>
    <w:rsid w:val="009020C2"/>
    <w:rsid w:val="00902760"/>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65B"/>
    <w:rsid w:val="00905775"/>
    <w:rsid w:val="00905939"/>
    <w:rsid w:val="0090594B"/>
    <w:rsid w:val="009059C1"/>
    <w:rsid w:val="00905A22"/>
    <w:rsid w:val="00905DB4"/>
    <w:rsid w:val="00906310"/>
    <w:rsid w:val="009064A7"/>
    <w:rsid w:val="00906817"/>
    <w:rsid w:val="009069DA"/>
    <w:rsid w:val="00906C6F"/>
    <w:rsid w:val="00906D85"/>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5E"/>
    <w:rsid w:val="00911A9D"/>
    <w:rsid w:val="00911BBF"/>
    <w:rsid w:val="00912489"/>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3D9"/>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6EE"/>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77E62"/>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470"/>
    <w:rsid w:val="00983580"/>
    <w:rsid w:val="009839A7"/>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4CB"/>
    <w:rsid w:val="0098673A"/>
    <w:rsid w:val="00986DA8"/>
    <w:rsid w:val="00986E12"/>
    <w:rsid w:val="0098705E"/>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14D"/>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6A"/>
    <w:rsid w:val="009A6CA4"/>
    <w:rsid w:val="009A6EA0"/>
    <w:rsid w:val="009A6FD9"/>
    <w:rsid w:val="009A6FF6"/>
    <w:rsid w:val="009A70AF"/>
    <w:rsid w:val="009A724D"/>
    <w:rsid w:val="009A727F"/>
    <w:rsid w:val="009A742A"/>
    <w:rsid w:val="009A7692"/>
    <w:rsid w:val="009A772C"/>
    <w:rsid w:val="009A794E"/>
    <w:rsid w:val="009A7C10"/>
    <w:rsid w:val="009A7CB6"/>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387"/>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868"/>
    <w:rsid w:val="009D2B9C"/>
    <w:rsid w:val="009D2BD0"/>
    <w:rsid w:val="009D2DE3"/>
    <w:rsid w:val="009D3718"/>
    <w:rsid w:val="009D38C0"/>
    <w:rsid w:val="009D3A3D"/>
    <w:rsid w:val="009D3B39"/>
    <w:rsid w:val="009D3C12"/>
    <w:rsid w:val="009D3C50"/>
    <w:rsid w:val="009D3D89"/>
    <w:rsid w:val="009D4016"/>
    <w:rsid w:val="009D4291"/>
    <w:rsid w:val="009D43EF"/>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066"/>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4A93"/>
    <w:rsid w:val="00A15108"/>
    <w:rsid w:val="00A1521B"/>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ED5"/>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10"/>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2B3"/>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161"/>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6A"/>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D54"/>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241"/>
    <w:rsid w:val="00A8050B"/>
    <w:rsid w:val="00A80624"/>
    <w:rsid w:val="00A8094A"/>
    <w:rsid w:val="00A80A31"/>
    <w:rsid w:val="00A80C47"/>
    <w:rsid w:val="00A80FCE"/>
    <w:rsid w:val="00A81089"/>
    <w:rsid w:val="00A8111C"/>
    <w:rsid w:val="00A813B1"/>
    <w:rsid w:val="00A8184C"/>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4E"/>
    <w:rsid w:val="00A9216C"/>
    <w:rsid w:val="00A928CC"/>
    <w:rsid w:val="00A92A99"/>
    <w:rsid w:val="00A92B1E"/>
    <w:rsid w:val="00A92DBF"/>
    <w:rsid w:val="00A9343B"/>
    <w:rsid w:val="00A93688"/>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6FE9"/>
    <w:rsid w:val="00A97011"/>
    <w:rsid w:val="00A970D3"/>
    <w:rsid w:val="00A97346"/>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671"/>
    <w:rsid w:val="00AA3A33"/>
    <w:rsid w:val="00AA3AFC"/>
    <w:rsid w:val="00AA3CC0"/>
    <w:rsid w:val="00AA3EF2"/>
    <w:rsid w:val="00AA3F94"/>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1C1"/>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5DC"/>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69D"/>
    <w:rsid w:val="00AD081B"/>
    <w:rsid w:val="00AD084B"/>
    <w:rsid w:val="00AD0A55"/>
    <w:rsid w:val="00AD101C"/>
    <w:rsid w:val="00AD1295"/>
    <w:rsid w:val="00AD14C1"/>
    <w:rsid w:val="00AD16FC"/>
    <w:rsid w:val="00AD1741"/>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C65"/>
    <w:rsid w:val="00AD5E0C"/>
    <w:rsid w:val="00AD6123"/>
    <w:rsid w:val="00AD6845"/>
    <w:rsid w:val="00AD6851"/>
    <w:rsid w:val="00AD68C1"/>
    <w:rsid w:val="00AD6C00"/>
    <w:rsid w:val="00AD6C74"/>
    <w:rsid w:val="00AD7053"/>
    <w:rsid w:val="00AD706B"/>
    <w:rsid w:val="00AD730B"/>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3DA2"/>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5FCB"/>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568"/>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544"/>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49D"/>
    <w:rsid w:val="00B15581"/>
    <w:rsid w:val="00B155AE"/>
    <w:rsid w:val="00B15A59"/>
    <w:rsid w:val="00B15D04"/>
    <w:rsid w:val="00B161E9"/>
    <w:rsid w:val="00B16354"/>
    <w:rsid w:val="00B16548"/>
    <w:rsid w:val="00B169DB"/>
    <w:rsid w:val="00B169F0"/>
    <w:rsid w:val="00B16AEC"/>
    <w:rsid w:val="00B16C7D"/>
    <w:rsid w:val="00B16EFC"/>
    <w:rsid w:val="00B17232"/>
    <w:rsid w:val="00B17491"/>
    <w:rsid w:val="00B1778C"/>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4BB"/>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6F1C"/>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BEC"/>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0F67"/>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390"/>
    <w:rsid w:val="00B55419"/>
    <w:rsid w:val="00B5548E"/>
    <w:rsid w:val="00B55AC6"/>
    <w:rsid w:val="00B55D56"/>
    <w:rsid w:val="00B55F9E"/>
    <w:rsid w:val="00B55FBA"/>
    <w:rsid w:val="00B560F0"/>
    <w:rsid w:val="00B56134"/>
    <w:rsid w:val="00B566BA"/>
    <w:rsid w:val="00B569A4"/>
    <w:rsid w:val="00B569B8"/>
    <w:rsid w:val="00B570F1"/>
    <w:rsid w:val="00B5720D"/>
    <w:rsid w:val="00B57DC9"/>
    <w:rsid w:val="00B57E2F"/>
    <w:rsid w:val="00B57E3A"/>
    <w:rsid w:val="00B600BB"/>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186"/>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9CC"/>
    <w:rsid w:val="00B82A7D"/>
    <w:rsid w:val="00B82C01"/>
    <w:rsid w:val="00B82C1F"/>
    <w:rsid w:val="00B82CAB"/>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29"/>
    <w:rsid w:val="00B917C1"/>
    <w:rsid w:val="00B91D5A"/>
    <w:rsid w:val="00B91F97"/>
    <w:rsid w:val="00B921B0"/>
    <w:rsid w:val="00B9259E"/>
    <w:rsid w:val="00B927CB"/>
    <w:rsid w:val="00B92CB2"/>
    <w:rsid w:val="00B92DCC"/>
    <w:rsid w:val="00B92FE6"/>
    <w:rsid w:val="00B93044"/>
    <w:rsid w:val="00B935F8"/>
    <w:rsid w:val="00B93687"/>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1B5"/>
    <w:rsid w:val="00B96316"/>
    <w:rsid w:val="00B963DB"/>
    <w:rsid w:val="00B964E1"/>
    <w:rsid w:val="00B9652D"/>
    <w:rsid w:val="00B965FD"/>
    <w:rsid w:val="00B96766"/>
    <w:rsid w:val="00B96864"/>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17F"/>
    <w:rsid w:val="00BB0790"/>
    <w:rsid w:val="00BB0E11"/>
    <w:rsid w:val="00BB0F25"/>
    <w:rsid w:val="00BB0F4D"/>
    <w:rsid w:val="00BB1628"/>
    <w:rsid w:val="00BB1803"/>
    <w:rsid w:val="00BB1837"/>
    <w:rsid w:val="00BB1857"/>
    <w:rsid w:val="00BB18C4"/>
    <w:rsid w:val="00BB1B9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9A8"/>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552"/>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9D8"/>
    <w:rsid w:val="00BD6C37"/>
    <w:rsid w:val="00BD6DFD"/>
    <w:rsid w:val="00BD6FDD"/>
    <w:rsid w:val="00BD7460"/>
    <w:rsid w:val="00BD74BF"/>
    <w:rsid w:val="00BE0156"/>
    <w:rsid w:val="00BE05B9"/>
    <w:rsid w:val="00BE0AC6"/>
    <w:rsid w:val="00BE0C60"/>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B5A"/>
    <w:rsid w:val="00BE7CF2"/>
    <w:rsid w:val="00BE7DC5"/>
    <w:rsid w:val="00BF000B"/>
    <w:rsid w:val="00BF0046"/>
    <w:rsid w:val="00BF0052"/>
    <w:rsid w:val="00BF026E"/>
    <w:rsid w:val="00BF044C"/>
    <w:rsid w:val="00BF0757"/>
    <w:rsid w:val="00BF0A16"/>
    <w:rsid w:val="00BF0AB1"/>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6A4"/>
    <w:rsid w:val="00C14C63"/>
    <w:rsid w:val="00C14F48"/>
    <w:rsid w:val="00C151E3"/>
    <w:rsid w:val="00C152E3"/>
    <w:rsid w:val="00C154CD"/>
    <w:rsid w:val="00C15507"/>
    <w:rsid w:val="00C15671"/>
    <w:rsid w:val="00C158D3"/>
    <w:rsid w:val="00C158DA"/>
    <w:rsid w:val="00C160CD"/>
    <w:rsid w:val="00C165B2"/>
    <w:rsid w:val="00C16703"/>
    <w:rsid w:val="00C167EE"/>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7D2"/>
    <w:rsid w:val="00C35967"/>
    <w:rsid w:val="00C35D6A"/>
    <w:rsid w:val="00C35E06"/>
    <w:rsid w:val="00C35FB5"/>
    <w:rsid w:val="00C36132"/>
    <w:rsid w:val="00C36168"/>
    <w:rsid w:val="00C362BB"/>
    <w:rsid w:val="00C36535"/>
    <w:rsid w:val="00C3665A"/>
    <w:rsid w:val="00C367B2"/>
    <w:rsid w:val="00C36B06"/>
    <w:rsid w:val="00C36C89"/>
    <w:rsid w:val="00C36D14"/>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65D"/>
    <w:rsid w:val="00C42674"/>
    <w:rsid w:val="00C426D6"/>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1EB"/>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0FC"/>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0A"/>
    <w:rsid w:val="00C81331"/>
    <w:rsid w:val="00C81975"/>
    <w:rsid w:val="00C81BF0"/>
    <w:rsid w:val="00C81E5B"/>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904A8"/>
    <w:rsid w:val="00C90603"/>
    <w:rsid w:val="00C90DA1"/>
    <w:rsid w:val="00C90F11"/>
    <w:rsid w:val="00C9131E"/>
    <w:rsid w:val="00C915A0"/>
    <w:rsid w:val="00C9185A"/>
    <w:rsid w:val="00C91975"/>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A14"/>
    <w:rsid w:val="00CA1B6B"/>
    <w:rsid w:val="00CA1C6C"/>
    <w:rsid w:val="00CA1C94"/>
    <w:rsid w:val="00CA23ED"/>
    <w:rsid w:val="00CA24D9"/>
    <w:rsid w:val="00CA2634"/>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330"/>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896"/>
    <w:rsid w:val="00CB6A01"/>
    <w:rsid w:val="00CB6FA6"/>
    <w:rsid w:val="00CB7274"/>
    <w:rsid w:val="00CB72C9"/>
    <w:rsid w:val="00CB740D"/>
    <w:rsid w:val="00CB7483"/>
    <w:rsid w:val="00CB78B6"/>
    <w:rsid w:val="00CB7A5A"/>
    <w:rsid w:val="00CB7B22"/>
    <w:rsid w:val="00CB7C5C"/>
    <w:rsid w:val="00CB7DE0"/>
    <w:rsid w:val="00CC0543"/>
    <w:rsid w:val="00CC05D3"/>
    <w:rsid w:val="00CC0609"/>
    <w:rsid w:val="00CC071E"/>
    <w:rsid w:val="00CC083E"/>
    <w:rsid w:val="00CC1463"/>
    <w:rsid w:val="00CC151C"/>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61"/>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370"/>
    <w:rsid w:val="00CC67AF"/>
    <w:rsid w:val="00CC6897"/>
    <w:rsid w:val="00CC68DC"/>
    <w:rsid w:val="00CC6A7E"/>
    <w:rsid w:val="00CC6F8F"/>
    <w:rsid w:val="00CC745A"/>
    <w:rsid w:val="00CC7832"/>
    <w:rsid w:val="00CC783C"/>
    <w:rsid w:val="00CC7AB0"/>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2FA"/>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A9E"/>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B32"/>
    <w:rsid w:val="00CF2D06"/>
    <w:rsid w:val="00CF3014"/>
    <w:rsid w:val="00CF3315"/>
    <w:rsid w:val="00CF36BD"/>
    <w:rsid w:val="00CF3769"/>
    <w:rsid w:val="00CF3B78"/>
    <w:rsid w:val="00CF3C30"/>
    <w:rsid w:val="00CF4606"/>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C56"/>
    <w:rsid w:val="00D03E40"/>
    <w:rsid w:val="00D04064"/>
    <w:rsid w:val="00D04154"/>
    <w:rsid w:val="00D04509"/>
    <w:rsid w:val="00D04AAA"/>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2A5"/>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1C31"/>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B8"/>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799"/>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3AE"/>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10"/>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25A"/>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5A3"/>
    <w:rsid w:val="00D66CDA"/>
    <w:rsid w:val="00D66CDB"/>
    <w:rsid w:val="00D66EFF"/>
    <w:rsid w:val="00D66F39"/>
    <w:rsid w:val="00D67661"/>
    <w:rsid w:val="00D67710"/>
    <w:rsid w:val="00D677CA"/>
    <w:rsid w:val="00D67C18"/>
    <w:rsid w:val="00D70039"/>
    <w:rsid w:val="00D70318"/>
    <w:rsid w:val="00D70604"/>
    <w:rsid w:val="00D70631"/>
    <w:rsid w:val="00D708BC"/>
    <w:rsid w:val="00D709D6"/>
    <w:rsid w:val="00D70B9C"/>
    <w:rsid w:val="00D70C68"/>
    <w:rsid w:val="00D70C6E"/>
    <w:rsid w:val="00D70E1F"/>
    <w:rsid w:val="00D70E42"/>
    <w:rsid w:val="00D70EFA"/>
    <w:rsid w:val="00D711FF"/>
    <w:rsid w:val="00D714AE"/>
    <w:rsid w:val="00D7165F"/>
    <w:rsid w:val="00D717C5"/>
    <w:rsid w:val="00D71D84"/>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857"/>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65E"/>
    <w:rsid w:val="00D8297C"/>
    <w:rsid w:val="00D82A80"/>
    <w:rsid w:val="00D831DD"/>
    <w:rsid w:val="00D832A1"/>
    <w:rsid w:val="00D832D6"/>
    <w:rsid w:val="00D83420"/>
    <w:rsid w:val="00D834ED"/>
    <w:rsid w:val="00D835DC"/>
    <w:rsid w:val="00D83753"/>
    <w:rsid w:val="00D83BC6"/>
    <w:rsid w:val="00D8406F"/>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4B67"/>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17"/>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9CF"/>
    <w:rsid w:val="00DE5C1E"/>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744"/>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1BD"/>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DF2"/>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751"/>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0F6"/>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424"/>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F61"/>
    <w:rsid w:val="00E82FD4"/>
    <w:rsid w:val="00E8303D"/>
    <w:rsid w:val="00E8324C"/>
    <w:rsid w:val="00E835C1"/>
    <w:rsid w:val="00E83F5F"/>
    <w:rsid w:val="00E83F95"/>
    <w:rsid w:val="00E840FB"/>
    <w:rsid w:val="00E84258"/>
    <w:rsid w:val="00E84274"/>
    <w:rsid w:val="00E84526"/>
    <w:rsid w:val="00E846A9"/>
    <w:rsid w:val="00E84719"/>
    <w:rsid w:val="00E848C4"/>
    <w:rsid w:val="00E84A60"/>
    <w:rsid w:val="00E84F79"/>
    <w:rsid w:val="00E8511A"/>
    <w:rsid w:val="00E851A2"/>
    <w:rsid w:val="00E853C8"/>
    <w:rsid w:val="00E853F5"/>
    <w:rsid w:val="00E85449"/>
    <w:rsid w:val="00E859F1"/>
    <w:rsid w:val="00E85A91"/>
    <w:rsid w:val="00E85B5F"/>
    <w:rsid w:val="00E85BE3"/>
    <w:rsid w:val="00E85C82"/>
    <w:rsid w:val="00E85F3D"/>
    <w:rsid w:val="00E860D5"/>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EE"/>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C6"/>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050"/>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240"/>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E7CDA"/>
    <w:rsid w:val="00EF004A"/>
    <w:rsid w:val="00EF03FF"/>
    <w:rsid w:val="00EF04B5"/>
    <w:rsid w:val="00EF0973"/>
    <w:rsid w:val="00EF0BC4"/>
    <w:rsid w:val="00EF0F78"/>
    <w:rsid w:val="00EF1002"/>
    <w:rsid w:val="00EF1305"/>
    <w:rsid w:val="00EF14EB"/>
    <w:rsid w:val="00EF1613"/>
    <w:rsid w:val="00EF1786"/>
    <w:rsid w:val="00EF18CA"/>
    <w:rsid w:val="00EF199A"/>
    <w:rsid w:val="00EF1BF8"/>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C38"/>
    <w:rsid w:val="00F11F62"/>
    <w:rsid w:val="00F124A8"/>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1CD5"/>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3F95"/>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0C0"/>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8C0"/>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26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2D46"/>
    <w:rsid w:val="00F62FC0"/>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39E"/>
    <w:rsid w:val="00F7381F"/>
    <w:rsid w:val="00F73B9B"/>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0C3"/>
    <w:rsid w:val="00F81434"/>
    <w:rsid w:val="00F81509"/>
    <w:rsid w:val="00F815A4"/>
    <w:rsid w:val="00F81671"/>
    <w:rsid w:val="00F81765"/>
    <w:rsid w:val="00F81814"/>
    <w:rsid w:val="00F818A9"/>
    <w:rsid w:val="00F81A9C"/>
    <w:rsid w:val="00F81B84"/>
    <w:rsid w:val="00F81CB7"/>
    <w:rsid w:val="00F81DCD"/>
    <w:rsid w:val="00F81E23"/>
    <w:rsid w:val="00F81F8D"/>
    <w:rsid w:val="00F81FC0"/>
    <w:rsid w:val="00F82192"/>
    <w:rsid w:val="00F821B5"/>
    <w:rsid w:val="00F821B7"/>
    <w:rsid w:val="00F822A0"/>
    <w:rsid w:val="00F8247F"/>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D34"/>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05"/>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1E"/>
    <w:rsid w:val="00FB7EF3"/>
    <w:rsid w:val="00FB7F6F"/>
    <w:rsid w:val="00FC0004"/>
    <w:rsid w:val="00FC0013"/>
    <w:rsid w:val="00FC00FE"/>
    <w:rsid w:val="00FC0193"/>
    <w:rsid w:val="00FC0DD5"/>
    <w:rsid w:val="00FC0E23"/>
    <w:rsid w:val="00FC0EEC"/>
    <w:rsid w:val="00FC13FD"/>
    <w:rsid w:val="00FC143F"/>
    <w:rsid w:val="00FC162E"/>
    <w:rsid w:val="00FC18B1"/>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9E4"/>
    <w:rsid w:val="00FC3E5D"/>
    <w:rsid w:val="00FC4058"/>
    <w:rsid w:val="00FC4146"/>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142"/>
    <w:rsid w:val="00FC720C"/>
    <w:rsid w:val="00FC73EB"/>
    <w:rsid w:val="00FD0BB7"/>
    <w:rsid w:val="00FD0CD2"/>
    <w:rsid w:val="00FD0E43"/>
    <w:rsid w:val="00FD0F39"/>
    <w:rsid w:val="00FD1555"/>
    <w:rsid w:val="00FD15B5"/>
    <w:rsid w:val="00FD16C9"/>
    <w:rsid w:val="00FD1856"/>
    <w:rsid w:val="00FD1A38"/>
    <w:rsid w:val="00FD1BD1"/>
    <w:rsid w:val="00FD1EA3"/>
    <w:rsid w:val="00FD1FBF"/>
    <w:rsid w:val="00FD2054"/>
    <w:rsid w:val="00FD20F4"/>
    <w:rsid w:val="00FD21B0"/>
    <w:rsid w:val="00FD2236"/>
    <w:rsid w:val="00FD22F7"/>
    <w:rsid w:val="00FD24E4"/>
    <w:rsid w:val="00FD2504"/>
    <w:rsid w:val="00FD2617"/>
    <w:rsid w:val="00FD275C"/>
    <w:rsid w:val="00FD2778"/>
    <w:rsid w:val="00FD2980"/>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8B8"/>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48C"/>
    <w:rsid w:val="00FE6A92"/>
    <w:rsid w:val="00FE6B9A"/>
    <w:rsid w:val="00FE6FB2"/>
    <w:rsid w:val="00FE7026"/>
    <w:rsid w:val="00FE738E"/>
    <w:rsid w:val="00FE7614"/>
    <w:rsid w:val="00FE76B0"/>
    <w:rsid w:val="00FE7B92"/>
    <w:rsid w:val="00FF0004"/>
    <w:rsid w:val="00FF013D"/>
    <w:rsid w:val="00FF0264"/>
    <w:rsid w:val="00FF037E"/>
    <w:rsid w:val="00FF04A0"/>
    <w:rsid w:val="00FF04CF"/>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Dot pt"/>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8"/>
      </w:numPr>
    </w:pPr>
  </w:style>
  <w:style w:type="character" w:customStyle="1" w:styleId="Hyperlink0">
    <w:name w:val="Hyperlink.0"/>
    <w:rsid w:val="004461F6"/>
    <w:rPr>
      <w:color w:val="0000FF"/>
      <w:u w:val="single" w:color="0000FF"/>
      <w:lang w:val="en-US"/>
    </w:rPr>
  </w:style>
  <w:style w:type="paragraph" w:customStyle="1" w:styleId="p2">
    <w:name w:val="p2"/>
    <w:basedOn w:val="Normal"/>
    <w:rsid w:val="000A2241"/>
    <w:pPr>
      <w:spacing w:after="0"/>
      <w:jc w:val="left"/>
    </w:pPr>
    <w:rPr>
      <w:rFonts w:ascii=".SF UI Text" w:eastAsia="Calibri" w:hAnsi=".SF UI Text"/>
      <w:color w:val="454545"/>
      <w:sz w:val="26"/>
      <w:szCs w:val="26"/>
    </w:rPr>
  </w:style>
  <w:style w:type="character" w:customStyle="1" w:styleId="s2">
    <w:name w:val="s2"/>
    <w:rsid w:val="000A2241"/>
    <w:rPr>
      <w:rFonts w:ascii=".SFUIText" w:hAnsi=".SFUIText" w:hint="default"/>
      <w:b w:val="0"/>
      <w:bCs w:val="0"/>
      <w:i w:val="0"/>
      <w:iCs w:val="0"/>
      <w:sz w:val="34"/>
      <w:szCs w:val="34"/>
    </w:rPr>
  </w:style>
  <w:style w:type="character" w:customStyle="1" w:styleId="HeaderChar2">
    <w:name w:val="Header Char2"/>
    <w:locked/>
    <w:rsid w:val="00A97346"/>
    <w:rPr>
      <w:rFonts w:ascii="Times New Roman" w:eastAsia="Times New Roman" w:hAnsi="Times New Roman" w:cs="Times New Roman"/>
      <w:sz w:val="24"/>
      <w:szCs w:val="20"/>
      <w:lang w:eastAsia="en-GB"/>
    </w:rPr>
  </w:style>
  <w:style w:type="paragraph" w:customStyle="1" w:styleId="Pa59">
    <w:name w:val="Pa59"/>
    <w:basedOn w:val="Default"/>
    <w:next w:val="Default"/>
    <w:uiPriority w:val="99"/>
    <w:rsid w:val="00473AD2"/>
    <w:pPr>
      <w:spacing w:line="201" w:lineRule="atLeast"/>
    </w:pPr>
    <w:rPr>
      <w:rFonts w:ascii="Myriad Pro" w:eastAsia="Calibri" w:hAnsi="Myriad Pro"/>
      <w:color w:val="auto"/>
      <w:lang w:val="en-GB" w:eastAsia="en-US"/>
    </w:rPr>
  </w:style>
  <w:style w:type="character" w:customStyle="1" w:styleId="Corpsdutexte">
    <w:name w:val="Corps du texte_"/>
    <w:link w:val="Corpsdutexte0"/>
    <w:locked/>
    <w:rsid w:val="00473AD2"/>
    <w:rPr>
      <w:shd w:val="clear" w:color="auto" w:fill="FFFFFF"/>
    </w:rPr>
  </w:style>
  <w:style w:type="paragraph" w:customStyle="1" w:styleId="Corpsdutexte0">
    <w:name w:val="Corps du texte"/>
    <w:basedOn w:val="Normal"/>
    <w:link w:val="Corpsdutexte"/>
    <w:rsid w:val="00473AD2"/>
    <w:pPr>
      <w:shd w:val="clear" w:color="auto" w:fill="FFFFFF"/>
      <w:spacing w:before="960" w:after="420" w:line="0" w:lineRule="atLeast"/>
      <w:ind w:hanging="760"/>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ImportedStyle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470">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23193582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0570993">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975334466">
      <w:bodyDiv w:val="1"/>
      <w:marLeft w:val="0"/>
      <w:marRight w:val="0"/>
      <w:marTop w:val="0"/>
      <w:marBottom w:val="0"/>
      <w:divBdr>
        <w:top w:val="none" w:sz="0" w:space="0" w:color="auto"/>
        <w:left w:val="none" w:sz="0" w:space="0" w:color="auto"/>
        <w:bottom w:val="none" w:sz="0" w:space="0" w:color="auto"/>
        <w:right w:val="none" w:sz="0" w:space="0" w:color="auto"/>
      </w:divBdr>
    </w:div>
    <w:div w:id="1217935861">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674841408">
      <w:bodyDiv w:val="1"/>
      <w:marLeft w:val="0"/>
      <w:marRight w:val="0"/>
      <w:marTop w:val="0"/>
      <w:marBottom w:val="0"/>
      <w:divBdr>
        <w:top w:val="none" w:sz="0" w:space="0" w:color="auto"/>
        <w:left w:val="none" w:sz="0" w:space="0" w:color="auto"/>
        <w:bottom w:val="none" w:sz="0" w:space="0" w:color="auto"/>
        <w:right w:val="none" w:sz="0" w:space="0" w:color="auto"/>
      </w:divBdr>
    </w:div>
    <w:div w:id="17242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A103-E119-4809-8BD3-582F0803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3</Pages>
  <Words>1393</Words>
  <Characters>7663</Characters>
  <Application>Microsoft Office Word</Application>
  <DocSecurity>0</DocSecurity>
  <PresentationFormat>Microsoft Word 8.0b</PresentationFormat>
  <Lines>63</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9038</CharactersWithSpaces>
  <SharedDoc>false</SharedDoc>
  <HLinks>
    <vt:vector size="354" baseType="variant">
      <vt:variant>
        <vt:i4>1966087</vt:i4>
      </vt:variant>
      <vt:variant>
        <vt:i4>0</vt:i4>
      </vt:variant>
      <vt:variant>
        <vt:i4>0</vt:i4>
      </vt:variant>
      <vt:variant>
        <vt:i4>5</vt:i4>
      </vt:variant>
      <vt:variant>
        <vt:lpwstr>http://ec.europa.eu/research/participants/portal/desktop/en/opportunities/h2020/topics/smeinst-07-2016-2017.html</vt:lpwstr>
      </vt:variant>
      <vt:variant>
        <vt:lpwstr/>
      </vt:variant>
      <vt:variant>
        <vt:i4>1572888</vt:i4>
      </vt:variant>
      <vt:variant>
        <vt:i4>171</vt:i4>
      </vt:variant>
      <vt:variant>
        <vt:i4>0</vt:i4>
      </vt:variant>
      <vt:variant>
        <vt:i4>5</vt:i4>
      </vt:variant>
      <vt:variant>
        <vt:lpwstr>http://www.europarl.europa.eu/oeil/popups/ficheprocedure.do?lang=en&amp;reference=2015/2254%28INL%29</vt:lpwstr>
      </vt:variant>
      <vt:variant>
        <vt:lpwstr>tab-0</vt:lpwstr>
      </vt:variant>
      <vt:variant>
        <vt:i4>3407945</vt:i4>
      </vt:variant>
      <vt:variant>
        <vt:i4>168</vt:i4>
      </vt:variant>
      <vt:variant>
        <vt:i4>0</vt:i4>
      </vt:variant>
      <vt:variant>
        <vt:i4>5</vt:i4>
      </vt:variant>
      <vt:variant>
        <vt:lpwstr>http://curia.europa.eu/juris/document/document.jsf?text=&amp;docid=191225&amp;pageIndex=0&amp;doclang=en_x000b_&amp;mode=lst&amp;dir=&amp;occ=first&amp;part=1&amp;cid=540284</vt:lpwstr>
      </vt:variant>
      <vt:variant>
        <vt:lpwstr/>
      </vt:variant>
      <vt:variant>
        <vt:i4>4522043</vt:i4>
      </vt:variant>
      <vt:variant>
        <vt:i4>165</vt:i4>
      </vt:variant>
      <vt:variant>
        <vt:i4>0</vt:i4>
      </vt:variant>
      <vt:variant>
        <vt:i4>5</vt:i4>
      </vt:variant>
      <vt:variant>
        <vt:lpwstr>https://ec.europa.eu/info/strategy/european-semester/framework/europe-2020-strategy_en</vt:lpwstr>
      </vt:variant>
      <vt:variant>
        <vt:lpwstr/>
      </vt:variant>
      <vt:variant>
        <vt:i4>4194364</vt:i4>
      </vt:variant>
      <vt:variant>
        <vt:i4>162</vt:i4>
      </vt:variant>
      <vt:variant>
        <vt:i4>0</vt:i4>
      </vt:variant>
      <vt:variant>
        <vt:i4>5</vt:i4>
      </vt:variant>
      <vt:variant>
        <vt:lpwstr>https://ec.europa.eu/food/sites/food/files/safety/docs/fw_eu-actions_flw-platform_tor.pdf</vt:lpwstr>
      </vt:variant>
      <vt:variant>
        <vt:lpwstr/>
      </vt:variant>
      <vt:variant>
        <vt:i4>8126505</vt:i4>
      </vt:variant>
      <vt:variant>
        <vt:i4>159</vt:i4>
      </vt:variant>
      <vt:variant>
        <vt:i4>0</vt:i4>
      </vt:variant>
      <vt:variant>
        <vt:i4>5</vt:i4>
      </vt:variant>
      <vt:variant>
        <vt:lpwstr>http://ec.europa.eu/environment/gpp/gpp_criteria_process.htm</vt:lpwstr>
      </vt:variant>
      <vt:variant>
        <vt:lpwstr/>
      </vt:variant>
      <vt:variant>
        <vt:i4>1048656</vt:i4>
      </vt:variant>
      <vt:variant>
        <vt:i4>156</vt:i4>
      </vt:variant>
      <vt:variant>
        <vt:i4>0</vt:i4>
      </vt:variant>
      <vt:variant>
        <vt:i4>5</vt:i4>
      </vt:variant>
      <vt:variant>
        <vt:lpwstr>https://ec.europa.eu/eip/agriculture/en/content/innovative-short-food-supply-chain-management</vt:lpwstr>
      </vt:variant>
      <vt:variant>
        <vt:lpwstr/>
      </vt:variant>
      <vt:variant>
        <vt:i4>3539034</vt:i4>
      </vt:variant>
      <vt:variant>
        <vt:i4>153</vt:i4>
      </vt:variant>
      <vt:variant>
        <vt:i4>0</vt:i4>
      </vt:variant>
      <vt:variant>
        <vt:i4>5</vt:i4>
      </vt:variant>
      <vt:variant>
        <vt:lpwstr>http://cordis.europa.eu/project/rcn/200534_en.html</vt:lpwstr>
      </vt:variant>
      <vt:variant>
        <vt:lpwstr/>
      </vt:variant>
      <vt:variant>
        <vt:i4>3932253</vt:i4>
      </vt:variant>
      <vt:variant>
        <vt:i4>150</vt:i4>
      </vt:variant>
      <vt:variant>
        <vt:i4>0</vt:i4>
      </vt:variant>
      <vt:variant>
        <vt:i4>5</vt:i4>
      </vt:variant>
      <vt:variant>
        <vt:lpwstr>http://cordis.europa.eu/project/rcn/205813_en.html</vt:lpwstr>
      </vt:variant>
      <vt:variant>
        <vt:lpwstr/>
      </vt:variant>
      <vt:variant>
        <vt:i4>3211355</vt:i4>
      </vt:variant>
      <vt:variant>
        <vt:i4>147</vt:i4>
      </vt:variant>
      <vt:variant>
        <vt:i4>0</vt:i4>
      </vt:variant>
      <vt:variant>
        <vt:i4>5</vt:i4>
      </vt:variant>
      <vt:variant>
        <vt:lpwstr>http://cordis.europa.eu/project/rcn/200224_en.html</vt:lpwstr>
      </vt:variant>
      <vt:variant>
        <vt:lpwstr/>
      </vt:variant>
      <vt:variant>
        <vt:i4>3342424</vt:i4>
      </vt:variant>
      <vt:variant>
        <vt:i4>144</vt:i4>
      </vt:variant>
      <vt:variant>
        <vt:i4>0</vt:i4>
      </vt:variant>
      <vt:variant>
        <vt:i4>5</vt:i4>
      </vt:variant>
      <vt:variant>
        <vt:lpwstr>http://cordis.europa.eu/project/rcn/200216_en.html</vt:lpwstr>
      </vt:variant>
      <vt:variant>
        <vt:lpwstr/>
      </vt:variant>
      <vt:variant>
        <vt:i4>7602285</vt:i4>
      </vt:variant>
      <vt:variant>
        <vt:i4>141</vt:i4>
      </vt:variant>
      <vt:variant>
        <vt:i4>0</vt:i4>
      </vt:variant>
      <vt:variant>
        <vt:i4>5</vt:i4>
      </vt:variant>
      <vt:variant>
        <vt:lpwstr>http://eu-refresh.org/</vt:lpwstr>
      </vt:variant>
      <vt:variant>
        <vt:lpwstr/>
      </vt:variant>
      <vt:variant>
        <vt:i4>7602285</vt:i4>
      </vt:variant>
      <vt:variant>
        <vt:i4>138</vt:i4>
      </vt:variant>
      <vt:variant>
        <vt:i4>0</vt:i4>
      </vt:variant>
      <vt:variant>
        <vt:i4>5</vt:i4>
      </vt:variant>
      <vt:variant>
        <vt:lpwstr>http://eu-refresh.org/</vt:lpwstr>
      </vt:variant>
      <vt:variant>
        <vt:lpwstr/>
      </vt:variant>
      <vt:variant>
        <vt:i4>2883643</vt:i4>
      </vt:variant>
      <vt:variant>
        <vt:i4>135</vt:i4>
      </vt:variant>
      <vt:variant>
        <vt:i4>0</vt:i4>
      </vt:variant>
      <vt:variant>
        <vt:i4>5</vt:i4>
      </vt:variant>
      <vt:variant>
        <vt:lpwstr>https://ec.europa.eu/programmes/horizon2020/en</vt:lpwstr>
      </vt:variant>
      <vt:variant>
        <vt:lpwstr/>
      </vt:variant>
      <vt:variant>
        <vt:i4>3276919</vt:i4>
      </vt:variant>
      <vt:variant>
        <vt:i4>132</vt:i4>
      </vt:variant>
      <vt:variant>
        <vt:i4>0</vt:i4>
      </vt:variant>
      <vt:variant>
        <vt:i4>5</vt:i4>
      </vt:variant>
      <vt:variant>
        <vt:lpwstr>https://www.bbi-europe.eu/</vt:lpwstr>
      </vt:variant>
      <vt:variant>
        <vt:lpwstr/>
      </vt:variant>
      <vt:variant>
        <vt:i4>3276810</vt:i4>
      </vt:variant>
      <vt:variant>
        <vt:i4>129</vt:i4>
      </vt:variant>
      <vt:variant>
        <vt:i4>0</vt:i4>
      </vt:variant>
      <vt:variant>
        <vt:i4>5</vt:i4>
      </vt:variant>
      <vt:variant>
        <vt:lpwstr>http://ec.europa.eu/research/innovation-union/index_en.cfm?pg=eip</vt:lpwstr>
      </vt:variant>
      <vt:variant>
        <vt:lpwstr/>
      </vt:variant>
      <vt:variant>
        <vt:i4>458794</vt:i4>
      </vt:variant>
      <vt:variant>
        <vt:i4>126</vt:i4>
      </vt:variant>
      <vt:variant>
        <vt:i4>0</vt:i4>
      </vt:variant>
      <vt:variant>
        <vt:i4>5</vt:i4>
      </vt:variant>
      <vt:variant>
        <vt:lpwstr>https://ec.europa.eu/growth/sectors/food/competitiveness/supply-chain-forum_en</vt:lpwstr>
      </vt:variant>
      <vt:variant>
        <vt:lpwstr/>
      </vt:variant>
      <vt:variant>
        <vt:i4>1179754</vt:i4>
      </vt:variant>
      <vt:variant>
        <vt:i4>123</vt:i4>
      </vt:variant>
      <vt:variant>
        <vt:i4>0</vt:i4>
      </vt:variant>
      <vt:variant>
        <vt:i4>5</vt:i4>
      </vt:variant>
      <vt:variant>
        <vt:lpwstr>https://ec.europa.eu/agriculture/sites/agriculture/files/agri-markets-task-force/improving-markets-outcomes_en.pdf</vt:lpwstr>
      </vt:variant>
      <vt:variant>
        <vt:lpwstr/>
      </vt:variant>
      <vt:variant>
        <vt:i4>7995467</vt:i4>
      </vt:variant>
      <vt:variant>
        <vt:i4>120</vt:i4>
      </vt:variant>
      <vt:variant>
        <vt:i4>0</vt:i4>
      </vt:variant>
      <vt:variant>
        <vt:i4>5</vt:i4>
      </vt:variant>
      <vt:variant>
        <vt:lpwstr>https://ec.europa.eu/agriculture/rural-development-2014-2020_en</vt:lpwstr>
      </vt:variant>
      <vt:variant>
        <vt:lpwstr/>
      </vt:variant>
      <vt:variant>
        <vt:i4>6226043</vt:i4>
      </vt:variant>
      <vt:variant>
        <vt:i4>117</vt:i4>
      </vt:variant>
      <vt:variant>
        <vt:i4>0</vt:i4>
      </vt:variant>
      <vt:variant>
        <vt:i4>5</vt:i4>
      </vt:variant>
      <vt:variant>
        <vt:lpwstr>https://ec.europa.eu/agriculture/future-cap_en</vt:lpwstr>
      </vt:variant>
      <vt:variant>
        <vt:lpwstr/>
      </vt:variant>
      <vt:variant>
        <vt:i4>7929947</vt:i4>
      </vt:variant>
      <vt:variant>
        <vt:i4>114</vt:i4>
      </vt:variant>
      <vt:variant>
        <vt:i4>0</vt:i4>
      </vt:variant>
      <vt:variant>
        <vt:i4>5</vt:i4>
      </vt:variant>
      <vt:variant>
        <vt:lpwstr>https://ec.europa.eu/agriculture/cap-overview_en</vt:lpwstr>
      </vt:variant>
      <vt:variant>
        <vt:lpwstr/>
      </vt:variant>
      <vt:variant>
        <vt:i4>5505069</vt:i4>
      </vt:variant>
      <vt:variant>
        <vt:i4>111</vt:i4>
      </vt:variant>
      <vt:variant>
        <vt:i4>0</vt:i4>
      </vt:variant>
      <vt:variant>
        <vt:i4>5</vt:i4>
      </vt:variant>
      <vt:variant>
        <vt:lpwstr>https://ec.europa.eu/food/sites/food/files/safety/docs/fw_eu_actions_tech-specs_2016-e1-024_annex2.pdf</vt:lpwstr>
      </vt:variant>
      <vt:variant>
        <vt:lpwstr/>
      </vt:variant>
      <vt:variant>
        <vt:i4>852055</vt:i4>
      </vt:variant>
      <vt:variant>
        <vt:i4>108</vt:i4>
      </vt:variant>
      <vt:variant>
        <vt:i4>0</vt:i4>
      </vt:variant>
      <vt:variant>
        <vt:i4>5</vt:i4>
      </vt:variant>
      <vt:variant>
        <vt:lpwstr>http://ec.europa.eu/food/safety/food_waste/library_en</vt:lpwstr>
      </vt:variant>
      <vt:variant>
        <vt:lpwstr/>
      </vt:variant>
      <vt:variant>
        <vt:i4>7602283</vt:i4>
      </vt:variant>
      <vt:variant>
        <vt:i4>105</vt:i4>
      </vt:variant>
      <vt:variant>
        <vt:i4>0</vt:i4>
      </vt:variant>
      <vt:variant>
        <vt:i4>5</vt:i4>
      </vt:variant>
      <vt:variant>
        <vt:lpwstr>http://ec.europa.eu/food/safety/docs/fw_eu_actions_date_marking_infographic_en.pdf</vt:lpwstr>
      </vt:variant>
      <vt:variant>
        <vt:lpwstr/>
      </vt:variant>
      <vt:variant>
        <vt:i4>3866700</vt:i4>
      </vt:variant>
      <vt:variant>
        <vt:i4>102</vt:i4>
      </vt:variant>
      <vt:variant>
        <vt:i4>0</vt:i4>
      </vt:variant>
      <vt:variant>
        <vt:i4>5</vt:i4>
      </vt:variant>
      <vt:variant>
        <vt:lpwstr>http://ec.europa.eu/consumers/consumer_evidence/behavioural_research/milan_expo_food_choices_eating_habits_study/index_en.htm</vt:lpwstr>
      </vt:variant>
      <vt:variant>
        <vt:lpwstr/>
      </vt:variant>
      <vt:variant>
        <vt:i4>5046316</vt:i4>
      </vt:variant>
      <vt:variant>
        <vt:i4>99</vt:i4>
      </vt:variant>
      <vt:variant>
        <vt:i4>0</vt:i4>
      </vt:variant>
      <vt:variant>
        <vt:i4>5</vt:i4>
      </vt:variant>
      <vt:variant>
        <vt:lpwstr>http://ec.europa.eu/consumers/consumer_evidence/behavioural_research/docs/bexpo_milan_final_report_website_en.pdf</vt:lpwstr>
      </vt:variant>
      <vt:variant>
        <vt:lpwstr/>
      </vt:variant>
      <vt:variant>
        <vt:i4>7012411</vt:i4>
      </vt:variant>
      <vt:variant>
        <vt:i4>96</vt:i4>
      </vt:variant>
      <vt:variant>
        <vt:i4>0</vt:i4>
      </vt:variant>
      <vt:variant>
        <vt:i4>5</vt:i4>
      </vt:variant>
      <vt:variant>
        <vt:lpwstr>http://ec.europa.eu/COMMFrontOffice/publicopinion/index.cfm/Survey/getSurveyDetail/instruments/FLASH/surveyKy/2095</vt:lpwstr>
      </vt:variant>
      <vt:variant>
        <vt:lpwstr/>
      </vt:variant>
      <vt:variant>
        <vt:i4>8323177</vt:i4>
      </vt:variant>
      <vt:variant>
        <vt:i4>93</vt:i4>
      </vt:variant>
      <vt:variant>
        <vt:i4>0</vt:i4>
      </vt:variant>
      <vt:variant>
        <vt:i4>5</vt:i4>
      </vt:variant>
      <vt:variant>
        <vt:lpwstr>http://ec.europa.eu/food/safety/food_waste/eu_actions/date_marking_en</vt:lpwstr>
      </vt:variant>
      <vt:variant>
        <vt:lpwstr/>
      </vt:variant>
      <vt:variant>
        <vt:i4>4194345</vt:i4>
      </vt:variant>
      <vt:variant>
        <vt:i4>90</vt:i4>
      </vt:variant>
      <vt:variant>
        <vt:i4>0</vt:i4>
      </vt:variant>
      <vt:variant>
        <vt:i4>5</vt:i4>
      </vt:variant>
      <vt:variant>
        <vt:lpwstr>http://ec.europa.eu/food/safety/food_waste/eu_actions/eu-platform/meetings-eu-platform-food-losses-and-food-waste_en</vt:lpwstr>
      </vt:variant>
      <vt:variant>
        <vt:lpwstr/>
      </vt:variant>
      <vt:variant>
        <vt:i4>1114194</vt:i4>
      </vt:variant>
      <vt:variant>
        <vt:i4>87</vt:i4>
      </vt:variant>
      <vt:variant>
        <vt:i4>0</vt:i4>
      </vt:variant>
      <vt:variant>
        <vt:i4>5</vt:i4>
      </vt:variant>
      <vt:variant>
        <vt:lpwstr>http://www.europarl.europa.eu/sides/getAllAnswers.do?reference=E-2014-009571&amp;language=EN</vt:lpwstr>
      </vt:variant>
      <vt:variant>
        <vt:lpwstr/>
      </vt:variant>
      <vt:variant>
        <vt:i4>6357095</vt:i4>
      </vt:variant>
      <vt:variant>
        <vt:i4>84</vt:i4>
      </vt:variant>
      <vt:variant>
        <vt:i4>0</vt:i4>
      </vt:variant>
      <vt:variant>
        <vt:i4>5</vt:i4>
      </vt:variant>
      <vt:variant>
        <vt:lpwstr>http://ec.europa.eu/social/main.jsp?catId=1089</vt:lpwstr>
      </vt:variant>
      <vt:variant>
        <vt:lpwstr/>
      </vt:variant>
      <vt:variant>
        <vt:i4>6357095</vt:i4>
      </vt:variant>
      <vt:variant>
        <vt:i4>81</vt:i4>
      </vt:variant>
      <vt:variant>
        <vt:i4>0</vt:i4>
      </vt:variant>
      <vt:variant>
        <vt:i4>5</vt:i4>
      </vt:variant>
      <vt:variant>
        <vt:lpwstr>http://ec.europa.eu/social/main.jsp?catId=1089</vt:lpwstr>
      </vt:variant>
      <vt:variant>
        <vt:lpwstr/>
      </vt:variant>
      <vt:variant>
        <vt:i4>2949247</vt:i4>
      </vt:variant>
      <vt:variant>
        <vt:i4>78</vt:i4>
      </vt:variant>
      <vt:variant>
        <vt:i4>0</vt:i4>
      </vt:variant>
      <vt:variant>
        <vt:i4>5</vt:i4>
      </vt:variant>
      <vt:variant>
        <vt:lpwstr>https://www.fiware.org/</vt:lpwstr>
      </vt:variant>
      <vt:variant>
        <vt:lpwstr/>
      </vt:variant>
      <vt:variant>
        <vt:i4>3014758</vt:i4>
      </vt:variant>
      <vt:variant>
        <vt:i4>75</vt:i4>
      </vt:variant>
      <vt:variant>
        <vt:i4>0</vt:i4>
      </vt:variant>
      <vt:variant>
        <vt:i4>5</vt:i4>
      </vt:variant>
      <vt:variant>
        <vt:lpwstr>https://savingfood.eu/the-project/</vt:lpwstr>
      </vt:variant>
      <vt:variant>
        <vt:lpwstr/>
      </vt:variant>
      <vt:variant>
        <vt:i4>2228347</vt:i4>
      </vt:variant>
      <vt:variant>
        <vt:i4>72</vt:i4>
      </vt:variant>
      <vt:variant>
        <vt:i4>0</vt:i4>
      </vt:variant>
      <vt:variant>
        <vt:i4>5</vt:i4>
      </vt:variant>
      <vt:variant>
        <vt:lpwstr>https://ec.europa.eu/digital-single-market/en/collective-awareness</vt:lpwstr>
      </vt:variant>
      <vt:variant>
        <vt:lpwstr/>
      </vt:variant>
      <vt:variant>
        <vt:i4>4194345</vt:i4>
      </vt:variant>
      <vt:variant>
        <vt:i4>69</vt:i4>
      </vt:variant>
      <vt:variant>
        <vt:i4>0</vt:i4>
      </vt:variant>
      <vt:variant>
        <vt:i4>5</vt:i4>
      </vt:variant>
      <vt:variant>
        <vt:lpwstr>http://ec.europa.eu/food/safety/food_waste/eu_actions/eu-platform/meetings-eu-platform-food-losses-and-food-waste_en</vt:lpwstr>
      </vt:variant>
      <vt:variant>
        <vt:lpwstr/>
      </vt:variant>
      <vt:variant>
        <vt:i4>7602285</vt:i4>
      </vt:variant>
      <vt:variant>
        <vt:i4>66</vt:i4>
      </vt:variant>
      <vt:variant>
        <vt:i4>0</vt:i4>
      </vt:variant>
      <vt:variant>
        <vt:i4>5</vt:i4>
      </vt:variant>
      <vt:variant>
        <vt:lpwstr>http://eu-refresh.org/</vt:lpwstr>
      </vt:variant>
      <vt:variant>
        <vt:lpwstr/>
      </vt:variant>
      <vt:variant>
        <vt:i4>7602285</vt:i4>
      </vt:variant>
      <vt:variant>
        <vt:i4>63</vt:i4>
      </vt:variant>
      <vt:variant>
        <vt:i4>0</vt:i4>
      </vt:variant>
      <vt:variant>
        <vt:i4>5</vt:i4>
      </vt:variant>
      <vt:variant>
        <vt:lpwstr>http://eu-refresh.org/</vt:lpwstr>
      </vt:variant>
      <vt:variant>
        <vt:lpwstr/>
      </vt:variant>
      <vt:variant>
        <vt:i4>5111850</vt:i4>
      </vt:variant>
      <vt:variant>
        <vt:i4>60</vt:i4>
      </vt:variant>
      <vt:variant>
        <vt:i4>0</vt:i4>
      </vt:variant>
      <vt:variant>
        <vt:i4>5</vt:i4>
      </vt:variant>
      <vt:variant>
        <vt:lpwstr>http://ec.europa.eu/food/safety/food_waste/eu_actions/eu-platform_en</vt:lpwstr>
      </vt:variant>
      <vt:variant>
        <vt:lpwstr/>
      </vt:variant>
      <vt:variant>
        <vt:i4>4194364</vt:i4>
      </vt:variant>
      <vt:variant>
        <vt:i4>57</vt:i4>
      </vt:variant>
      <vt:variant>
        <vt:i4>0</vt:i4>
      </vt:variant>
      <vt:variant>
        <vt:i4>5</vt:i4>
      </vt:variant>
      <vt:variant>
        <vt:lpwstr>https://ec.europa.eu/food/sites/food/files/safety/docs/fw_eu-actions_flw-platform_tor.pdf</vt:lpwstr>
      </vt:variant>
      <vt:variant>
        <vt:lpwstr/>
      </vt:variant>
      <vt:variant>
        <vt:i4>4849670</vt:i4>
      </vt:variant>
      <vt:variant>
        <vt:i4>54</vt:i4>
      </vt:variant>
      <vt:variant>
        <vt:i4>0</vt:i4>
      </vt:variant>
      <vt:variant>
        <vt:i4>5</vt:i4>
      </vt:variant>
      <vt:variant>
        <vt:lpwstr>http://eur-lex.europa.eu/legal-content/EN/TXT/?uri=CELEX:52015PC0595</vt:lpwstr>
      </vt:variant>
      <vt:variant>
        <vt:lpwstr/>
      </vt:variant>
      <vt:variant>
        <vt:i4>6029425</vt:i4>
      </vt:variant>
      <vt:variant>
        <vt:i4>51</vt:i4>
      </vt:variant>
      <vt:variant>
        <vt:i4>0</vt:i4>
      </vt:variant>
      <vt:variant>
        <vt:i4>5</vt:i4>
      </vt:variant>
      <vt:variant>
        <vt:lpwstr>http://ec.europa.eu/environment/circular-economy/implementation_report.pdf</vt:lpwstr>
      </vt:variant>
      <vt:variant>
        <vt:lpwstr/>
      </vt:variant>
      <vt:variant>
        <vt:i4>3014676</vt:i4>
      </vt:variant>
      <vt:variant>
        <vt:i4>48</vt:i4>
      </vt:variant>
      <vt:variant>
        <vt:i4>0</vt:i4>
      </vt:variant>
      <vt:variant>
        <vt:i4>5</vt:i4>
      </vt:variant>
      <vt:variant>
        <vt:lpwstr>http://eur-lex.europa.eu/resource.html?uri=cellar:8a8ef5e8-99a0-11e5-b3b7-01aa75ed71a1.0012.02/DOC_1&amp;format=PDF</vt:lpwstr>
      </vt:variant>
      <vt:variant>
        <vt:lpwstr/>
      </vt:variant>
      <vt:variant>
        <vt:i4>917504</vt:i4>
      </vt:variant>
      <vt:variant>
        <vt:i4>45</vt:i4>
      </vt:variant>
      <vt:variant>
        <vt:i4>0</vt:i4>
      </vt:variant>
      <vt:variant>
        <vt:i4>5</vt:i4>
      </vt:variant>
      <vt:variant>
        <vt:lpwstr>http://www.un.org/sustainabledevelopment/sustainable-consumption-production/</vt:lpwstr>
      </vt:variant>
      <vt:variant>
        <vt:lpwstr/>
      </vt:variant>
      <vt:variant>
        <vt:i4>2949238</vt:i4>
      </vt:variant>
      <vt:variant>
        <vt:i4>42</vt:i4>
      </vt:variant>
      <vt:variant>
        <vt:i4>0</vt:i4>
      </vt:variant>
      <vt:variant>
        <vt:i4>5</vt:i4>
      </vt:variant>
      <vt:variant>
        <vt:lpwstr>https://edps.europa.eu/sites/edp/files/publication/07-07-19_olaf_investigative_function_en.pdf</vt:lpwstr>
      </vt:variant>
      <vt:variant>
        <vt:lpwstr/>
      </vt:variant>
      <vt:variant>
        <vt:i4>1441852</vt:i4>
      </vt:variant>
      <vt:variant>
        <vt:i4>39</vt:i4>
      </vt:variant>
      <vt:variant>
        <vt:i4>0</vt:i4>
      </vt:variant>
      <vt:variant>
        <vt:i4>5</vt:i4>
      </vt:variant>
      <vt:variant>
        <vt:lpwstr>https://ec.europa.eu/info/publications/management-plan-2017-european-anti-fraud-office_en</vt:lpwstr>
      </vt:variant>
      <vt:variant>
        <vt:lpwstr/>
      </vt:variant>
      <vt:variant>
        <vt:i4>2883611</vt:i4>
      </vt:variant>
      <vt:variant>
        <vt:i4>36</vt:i4>
      </vt:variant>
      <vt:variant>
        <vt:i4>0</vt:i4>
      </vt:variant>
      <vt:variant>
        <vt:i4>5</vt:i4>
      </vt:variant>
      <vt:variant>
        <vt:lpwstr>http://ec.europa.eu/regional_policy/en/policy/how/improving-investment/public-procurement/</vt:lpwstr>
      </vt:variant>
      <vt:variant>
        <vt:lpwstr/>
      </vt:variant>
      <vt:variant>
        <vt:i4>1310821</vt:i4>
      </vt:variant>
      <vt:variant>
        <vt:i4>33</vt:i4>
      </vt:variant>
      <vt:variant>
        <vt:i4>0</vt:i4>
      </vt:variant>
      <vt:variant>
        <vt:i4>5</vt:i4>
      </vt:variant>
      <vt:variant>
        <vt:lpwstr>https://ec.europa.eu/taxation_customs/sites/taxation/files/2016_ipr_statistics.pdf</vt:lpwstr>
      </vt:variant>
      <vt:variant>
        <vt:lpwstr/>
      </vt:variant>
      <vt:variant>
        <vt:i4>3997725</vt:i4>
      </vt:variant>
      <vt:variant>
        <vt:i4>30</vt:i4>
      </vt:variant>
      <vt:variant>
        <vt:i4>0</vt:i4>
      </vt:variant>
      <vt:variant>
        <vt:i4>5</vt:i4>
      </vt:variant>
      <vt:variant>
        <vt:lpwstr>http://ec.europa.eu/regional_policy/p2p</vt:lpwstr>
      </vt:variant>
      <vt:variant>
        <vt:lpwstr/>
      </vt:variant>
      <vt:variant>
        <vt:i4>4128842</vt:i4>
      </vt:variant>
      <vt:variant>
        <vt:i4>27</vt:i4>
      </vt:variant>
      <vt:variant>
        <vt:i4>0</vt:i4>
      </vt:variant>
      <vt:variant>
        <vt:i4>5</vt:i4>
      </vt:variant>
      <vt:variant>
        <vt:lpwstr>http://ec.europa.eu/regional_policy/en/policy/how/improving-investment/integrity-pacts/</vt:lpwstr>
      </vt:variant>
      <vt:variant>
        <vt:lpwstr/>
      </vt:variant>
      <vt:variant>
        <vt:i4>3080241</vt:i4>
      </vt:variant>
      <vt:variant>
        <vt:i4>24</vt:i4>
      </vt:variant>
      <vt:variant>
        <vt:i4>0</vt:i4>
      </vt:variant>
      <vt:variant>
        <vt:i4>5</vt:i4>
      </vt:variant>
      <vt:variant>
        <vt:lpwstr>https://ec.europa.eu/sfc/en/2014/anti-fraud</vt:lpwstr>
      </vt:variant>
      <vt:variant>
        <vt:lpwstr/>
      </vt:variant>
      <vt:variant>
        <vt:i4>131077</vt:i4>
      </vt:variant>
      <vt:variant>
        <vt:i4>21</vt:i4>
      </vt:variant>
      <vt:variant>
        <vt:i4>0</vt:i4>
      </vt:variant>
      <vt:variant>
        <vt:i4>5</vt:i4>
      </vt:variant>
      <vt:variant>
        <vt:lpwstr>http://ec.europa.eu/anti-fraud/sites/antifraud/files/pifreport_2015_en.pdf</vt:lpwstr>
      </vt:variant>
      <vt:variant>
        <vt:lpwstr/>
      </vt:variant>
      <vt:variant>
        <vt:i4>2293836</vt:i4>
      </vt:variant>
      <vt:variant>
        <vt:i4>18</vt:i4>
      </vt:variant>
      <vt:variant>
        <vt:i4>0</vt:i4>
      </vt:variant>
      <vt:variant>
        <vt:i4>5</vt:i4>
      </vt:variant>
      <vt:variant>
        <vt:lpwstr>http://eur-lex.europa.eu/resource.html?uri=cellar:2c2f2554-0faf-11e7-8a35-01aa75ed71a1.0017.02/DOC_1&amp;format=PDF</vt:lpwstr>
      </vt:variant>
      <vt:variant>
        <vt:lpwstr/>
      </vt:variant>
      <vt:variant>
        <vt:i4>4784140</vt:i4>
      </vt:variant>
      <vt:variant>
        <vt:i4>15</vt:i4>
      </vt:variant>
      <vt:variant>
        <vt:i4>0</vt:i4>
      </vt:variant>
      <vt:variant>
        <vt:i4>5</vt:i4>
      </vt:variant>
      <vt:variant>
        <vt:lpwstr>http://step4youth.eu/</vt:lpwstr>
      </vt:variant>
      <vt:variant>
        <vt:lpwstr/>
      </vt:variant>
      <vt:variant>
        <vt:i4>7667770</vt:i4>
      </vt:variant>
      <vt:variant>
        <vt:i4>12</vt:i4>
      </vt:variant>
      <vt:variant>
        <vt:i4>0</vt:i4>
      </vt:variant>
      <vt:variant>
        <vt:i4>5</vt:i4>
      </vt:variant>
      <vt:variant>
        <vt:lpwstr>https://www.euthproject.eu/</vt:lpwstr>
      </vt:variant>
      <vt:variant>
        <vt:lpwstr/>
      </vt:variant>
      <vt:variant>
        <vt:i4>7274528</vt:i4>
      </vt:variant>
      <vt:variant>
        <vt:i4>9</vt:i4>
      </vt:variant>
      <vt:variant>
        <vt:i4>0</vt:i4>
      </vt:variant>
      <vt:variant>
        <vt:i4>5</vt:i4>
      </vt:variant>
      <vt:variant>
        <vt:lpwstr>https://ec.europa.eu/futurium/en/egovernment4eu</vt:lpwstr>
      </vt:variant>
      <vt:variant>
        <vt:lpwstr/>
      </vt:variant>
      <vt:variant>
        <vt:i4>2621448</vt:i4>
      </vt:variant>
      <vt:variant>
        <vt:i4>6</vt:i4>
      </vt:variant>
      <vt:variant>
        <vt:i4>0</vt:i4>
      </vt:variant>
      <vt:variant>
        <vt:i4>5</vt:i4>
      </vt:variant>
      <vt:variant>
        <vt:lpwstr>http://ec.europa.eu/newsroom/just/item-detail.cfm?item_id=58190</vt:lpwstr>
      </vt:variant>
      <vt:variant>
        <vt:lpwstr/>
      </vt:variant>
      <vt:variant>
        <vt:i4>3145822</vt:i4>
      </vt:variant>
      <vt:variant>
        <vt:i4>3</vt:i4>
      </vt:variant>
      <vt:variant>
        <vt:i4>0</vt:i4>
      </vt:variant>
      <vt:variant>
        <vt:i4>5</vt:i4>
      </vt:variant>
      <vt:variant>
        <vt:lpwstr>http://ec.europa.eu/internal_market/eu-go/</vt:lpwstr>
      </vt:variant>
      <vt:variant>
        <vt:lpwstr/>
      </vt:variant>
      <vt:variant>
        <vt:i4>2359343</vt:i4>
      </vt:variant>
      <vt:variant>
        <vt:i4>0</vt:i4>
      </vt:variant>
      <vt:variant>
        <vt:i4>0</vt:i4>
      </vt:variant>
      <vt:variant>
        <vt:i4>5</vt:i4>
      </vt:variant>
      <vt:variant>
        <vt:lpwstr>https://ec.europa.eu/futurium/en/egovernment4eu/actions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2017-03-22T07:48:00Z</cp:lastPrinted>
  <dcterms:created xsi:type="dcterms:W3CDTF">2017-09-26T08:14:00Z</dcterms:created>
  <dcterms:modified xsi:type="dcterms:W3CDTF">2017-09-26T08:16:00Z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