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C6" w:rsidRPr="008706C6" w:rsidRDefault="008706C6" w:rsidP="008706C6">
      <w:pPr>
        <w:spacing w:after="240" w:line="240" w:lineRule="auto"/>
        <w:ind w:left="567" w:hanging="567"/>
        <w:jc w:val="center"/>
        <w:rPr>
          <w:b/>
          <w:lang w:val="fr-FR"/>
        </w:rPr>
      </w:pPr>
      <w:r w:rsidRPr="008706C6">
        <w:rPr>
          <w:b/>
          <w:caps/>
          <w:lang w:val="fr-FR"/>
        </w:rPr>
        <w:t>Procédure</w:t>
      </w:r>
      <w:r w:rsidRPr="008706C6">
        <w:rPr>
          <w:b/>
          <w:lang w:val="fr-FR"/>
        </w:rPr>
        <w:t xml:space="preserve"> LÉGISLATIVE ORDINAIRE – Deuxième lecture</w:t>
      </w:r>
    </w:p>
    <w:p w:rsidR="008706C6" w:rsidRPr="008706C6" w:rsidRDefault="008706C6" w:rsidP="008706C6">
      <w:pPr>
        <w:spacing w:after="600"/>
        <w:jc w:val="center"/>
        <w:rPr>
          <w:b/>
          <w:lang w:val="fr-FR"/>
        </w:rPr>
      </w:pPr>
      <w:r w:rsidRPr="008706C6">
        <w:rPr>
          <w:b/>
          <w:lang w:val="fr-FR"/>
        </w:rPr>
        <w:t xml:space="preserve">Résolution législative du Parlement européen du 5 juillet 2017 </w:t>
      </w:r>
      <w:r w:rsidRPr="008706C6">
        <w:rPr>
          <w:b/>
          <w:lang w:val="fr-FR"/>
        </w:rPr>
        <w:br/>
        <w:t>relative à la position du Conseil en première lecture en vue de l’adoption de la directive du Parlement européen et du Conseil relative à la lutte contre la fraude portant atteinte aux intérêts financiers de l’Union au moyen du droit pénal</w:t>
      </w:r>
    </w:p>
    <w:p w:rsidR="008706C6" w:rsidRPr="008706C6" w:rsidRDefault="008706C6" w:rsidP="008706C6">
      <w:pPr>
        <w:spacing w:after="600"/>
        <w:jc w:val="center"/>
        <w:rPr>
          <w:b/>
          <w:lang w:val="fr-FR"/>
        </w:rPr>
      </w:pPr>
      <w:r w:rsidRPr="008706C6">
        <w:rPr>
          <w:b/>
          <w:lang w:val="fr-FR"/>
        </w:rPr>
        <w:t>2012/0193 (COD)</w:t>
      </w:r>
    </w:p>
    <w:p w:rsidR="008706C6" w:rsidRPr="008706C6" w:rsidRDefault="008706C6" w:rsidP="008706C6">
      <w:pPr>
        <w:spacing w:after="240" w:line="240" w:lineRule="auto"/>
        <w:ind w:left="567" w:hanging="567"/>
        <w:jc w:val="both"/>
        <w:rPr>
          <w:lang w:val="fr-FR"/>
        </w:rPr>
      </w:pPr>
      <w:r w:rsidRPr="008706C6">
        <w:rPr>
          <w:b/>
          <w:lang w:val="fr-FR"/>
        </w:rPr>
        <w:t>1.</w:t>
      </w:r>
      <w:r w:rsidRPr="008706C6">
        <w:rPr>
          <w:lang w:val="fr-FR"/>
        </w:rPr>
        <w:tab/>
      </w:r>
      <w:proofErr w:type="gramStart"/>
      <w:r w:rsidRPr="008706C6">
        <w:rPr>
          <w:b/>
          <w:lang w:val="fr-FR"/>
        </w:rPr>
        <w:t>Rapporteurs:</w:t>
      </w:r>
      <w:proofErr w:type="gramEnd"/>
      <w:r w:rsidRPr="008706C6">
        <w:rPr>
          <w:b/>
          <w:lang w:val="fr-FR"/>
        </w:rPr>
        <w:t xml:space="preserve"> </w:t>
      </w:r>
      <w:r w:rsidRPr="008706C6">
        <w:rPr>
          <w:lang w:val="fr-FR"/>
        </w:rPr>
        <w:t>Ingeborg GRÄSSLE (PPE/DE), Juan Fernando LÓPEZ AGUILAR (S&amp;D/ES)</w:t>
      </w:r>
    </w:p>
    <w:p w:rsidR="008706C6" w:rsidRPr="008706C6" w:rsidRDefault="008706C6" w:rsidP="008706C6">
      <w:pPr>
        <w:spacing w:after="240" w:line="240" w:lineRule="auto"/>
        <w:ind w:left="567" w:hanging="567"/>
        <w:jc w:val="both"/>
        <w:rPr>
          <w:lang w:val="fr-FR"/>
        </w:rPr>
      </w:pPr>
      <w:r w:rsidRPr="008706C6">
        <w:rPr>
          <w:b/>
          <w:lang w:val="fr-FR"/>
        </w:rPr>
        <w:t>2.</w:t>
      </w:r>
      <w:r w:rsidRPr="008706C6">
        <w:rPr>
          <w:lang w:val="fr-FR"/>
        </w:rPr>
        <w:tab/>
      </w:r>
      <w:r w:rsidRPr="008706C6">
        <w:rPr>
          <w:b/>
          <w:lang w:val="fr-FR"/>
        </w:rPr>
        <w:t xml:space="preserve">Numéro de référence du </w:t>
      </w:r>
      <w:proofErr w:type="gramStart"/>
      <w:r w:rsidRPr="008706C6">
        <w:rPr>
          <w:b/>
          <w:lang w:val="fr-FR"/>
        </w:rPr>
        <w:t>PE:</w:t>
      </w:r>
      <w:proofErr w:type="gramEnd"/>
      <w:r w:rsidRPr="008706C6">
        <w:rPr>
          <w:b/>
          <w:lang w:val="fr-FR"/>
        </w:rPr>
        <w:t xml:space="preserve"> </w:t>
      </w:r>
      <w:r w:rsidRPr="008706C6">
        <w:rPr>
          <w:lang w:val="fr-FR"/>
        </w:rPr>
        <w:t>A8-0230/2017 / P8_TA-PROV(2017)0299</w:t>
      </w:r>
    </w:p>
    <w:p w:rsidR="008706C6" w:rsidRPr="008706C6" w:rsidRDefault="008706C6" w:rsidP="008706C6">
      <w:pPr>
        <w:spacing w:after="240" w:line="240" w:lineRule="auto"/>
        <w:ind w:left="567" w:hanging="567"/>
        <w:jc w:val="both"/>
        <w:rPr>
          <w:lang w:val="fr-FR"/>
        </w:rPr>
      </w:pPr>
      <w:r w:rsidRPr="008706C6">
        <w:rPr>
          <w:b/>
          <w:lang w:val="fr-FR"/>
        </w:rPr>
        <w:t>3.</w:t>
      </w:r>
      <w:r w:rsidRPr="008706C6">
        <w:rPr>
          <w:lang w:val="fr-FR"/>
        </w:rPr>
        <w:tab/>
      </w:r>
      <w:r w:rsidRPr="008706C6">
        <w:rPr>
          <w:b/>
          <w:lang w:val="fr-FR"/>
        </w:rPr>
        <w:t xml:space="preserve">Date d’adoption de la </w:t>
      </w:r>
      <w:proofErr w:type="gramStart"/>
      <w:r w:rsidRPr="008706C6">
        <w:rPr>
          <w:b/>
          <w:lang w:val="fr-FR"/>
        </w:rPr>
        <w:t>résolution:</w:t>
      </w:r>
      <w:proofErr w:type="gramEnd"/>
      <w:r w:rsidRPr="008706C6">
        <w:rPr>
          <w:b/>
          <w:lang w:val="fr-FR"/>
        </w:rPr>
        <w:t xml:space="preserve"> </w:t>
      </w:r>
      <w:r w:rsidRPr="008706C6">
        <w:rPr>
          <w:lang w:val="fr-FR"/>
        </w:rPr>
        <w:t>5 juillet 2017</w:t>
      </w:r>
    </w:p>
    <w:p w:rsidR="008706C6" w:rsidRPr="008706C6" w:rsidRDefault="008706C6" w:rsidP="008706C6">
      <w:pPr>
        <w:tabs>
          <w:tab w:val="left" w:pos="720"/>
          <w:tab w:val="left" w:pos="1440"/>
          <w:tab w:val="left" w:pos="2925"/>
        </w:tabs>
        <w:spacing w:after="240" w:line="240" w:lineRule="auto"/>
        <w:ind w:left="567" w:hanging="567"/>
        <w:jc w:val="both"/>
        <w:rPr>
          <w:lang w:val="fr-FR"/>
        </w:rPr>
      </w:pPr>
      <w:r w:rsidRPr="008706C6">
        <w:rPr>
          <w:b/>
          <w:lang w:val="fr-FR"/>
        </w:rPr>
        <w:t>4.</w:t>
      </w:r>
      <w:r w:rsidRPr="008706C6">
        <w:rPr>
          <w:lang w:val="fr-FR"/>
        </w:rPr>
        <w:tab/>
      </w:r>
      <w:proofErr w:type="gramStart"/>
      <w:r w:rsidRPr="008706C6">
        <w:rPr>
          <w:b/>
          <w:lang w:val="fr-FR"/>
        </w:rPr>
        <w:t>Objet:</w:t>
      </w:r>
      <w:proofErr w:type="gramEnd"/>
      <w:r w:rsidRPr="008706C6">
        <w:rPr>
          <w:b/>
          <w:lang w:val="fr-FR"/>
        </w:rPr>
        <w:t xml:space="preserve"> </w:t>
      </w:r>
      <w:r w:rsidRPr="008706C6">
        <w:rPr>
          <w:lang w:val="fr-FR"/>
        </w:rPr>
        <w:t>lutte contre la fraude portant atteinte aux intérêts financiers de l’Union au moyen du droit pénal</w:t>
      </w:r>
    </w:p>
    <w:p w:rsidR="008706C6" w:rsidRPr="008706C6" w:rsidRDefault="008706C6" w:rsidP="008706C6">
      <w:pPr>
        <w:spacing w:after="240" w:line="240" w:lineRule="auto"/>
        <w:ind w:left="567" w:hanging="567"/>
        <w:jc w:val="both"/>
        <w:rPr>
          <w:lang w:val="fr-FR"/>
        </w:rPr>
      </w:pPr>
      <w:r w:rsidRPr="008706C6">
        <w:rPr>
          <w:b/>
          <w:lang w:val="fr-FR"/>
        </w:rPr>
        <w:t>5.</w:t>
      </w:r>
      <w:r w:rsidRPr="008706C6">
        <w:rPr>
          <w:lang w:val="fr-FR"/>
        </w:rPr>
        <w:tab/>
      </w:r>
      <w:r w:rsidRPr="008706C6">
        <w:rPr>
          <w:b/>
          <w:lang w:val="fr-FR"/>
        </w:rPr>
        <w:t xml:space="preserve">Numéro de référence </w:t>
      </w:r>
      <w:proofErr w:type="gramStart"/>
      <w:r w:rsidRPr="008706C6">
        <w:rPr>
          <w:b/>
          <w:lang w:val="fr-FR"/>
        </w:rPr>
        <w:t>interinstitutionnel:</w:t>
      </w:r>
      <w:proofErr w:type="gramEnd"/>
      <w:r w:rsidRPr="008706C6">
        <w:rPr>
          <w:b/>
          <w:lang w:val="fr-FR"/>
        </w:rPr>
        <w:t xml:space="preserve"> </w:t>
      </w:r>
      <w:r w:rsidRPr="008706C6">
        <w:rPr>
          <w:lang w:val="fr-FR"/>
        </w:rPr>
        <w:t>2012/0193 (COD)</w:t>
      </w:r>
    </w:p>
    <w:p w:rsidR="008706C6" w:rsidRPr="008706C6" w:rsidRDefault="008706C6" w:rsidP="008706C6">
      <w:pPr>
        <w:tabs>
          <w:tab w:val="left" w:pos="720"/>
          <w:tab w:val="left" w:pos="1440"/>
          <w:tab w:val="left" w:pos="2640"/>
        </w:tabs>
        <w:spacing w:after="240" w:line="240" w:lineRule="auto"/>
        <w:ind w:left="567" w:hanging="567"/>
        <w:jc w:val="both"/>
        <w:rPr>
          <w:lang w:val="fr-FR"/>
        </w:rPr>
      </w:pPr>
      <w:r w:rsidRPr="008706C6">
        <w:rPr>
          <w:b/>
          <w:lang w:val="fr-FR"/>
        </w:rPr>
        <w:t>6.</w:t>
      </w:r>
      <w:r w:rsidRPr="008706C6">
        <w:rPr>
          <w:lang w:val="fr-FR"/>
        </w:rPr>
        <w:tab/>
      </w:r>
      <w:r w:rsidRPr="008706C6">
        <w:rPr>
          <w:b/>
          <w:lang w:val="fr-FR"/>
        </w:rPr>
        <w:t xml:space="preserve">Base juridique: </w:t>
      </w:r>
      <w:r w:rsidRPr="008706C6">
        <w:rPr>
          <w:lang w:val="fr-FR"/>
        </w:rPr>
        <w:t>article 83, paragraphe 2, et article 325 du traité sur le fonctionnement de l’Union européenne.</w:t>
      </w:r>
    </w:p>
    <w:p w:rsidR="008706C6" w:rsidRPr="008706C6" w:rsidRDefault="008706C6" w:rsidP="008706C6">
      <w:pPr>
        <w:spacing w:after="240" w:line="240" w:lineRule="auto"/>
        <w:ind w:left="567" w:hanging="567"/>
        <w:jc w:val="both"/>
        <w:rPr>
          <w:lang w:val="fr-FR"/>
        </w:rPr>
      </w:pPr>
      <w:r w:rsidRPr="008706C6">
        <w:rPr>
          <w:b/>
          <w:lang w:val="fr-FR"/>
        </w:rPr>
        <w:t>7.</w:t>
      </w:r>
      <w:r w:rsidRPr="008706C6">
        <w:rPr>
          <w:lang w:val="fr-FR"/>
        </w:rPr>
        <w:tab/>
      </w:r>
      <w:r w:rsidRPr="008706C6">
        <w:rPr>
          <w:b/>
          <w:lang w:val="fr-FR"/>
        </w:rPr>
        <w:t xml:space="preserve">Commissions parlementaires compétentes: </w:t>
      </w:r>
      <w:r w:rsidRPr="008706C6">
        <w:rPr>
          <w:lang w:val="fr-FR"/>
        </w:rPr>
        <w:t>commission des libertés civiles, de la justice et des affaires intérieures (LIBE) / commission du contrôle budgétaire (CONT)</w:t>
      </w:r>
    </w:p>
    <w:p w:rsidR="008706C6" w:rsidRPr="008706C6" w:rsidRDefault="008706C6" w:rsidP="008706C6">
      <w:pPr>
        <w:spacing w:after="240" w:line="240" w:lineRule="auto"/>
        <w:ind w:left="567" w:hanging="567"/>
        <w:jc w:val="both"/>
        <w:rPr>
          <w:lang w:val="fr-FR"/>
        </w:rPr>
      </w:pPr>
      <w:r w:rsidRPr="008706C6">
        <w:rPr>
          <w:b/>
          <w:lang w:val="fr-FR"/>
        </w:rPr>
        <w:t>8.</w:t>
      </w:r>
      <w:r w:rsidRPr="008706C6">
        <w:rPr>
          <w:lang w:val="fr-FR"/>
        </w:rPr>
        <w:tab/>
      </w:r>
      <w:r w:rsidRPr="008706C6">
        <w:rPr>
          <w:b/>
          <w:lang w:val="fr-FR"/>
        </w:rPr>
        <w:t xml:space="preserve">Position de la Commission </w:t>
      </w:r>
      <w:r w:rsidRPr="008706C6">
        <w:rPr>
          <w:lang w:val="fr-FR"/>
        </w:rPr>
        <w:t>la Commission peut accepter tous les amendements. Elle a cependant publié une déclaration sur la base juridique de la directive lors de l’adoption de la position du Conseil en première lecture le 25 avril 2017, ainsi qu’une communication au Parlement européen le 16 mai 2017. Si le Parlement européen et le Conseil ont adopté la directive sur le fondement de l’article 83, paragraphe 2, du traité sur le fonctionnement de l’Union européenne, la Commission estime que la directive aurait dû être fondée sur l’article 325 du traité sur le fonctionnement de l’Union européenne et se réserve le droit d’engager une procédure judiciaire sur la base juridique devant la Cour de justice.</w:t>
      </w:r>
    </w:p>
    <w:p w:rsidR="008706C6" w:rsidRPr="008706C6" w:rsidRDefault="008706C6" w:rsidP="008706C6">
      <w:pPr>
        <w:spacing w:after="240" w:line="240" w:lineRule="auto"/>
        <w:ind w:left="567" w:hanging="567"/>
        <w:jc w:val="both"/>
        <w:rPr>
          <w:lang w:val="fr-FR"/>
        </w:rPr>
      </w:pPr>
      <w:r w:rsidRPr="008706C6">
        <w:rPr>
          <w:b/>
          <w:lang w:val="fr-FR"/>
        </w:rPr>
        <w:t>9.</w:t>
      </w:r>
      <w:r w:rsidRPr="008706C6">
        <w:rPr>
          <w:lang w:val="fr-FR"/>
        </w:rPr>
        <w:tab/>
      </w:r>
      <w:r w:rsidRPr="008706C6">
        <w:rPr>
          <w:b/>
          <w:lang w:val="fr-FR"/>
        </w:rPr>
        <w:t xml:space="preserve">Prévision quant à l’avis de la </w:t>
      </w:r>
      <w:proofErr w:type="gramStart"/>
      <w:r w:rsidRPr="008706C6">
        <w:rPr>
          <w:b/>
          <w:lang w:val="fr-FR"/>
        </w:rPr>
        <w:t>Commission:</w:t>
      </w:r>
      <w:proofErr w:type="gramEnd"/>
      <w:r w:rsidRPr="008706C6">
        <w:rPr>
          <w:b/>
          <w:lang w:val="fr-FR"/>
        </w:rPr>
        <w:t xml:space="preserve"> </w:t>
      </w:r>
      <w:r w:rsidRPr="008706C6">
        <w:rPr>
          <w:lang w:val="fr-FR"/>
        </w:rPr>
        <w:t>la Commission approuve l’accord dégagé entre le Parlement européen et le Conseil.</w:t>
      </w:r>
    </w:p>
    <w:p w:rsidR="008706C6" w:rsidRPr="008706C6" w:rsidRDefault="008706C6" w:rsidP="008706C6">
      <w:pPr>
        <w:spacing w:after="240" w:line="240" w:lineRule="auto"/>
        <w:ind w:left="567" w:hanging="567"/>
        <w:jc w:val="both"/>
        <w:rPr>
          <w:lang w:val="fr-FR"/>
        </w:rPr>
      </w:pPr>
      <w:r w:rsidRPr="008706C6">
        <w:rPr>
          <w:b/>
          <w:lang w:val="fr-FR"/>
        </w:rPr>
        <w:t>10.</w:t>
      </w:r>
      <w:r w:rsidRPr="008706C6">
        <w:rPr>
          <w:lang w:val="fr-FR"/>
        </w:rPr>
        <w:tab/>
      </w:r>
      <w:r w:rsidRPr="008706C6">
        <w:rPr>
          <w:b/>
          <w:lang w:val="fr-FR"/>
        </w:rPr>
        <w:t xml:space="preserve">Prévisions quant à l’adoption de la proposition: </w:t>
      </w:r>
      <w:r w:rsidRPr="008706C6">
        <w:rPr>
          <w:lang w:val="fr-FR"/>
        </w:rPr>
        <w:t>après l’approbation de la position du Conseil en première lecture par le Parlement européen en deuxième lecture le 5 juillet 2017, la directive a été adoptée.</w:t>
      </w:r>
    </w:p>
    <w:p w:rsidR="000527F7" w:rsidRPr="008706C6" w:rsidRDefault="008706C6" w:rsidP="008706C6">
      <w:pPr>
        <w:rPr>
          <w:lang w:val="fr-FR"/>
        </w:rPr>
      </w:pPr>
      <w:r w:rsidRPr="008706C6">
        <w:rPr>
          <w:lang w:val="fr-FR"/>
        </w:rPr>
        <w:br w:type="page"/>
      </w:r>
      <w:bookmarkStart w:id="0" w:name="_GoBack"/>
      <w:bookmarkEnd w:id="0"/>
    </w:p>
    <w:sectPr w:rsidR="000527F7" w:rsidRPr="00870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C6"/>
    <w:rsid w:val="000527F7"/>
    <w:rsid w:val="0087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195E9-5E09-42C0-BC3D-2A94732B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D9E2D0EA</Template>
  <TotalTime>0</TotalTime>
  <Pages>2</Pages>
  <Words>309</Words>
  <Characters>1764</Characters>
  <Application>Microsoft Office Word</Application>
  <DocSecurity>0</DocSecurity>
  <Lines>14</Lines>
  <Paragraphs>4</Paragraphs>
  <ScaleCrop>false</ScaleCrop>
  <Company>European Parliament</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BALAJKOVA Tatiana</dc:creator>
  <cp:keywords/>
  <dc:description/>
  <cp:lastModifiedBy>BALAJKOVA Tatiana</cp:lastModifiedBy>
  <cp:revision>1</cp:revision>
  <dcterms:created xsi:type="dcterms:W3CDTF">2017-10-17T15:32:00Z</dcterms:created>
  <dcterms:modified xsi:type="dcterms:W3CDTF">2017-10-17T15:35:00Z</dcterms:modified>
</cp:coreProperties>
</file>