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41" w:rsidRDefault="00271B41" w:rsidP="00271B41">
      <w:pPr>
        <w:spacing w:after="240" w:line="240" w:lineRule="auto"/>
        <w:jc w:val="center"/>
      </w:pPr>
      <w:r>
        <w:rPr>
          <w:b/>
        </w:rPr>
        <w:t xml:space="preserve">ORDINARY LEGISLATIVE </w:t>
      </w:r>
      <w:r>
        <w:rPr>
          <w:b/>
          <w:caps/>
        </w:rPr>
        <w:t>procedure</w:t>
      </w:r>
      <w:r>
        <w:rPr>
          <w:b/>
        </w:rPr>
        <w:t xml:space="preserve"> - First reading</w:t>
      </w:r>
    </w:p>
    <w:p w:rsidR="00271B41" w:rsidRDefault="00271B41" w:rsidP="00271B41">
      <w:pPr>
        <w:spacing w:after="600" w:line="240" w:lineRule="auto"/>
        <w:jc w:val="center"/>
        <w:rPr>
          <w:b/>
        </w:rPr>
      </w:pPr>
      <w:r>
        <w:rPr>
          <w:b/>
          <w:szCs w:val="24"/>
        </w:rPr>
        <w:t xml:space="preserve">Follow-up to the </w:t>
      </w:r>
      <w:r>
        <w:rPr>
          <w:b/>
        </w:rPr>
        <w:t>European Parliament legislative resolution of 14 September 2017 on the proposal for a Regulation of the European Parliament and of the Council amending Regulation (EU) No 99/2013 of the European Parliament and of the Council on the European statistical programme 2013-17, by extending it to 2018-2020</w:t>
      </w:r>
    </w:p>
    <w:p w:rsidR="00271B41" w:rsidRDefault="00271B41" w:rsidP="00271B41">
      <w:pPr>
        <w:spacing w:after="600" w:line="240" w:lineRule="auto"/>
        <w:jc w:val="center"/>
        <w:rPr>
          <w:b/>
          <w:lang w:val="en-US" w:eastAsia="en-GB"/>
        </w:rPr>
      </w:pPr>
      <w:r>
        <w:rPr>
          <w:b/>
          <w:szCs w:val="24"/>
          <w:lang w:val="en-US"/>
        </w:rPr>
        <w:t>2016/0265 (COD)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b/>
          <w:szCs w:val="24"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szCs w:val="24"/>
        </w:rPr>
        <w:t xml:space="preserve">Rapporteur: </w:t>
      </w:r>
      <w:r>
        <w:rPr>
          <w:szCs w:val="24"/>
        </w:rPr>
        <w:t>Roberto GUALTIERI (S&amp;D/IT)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 xml:space="preserve">EP reference number: </w:t>
      </w:r>
      <w:r>
        <w:rPr>
          <w:rStyle w:val="contentssmallbis1"/>
          <w:bCs/>
          <w:iCs/>
        </w:rPr>
        <w:t>A8-0158/2017</w:t>
      </w:r>
      <w:r>
        <w:rPr>
          <w:rStyle w:val="contentssmallbis1"/>
          <w:iCs/>
        </w:rPr>
        <w:t xml:space="preserve"> </w:t>
      </w:r>
      <w:r>
        <w:rPr>
          <w:szCs w:val="24"/>
        </w:rPr>
        <w:t xml:space="preserve">/ </w:t>
      </w:r>
      <w:r>
        <w:t>P</w:t>
      </w:r>
      <w:r>
        <w:rPr>
          <w:rStyle w:val="contents"/>
        </w:rPr>
        <w:t>8_TA-</w:t>
      </w:r>
      <w:proofErr w:type="gramStart"/>
      <w:r>
        <w:rPr>
          <w:rStyle w:val="contents"/>
        </w:rPr>
        <w:t>PROV(</w:t>
      </w:r>
      <w:proofErr w:type="gramEnd"/>
      <w:r>
        <w:rPr>
          <w:rStyle w:val="contents"/>
        </w:rPr>
        <w:t>2017)0355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 xml:space="preserve">Date of adoption of the resolution: </w:t>
      </w:r>
      <w:r>
        <w:rPr>
          <w:szCs w:val="24"/>
        </w:rPr>
        <w:t>14 September 2017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 xml:space="preserve">Subject: </w:t>
      </w:r>
      <w:bookmarkStart w:id="0" w:name="57"/>
      <w:bookmarkEnd w:id="0"/>
      <w:r>
        <w:rPr>
          <w:bCs/>
          <w:szCs w:val="24"/>
        </w:rPr>
        <w:t>Extension of the European statistical programme to 2020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Interinstitutional</w:t>
      </w:r>
      <w:proofErr w:type="spellEnd"/>
      <w:r>
        <w:rPr>
          <w:b/>
          <w:szCs w:val="24"/>
        </w:rPr>
        <w:t xml:space="preserve"> reference number: </w:t>
      </w:r>
      <w:r>
        <w:rPr>
          <w:szCs w:val="24"/>
        </w:rPr>
        <w:t>2016/0265 (COD)</w:t>
      </w:r>
    </w:p>
    <w:p w:rsidR="00271B41" w:rsidRDefault="00271B41" w:rsidP="00271B41">
      <w:pPr>
        <w:tabs>
          <w:tab w:val="left" w:pos="720"/>
          <w:tab w:val="left" w:pos="1440"/>
          <w:tab w:val="left" w:pos="2430"/>
        </w:tabs>
        <w:spacing w:after="240" w:line="240" w:lineRule="auto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 xml:space="preserve">Legal basis: </w:t>
      </w:r>
      <w:r>
        <w:rPr>
          <w:szCs w:val="24"/>
        </w:rPr>
        <w:t xml:space="preserve">Article 338(1) of the </w:t>
      </w:r>
      <w:r>
        <w:t>Treaty on the Functioning of the European Union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 xml:space="preserve">Competent Parliamentary Committee: </w:t>
      </w:r>
      <w:r>
        <w:rPr>
          <w:rStyle w:val="contentssmallbis1"/>
        </w:rPr>
        <w:t>Committee on Economic and Monetary Affairs</w:t>
      </w:r>
      <w:r>
        <w:rPr>
          <w:szCs w:val="24"/>
        </w:rPr>
        <w:t xml:space="preserve"> (ECON)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>8.</w:t>
      </w:r>
      <w:r>
        <w:rPr>
          <w:b/>
          <w:szCs w:val="24"/>
        </w:rPr>
        <w:tab/>
        <w:t xml:space="preserve">Commission's position: </w:t>
      </w:r>
      <w:r>
        <w:rPr>
          <w:szCs w:val="24"/>
        </w:rPr>
        <w:t xml:space="preserve">The Commission can accept all amendments. The </w:t>
      </w:r>
      <w:r>
        <w:rPr>
          <w:rFonts w:eastAsia="Calibri"/>
          <w:szCs w:val="24"/>
        </w:rPr>
        <w:t xml:space="preserve">final compromise text voted by the European Parliament </w:t>
      </w:r>
      <w:proofErr w:type="gramStart"/>
      <w:r>
        <w:rPr>
          <w:rFonts w:eastAsia="Calibri"/>
          <w:szCs w:val="24"/>
        </w:rPr>
        <w:t>was agreed</w:t>
      </w:r>
      <w:proofErr w:type="gramEnd"/>
      <w:r>
        <w:rPr>
          <w:rFonts w:eastAsia="Calibri"/>
          <w:szCs w:val="24"/>
        </w:rPr>
        <w:t xml:space="preserve"> in the </w:t>
      </w:r>
      <w:proofErr w:type="spellStart"/>
      <w:r>
        <w:rPr>
          <w:rFonts w:eastAsia="Calibri"/>
          <w:szCs w:val="24"/>
        </w:rPr>
        <w:t>trilogues</w:t>
      </w:r>
      <w:proofErr w:type="spellEnd"/>
      <w:r>
        <w:rPr>
          <w:rFonts w:eastAsia="Calibri"/>
          <w:szCs w:val="24"/>
        </w:rPr>
        <w:t xml:space="preserve"> and it is considered acceptable to the Commission. </w:t>
      </w:r>
      <w:r>
        <w:rPr>
          <w:szCs w:val="24"/>
        </w:rPr>
        <w:t>The amendments are satisfactory since they do not alter the main objectives sought by the proposal.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b/>
          <w:szCs w:val="24"/>
        </w:rPr>
      </w:pPr>
      <w:r>
        <w:rPr>
          <w:b/>
          <w:szCs w:val="24"/>
        </w:rPr>
        <w:t>9.</w:t>
      </w:r>
      <w:r>
        <w:rPr>
          <w:b/>
          <w:szCs w:val="24"/>
        </w:rPr>
        <w:tab/>
        <w:t xml:space="preserve">Outlook for amendment of the proposal: </w:t>
      </w:r>
      <w:r>
        <w:rPr>
          <w:szCs w:val="24"/>
        </w:rPr>
        <w:t>There is no need for a formal modified proposal, as there is already agreement between the European Parliament and the Council, endorsed by the Commission.</w:t>
      </w:r>
    </w:p>
    <w:p w:rsidR="00271B41" w:rsidRDefault="00271B41" w:rsidP="00271B41">
      <w:pPr>
        <w:spacing w:after="240" w:line="240" w:lineRule="auto"/>
        <w:ind w:left="567" w:hanging="567"/>
        <w:jc w:val="both"/>
        <w:rPr>
          <w:szCs w:val="24"/>
        </w:rPr>
      </w:pPr>
      <w:proofErr w:type="gramStart"/>
      <w:r>
        <w:rPr>
          <w:b/>
          <w:szCs w:val="24"/>
        </w:rPr>
        <w:t>10.</w:t>
      </w:r>
      <w:r>
        <w:rPr>
          <w:b/>
          <w:szCs w:val="24"/>
        </w:rPr>
        <w:tab/>
        <w:t>Outlook for the adoption of Council's position:</w:t>
      </w:r>
      <w:r>
        <w:rPr>
          <w:szCs w:val="24"/>
        </w:rPr>
        <w:t xml:space="preserve"> The compromise text agreed during the </w:t>
      </w:r>
      <w:proofErr w:type="spellStart"/>
      <w:r>
        <w:rPr>
          <w:szCs w:val="24"/>
        </w:rPr>
        <w:t>trilogues</w:t>
      </w:r>
      <w:proofErr w:type="spellEnd"/>
      <w:r>
        <w:rPr>
          <w:szCs w:val="24"/>
        </w:rPr>
        <w:t xml:space="preserve"> was endorsed by the </w:t>
      </w:r>
      <w:proofErr w:type="spellStart"/>
      <w:r>
        <w:rPr>
          <w:szCs w:val="24"/>
        </w:rPr>
        <w:t>Coreper</w:t>
      </w:r>
      <w:proofErr w:type="spellEnd"/>
      <w:proofErr w:type="gramEnd"/>
      <w:r>
        <w:rPr>
          <w:szCs w:val="24"/>
        </w:rPr>
        <w:t xml:space="preserve"> on 9 June 2017. The Parliament's position reflects what </w:t>
      </w:r>
      <w:proofErr w:type="gramStart"/>
      <w:r>
        <w:rPr>
          <w:szCs w:val="24"/>
        </w:rPr>
        <w:t>had been previously agreed</w:t>
      </w:r>
      <w:proofErr w:type="gramEnd"/>
      <w:r>
        <w:rPr>
          <w:szCs w:val="24"/>
        </w:rPr>
        <w:t xml:space="preserve"> between the institutions. </w:t>
      </w:r>
      <w:r>
        <w:rPr>
          <w:szCs w:val="24"/>
          <w:lang w:eastAsia="fr-BE"/>
        </w:rPr>
        <w:t xml:space="preserve">Following endorsement of the </w:t>
      </w:r>
      <w:r>
        <w:rPr>
          <w:szCs w:val="24"/>
        </w:rPr>
        <w:t xml:space="preserve">compromise by the </w:t>
      </w:r>
      <w:proofErr w:type="spellStart"/>
      <w:r>
        <w:rPr>
          <w:szCs w:val="24"/>
        </w:rPr>
        <w:t>Coreper</w:t>
      </w:r>
      <w:proofErr w:type="spellEnd"/>
      <w:r>
        <w:rPr>
          <w:szCs w:val="24"/>
        </w:rPr>
        <w:t xml:space="preserve"> </w:t>
      </w:r>
      <w:r>
        <w:rPr>
          <w:szCs w:val="24"/>
          <w:lang w:eastAsia="fr-BE"/>
        </w:rPr>
        <w:t xml:space="preserve">as </w:t>
      </w:r>
      <w:proofErr w:type="gramStart"/>
      <w:r>
        <w:rPr>
          <w:szCs w:val="24"/>
          <w:lang w:eastAsia="fr-BE"/>
        </w:rPr>
        <w:t>an</w:t>
      </w:r>
      <w:proofErr w:type="gramEnd"/>
      <w:r>
        <w:rPr>
          <w:szCs w:val="24"/>
          <w:lang w:eastAsia="fr-BE"/>
        </w:rPr>
        <w:t xml:space="preserve"> "I" item on 27 September 2017, it is expected that the Council will adopt the Regulation as an "A" item on 9</w:t>
      </w:r>
      <w:r>
        <w:rPr>
          <w:lang w:val="en-US"/>
        </w:rPr>
        <w:t> </w:t>
      </w:r>
      <w:r>
        <w:rPr>
          <w:szCs w:val="24"/>
          <w:lang w:eastAsia="fr-BE"/>
        </w:rPr>
        <w:t>October 2017.</w:t>
      </w:r>
    </w:p>
    <w:p w:rsidR="00EA1173" w:rsidRDefault="00271B41" w:rsidP="00271B41">
      <w:r>
        <w:br w:type="page"/>
      </w:r>
      <w:bookmarkStart w:id="1" w:name="_GoBack"/>
      <w:bookmarkEnd w:id="1"/>
    </w:p>
    <w:sectPr w:rsidR="00EA1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41"/>
    <w:rsid w:val="00271B41"/>
    <w:rsid w:val="00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332E-3A0C-4127-A7A4-8D82E942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s">
    <w:name w:val="contents"/>
    <w:basedOn w:val="DefaultParagraphFont"/>
    <w:rsid w:val="00271B41"/>
  </w:style>
  <w:style w:type="character" w:customStyle="1" w:styleId="contentssmallbis1">
    <w:name w:val="contents_small_bis1"/>
    <w:rsid w:val="00271B41"/>
    <w:rPr>
      <w:rFonts w:ascii="Arial" w:hAnsi="Arial" w:cs="Arial" w:hint="default"/>
      <w:b w:val="0"/>
      <w:bCs w:val="0"/>
      <w:color w:val="3636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F1CC209D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European Parliament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2017-11-06T15:19:00Z</dcterms:created>
  <dcterms:modified xsi:type="dcterms:W3CDTF">2017-11-06T15:22:00Z</dcterms:modified>
</cp:coreProperties>
</file>