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42" w:rsidRDefault="00B7396F" w:rsidP="005D0EA7">
      <w:pPr>
        <w:spacing w:after="600"/>
        <w:jc w:val="center"/>
        <w:rPr>
          <w:rFonts w:ascii="Times New Roman" w:hAnsi="Times New Roman"/>
          <w:b/>
          <w:bCs/>
          <w:color w:val="000000"/>
          <w:szCs w:val="24"/>
        </w:rPr>
      </w:pPr>
      <w:r w:rsidRPr="006A1C0D">
        <w:rPr>
          <w:rFonts w:ascii="Times New Roman" w:hAnsi="Times New Roman"/>
          <w:b/>
          <w:bCs/>
          <w:szCs w:val="24"/>
        </w:rPr>
        <w:t xml:space="preserve">Follow up to the </w:t>
      </w:r>
      <w:r w:rsidRPr="000F4BBE">
        <w:rPr>
          <w:rFonts w:ascii="Times New Roman" w:hAnsi="Times New Roman"/>
          <w:b/>
          <w:bCs/>
          <w:color w:val="000000"/>
          <w:szCs w:val="24"/>
        </w:rPr>
        <w:t xml:space="preserve">European Parliament </w:t>
      </w:r>
      <w:r>
        <w:rPr>
          <w:rFonts w:ascii="Times New Roman" w:hAnsi="Times New Roman"/>
          <w:b/>
          <w:bCs/>
          <w:color w:val="000000"/>
          <w:szCs w:val="24"/>
        </w:rPr>
        <w:t>non-legislative resolution of 12 September 2017</w:t>
      </w:r>
      <w:r w:rsidRPr="000F4BBE">
        <w:rPr>
          <w:rFonts w:ascii="Times New Roman" w:hAnsi="Times New Roman"/>
          <w:b/>
          <w:bCs/>
          <w:color w:val="000000"/>
          <w:szCs w:val="24"/>
        </w:rPr>
        <w:t xml:space="preserve"> </w:t>
      </w:r>
      <w:r>
        <w:rPr>
          <w:rFonts w:ascii="Times New Roman" w:hAnsi="Times New Roman"/>
          <w:b/>
          <w:bCs/>
          <w:color w:val="000000"/>
          <w:szCs w:val="24"/>
        </w:rPr>
        <w:t xml:space="preserve">on </w:t>
      </w:r>
      <w:r w:rsidR="0054357A">
        <w:rPr>
          <w:rFonts w:ascii="Times New Roman" w:hAnsi="Times New Roman"/>
          <w:b/>
          <w:bCs/>
          <w:color w:val="000000"/>
          <w:szCs w:val="24"/>
        </w:rPr>
        <w:t>w</w:t>
      </w:r>
      <w:r>
        <w:rPr>
          <w:rFonts w:ascii="Times New Roman" w:hAnsi="Times New Roman"/>
          <w:b/>
          <w:bCs/>
          <w:color w:val="000000"/>
          <w:szCs w:val="24"/>
        </w:rPr>
        <w:t>hale hunting in Norway</w:t>
      </w:r>
    </w:p>
    <w:p w:rsidR="00B7396F" w:rsidRPr="005D0EA7" w:rsidRDefault="00B7396F" w:rsidP="005D0EA7">
      <w:pPr>
        <w:spacing w:after="600"/>
        <w:jc w:val="center"/>
        <w:rPr>
          <w:rFonts w:ascii="Times New Roman" w:hAnsi="Times New Roman"/>
          <w:b/>
          <w:bCs/>
          <w:color w:val="000000"/>
          <w:szCs w:val="24"/>
        </w:rPr>
      </w:pPr>
      <w:r w:rsidRPr="005D0EA7">
        <w:rPr>
          <w:rFonts w:ascii="Times New Roman" w:hAnsi="Times New Roman"/>
          <w:b/>
        </w:rPr>
        <w:t>2017/2712</w:t>
      </w:r>
      <w:r w:rsidR="005D0EA7">
        <w:rPr>
          <w:rFonts w:ascii="Times New Roman" w:hAnsi="Times New Roman"/>
          <w:b/>
        </w:rPr>
        <w:t> </w:t>
      </w:r>
      <w:r w:rsidRPr="005D0EA7">
        <w:rPr>
          <w:rFonts w:ascii="Times New Roman" w:hAnsi="Times New Roman"/>
          <w:b/>
        </w:rPr>
        <w:t>(RSP)</w:t>
      </w:r>
    </w:p>
    <w:p w:rsidR="0078195C" w:rsidRDefault="00B7396F" w:rsidP="005F2066">
      <w:pPr>
        <w:pStyle w:val="CoverBold"/>
        <w:spacing w:after="240"/>
        <w:ind w:left="567" w:hanging="567"/>
        <w:jc w:val="both"/>
        <w:rPr>
          <w:rFonts w:eastAsia="Calibri"/>
          <w:szCs w:val="24"/>
          <w:lang w:eastAsia="en-US"/>
        </w:rPr>
      </w:pPr>
      <w:r>
        <w:rPr>
          <w:color w:val="000000"/>
          <w:szCs w:val="24"/>
          <w:lang w:val="en-US"/>
        </w:rPr>
        <w:t>1.</w:t>
      </w:r>
      <w:r>
        <w:rPr>
          <w:color w:val="000000"/>
          <w:szCs w:val="24"/>
          <w:lang w:val="en-US"/>
        </w:rPr>
        <w:tab/>
      </w:r>
      <w:r w:rsidR="0054357A" w:rsidRPr="005D0EA7">
        <w:rPr>
          <w:rFonts w:eastAsia="Calibri"/>
          <w:szCs w:val="24"/>
          <w:lang w:eastAsia="en-US"/>
        </w:rPr>
        <w:t xml:space="preserve">Resolution tabled pursuant to Rule 128(5) of the European Parliament's Rules of Procedure by the EPP, S&amp;D, ECR, </w:t>
      </w:r>
      <w:proofErr w:type="gramStart"/>
      <w:r w:rsidR="0054357A" w:rsidRPr="005D0EA7">
        <w:rPr>
          <w:rFonts w:eastAsia="Calibri"/>
          <w:szCs w:val="24"/>
          <w:lang w:eastAsia="en-US"/>
        </w:rPr>
        <w:t>ALDE</w:t>
      </w:r>
      <w:proofErr w:type="gramEnd"/>
      <w:r w:rsidR="0054357A" w:rsidRPr="005D0EA7">
        <w:rPr>
          <w:rFonts w:eastAsia="Calibri"/>
          <w:szCs w:val="24"/>
          <w:lang w:eastAsia="en-US"/>
        </w:rPr>
        <w:t>, GUE/NGL, Verts/ALE and EFDD groups</w:t>
      </w:r>
    </w:p>
    <w:p w:rsidR="00115AFE" w:rsidRPr="005D0EA7" w:rsidRDefault="00115AFE" w:rsidP="005F2066">
      <w:pPr>
        <w:pStyle w:val="CoverBold"/>
        <w:spacing w:after="240"/>
        <w:ind w:left="567" w:hanging="567"/>
        <w:jc w:val="both"/>
        <w:rPr>
          <w:b w:val="0"/>
          <w:color w:val="000000"/>
          <w:szCs w:val="24"/>
          <w:lang w:val="en-US"/>
        </w:rPr>
      </w:pPr>
      <w:r w:rsidRPr="005D0EA7">
        <w:rPr>
          <w:color w:val="000000"/>
          <w:szCs w:val="24"/>
          <w:lang w:val="en-US"/>
        </w:rPr>
        <w:t>2.</w:t>
      </w:r>
      <w:r w:rsidRPr="005D0EA7">
        <w:rPr>
          <w:color w:val="000000"/>
          <w:szCs w:val="24"/>
          <w:lang w:val="en-US"/>
        </w:rPr>
        <w:tab/>
        <w:t xml:space="preserve">EP reference number: </w:t>
      </w:r>
      <w:r w:rsidR="005D0EA7" w:rsidRPr="005F2066">
        <w:rPr>
          <w:b w:val="0"/>
        </w:rPr>
        <w:t>B8-0499/2017</w:t>
      </w:r>
      <w:r w:rsidR="00B7396F" w:rsidRPr="005D0EA7">
        <w:rPr>
          <w:b w:val="0"/>
          <w:color w:val="000000"/>
          <w:szCs w:val="24"/>
          <w:lang w:val="en-US"/>
        </w:rPr>
        <w:t xml:space="preserve"> / </w:t>
      </w:r>
      <w:r w:rsidRPr="005D0EA7">
        <w:rPr>
          <w:b w:val="0"/>
          <w:color w:val="000000"/>
          <w:szCs w:val="24"/>
          <w:lang w:val="en-US"/>
        </w:rPr>
        <w:t xml:space="preserve">P8_TA- </w:t>
      </w:r>
      <w:proofErr w:type="gramStart"/>
      <w:r w:rsidRPr="005D0EA7">
        <w:rPr>
          <w:b w:val="0"/>
          <w:color w:val="000000"/>
          <w:szCs w:val="24"/>
          <w:lang w:val="en-US"/>
        </w:rPr>
        <w:t>PROV(</w:t>
      </w:r>
      <w:proofErr w:type="gramEnd"/>
      <w:r w:rsidRPr="005D0EA7">
        <w:rPr>
          <w:b w:val="0"/>
          <w:color w:val="000000"/>
          <w:szCs w:val="24"/>
          <w:lang w:val="en-US"/>
        </w:rPr>
        <w:t>2017)0328</w:t>
      </w:r>
    </w:p>
    <w:p w:rsidR="00115AFE" w:rsidRPr="00115AFE" w:rsidRDefault="00115AFE" w:rsidP="005D0EA7">
      <w:pPr>
        <w:ind w:left="567" w:hanging="567"/>
        <w:rPr>
          <w:rFonts w:ascii="Times New Roman" w:hAnsi="Times New Roman"/>
          <w:color w:val="000000"/>
          <w:szCs w:val="24"/>
        </w:rPr>
      </w:pPr>
      <w:r w:rsidRPr="00115AFE">
        <w:rPr>
          <w:rFonts w:ascii="Times New Roman" w:hAnsi="Times New Roman"/>
          <w:b/>
          <w:color w:val="000000"/>
          <w:szCs w:val="24"/>
        </w:rPr>
        <w:t>3.</w:t>
      </w:r>
      <w:r w:rsidRPr="00115AFE">
        <w:rPr>
          <w:rFonts w:ascii="Times New Roman" w:hAnsi="Times New Roman"/>
          <w:b/>
          <w:color w:val="000000"/>
          <w:szCs w:val="24"/>
        </w:rPr>
        <w:tab/>
        <w:t xml:space="preserve">Date of adoption of the </w:t>
      </w:r>
      <w:r w:rsidR="0078195C">
        <w:rPr>
          <w:rFonts w:ascii="Times New Roman" w:hAnsi="Times New Roman"/>
          <w:b/>
          <w:color w:val="000000"/>
          <w:szCs w:val="24"/>
        </w:rPr>
        <w:t>r</w:t>
      </w:r>
      <w:r w:rsidRPr="00115AFE">
        <w:rPr>
          <w:rFonts w:ascii="Times New Roman" w:hAnsi="Times New Roman"/>
          <w:b/>
          <w:color w:val="000000"/>
          <w:szCs w:val="24"/>
        </w:rPr>
        <w:t>esolution:</w:t>
      </w:r>
      <w:r w:rsidRPr="00115AFE">
        <w:rPr>
          <w:rFonts w:ascii="Times New Roman" w:hAnsi="Times New Roman"/>
          <w:color w:val="000000"/>
          <w:szCs w:val="24"/>
        </w:rPr>
        <w:t xml:space="preserve"> 12 September 2017</w:t>
      </w:r>
    </w:p>
    <w:p w:rsidR="00115AFE" w:rsidRPr="00115AFE" w:rsidRDefault="00115AFE" w:rsidP="005D0EA7">
      <w:pPr>
        <w:ind w:left="567" w:hanging="567"/>
        <w:rPr>
          <w:rFonts w:ascii="Times New Roman" w:hAnsi="Times New Roman"/>
          <w:color w:val="000000"/>
          <w:szCs w:val="24"/>
        </w:rPr>
      </w:pPr>
      <w:r w:rsidRPr="00115AFE">
        <w:rPr>
          <w:rFonts w:ascii="Times New Roman" w:hAnsi="Times New Roman"/>
          <w:b/>
          <w:color w:val="000000"/>
          <w:szCs w:val="24"/>
        </w:rPr>
        <w:t>4.</w:t>
      </w:r>
      <w:r w:rsidRPr="00115AFE">
        <w:rPr>
          <w:rFonts w:ascii="Times New Roman" w:hAnsi="Times New Roman"/>
          <w:b/>
          <w:color w:val="000000"/>
          <w:szCs w:val="24"/>
        </w:rPr>
        <w:tab/>
        <w:t xml:space="preserve">Subject: </w:t>
      </w:r>
      <w:r w:rsidRPr="00115AFE">
        <w:rPr>
          <w:rFonts w:ascii="Times New Roman" w:hAnsi="Times New Roman"/>
          <w:color w:val="000000"/>
          <w:szCs w:val="24"/>
        </w:rPr>
        <w:t>Parliament resolution on whale hunting in Norway</w:t>
      </w:r>
    </w:p>
    <w:p w:rsidR="00115AFE" w:rsidRPr="00115AFE" w:rsidRDefault="00115AFE" w:rsidP="005F2066">
      <w:pPr>
        <w:pStyle w:val="NormalWeb"/>
        <w:spacing w:before="0" w:beforeAutospacing="0" w:after="240" w:afterAutospacing="0"/>
        <w:ind w:left="567" w:hanging="567"/>
        <w:jc w:val="both"/>
        <w:rPr>
          <w:b/>
          <w:bCs/>
          <w:color w:val="000000"/>
        </w:rPr>
      </w:pPr>
      <w:r w:rsidRPr="00115AFE">
        <w:rPr>
          <w:b/>
          <w:color w:val="000000"/>
        </w:rPr>
        <w:t>5.</w:t>
      </w:r>
      <w:r w:rsidRPr="00115AFE">
        <w:rPr>
          <w:color w:val="000000"/>
        </w:rPr>
        <w:tab/>
      </w:r>
      <w:r w:rsidRPr="00115AFE">
        <w:rPr>
          <w:b/>
          <w:bCs/>
          <w:color w:val="000000"/>
        </w:rPr>
        <w:t>Competent Parliamentary Committee</w:t>
      </w:r>
      <w:r w:rsidRPr="00115AFE">
        <w:rPr>
          <w:color w:val="000000"/>
        </w:rPr>
        <w:t>:</w:t>
      </w:r>
      <w:r w:rsidRPr="00115AFE">
        <w:t xml:space="preserve"> </w:t>
      </w:r>
      <w:r w:rsidR="00B7396F" w:rsidRPr="005D0EA7">
        <w:rPr>
          <w:bCs/>
          <w:color w:val="000000"/>
        </w:rPr>
        <w:t>Committee</w:t>
      </w:r>
      <w:r w:rsidR="00B7396F" w:rsidRPr="005D0EA7">
        <w:t xml:space="preserve"> on</w:t>
      </w:r>
      <w:r w:rsidR="00B7396F">
        <w:t xml:space="preserve"> </w:t>
      </w:r>
      <w:r w:rsidR="005D0EA7" w:rsidRPr="005F2066">
        <w:rPr>
          <w:rStyle w:val="playerscommitteetext"/>
        </w:rPr>
        <w:t>Environment, Public Health and Food Safety</w:t>
      </w:r>
      <w:r w:rsidR="00B7396F">
        <w:t xml:space="preserve"> (</w:t>
      </w:r>
      <w:r w:rsidRPr="00115AFE">
        <w:t>ENVI</w:t>
      </w:r>
      <w:r w:rsidR="00B7396F">
        <w:t>)</w:t>
      </w:r>
    </w:p>
    <w:p w:rsidR="00115AFE" w:rsidRPr="00115AFE" w:rsidRDefault="00115AFE" w:rsidP="005F2066">
      <w:pPr>
        <w:spacing w:after="120"/>
        <w:ind w:left="567" w:hanging="567"/>
        <w:rPr>
          <w:rFonts w:ascii="Times New Roman" w:hAnsi="Times New Roman"/>
          <w:color w:val="000000"/>
          <w:szCs w:val="24"/>
        </w:rPr>
      </w:pPr>
      <w:r w:rsidRPr="00115AFE">
        <w:rPr>
          <w:rFonts w:ascii="Times New Roman" w:hAnsi="Times New Roman"/>
          <w:b/>
          <w:color w:val="000000"/>
          <w:szCs w:val="24"/>
        </w:rPr>
        <w:t>6.</w:t>
      </w:r>
      <w:r w:rsidRPr="00115AFE">
        <w:rPr>
          <w:rFonts w:ascii="Times New Roman" w:hAnsi="Times New Roman"/>
          <w:b/>
          <w:color w:val="000000"/>
          <w:szCs w:val="24"/>
        </w:rPr>
        <w:tab/>
        <w:t>Brief analysis/ assessment of the resolution and requests made in it:</w:t>
      </w:r>
    </w:p>
    <w:p w:rsidR="00115AFE" w:rsidRPr="00115AFE" w:rsidRDefault="00115AFE" w:rsidP="00115AFE">
      <w:pPr>
        <w:spacing w:after="120"/>
        <w:rPr>
          <w:rFonts w:ascii="Times New Roman" w:hAnsi="Times New Roman"/>
        </w:rPr>
      </w:pPr>
      <w:r w:rsidRPr="00115AFE">
        <w:rPr>
          <w:rFonts w:ascii="Times New Roman" w:hAnsi="Times New Roman"/>
        </w:rPr>
        <w:t>The European Parliament resolution on whale hunting in Norway follows an oral question to the Commission that was raised in plenary session on 6 July 2017.</w:t>
      </w:r>
    </w:p>
    <w:p w:rsidR="00115AFE" w:rsidRPr="00115AFE" w:rsidRDefault="00115AFE" w:rsidP="00115AFE">
      <w:pPr>
        <w:spacing w:after="120"/>
        <w:rPr>
          <w:rFonts w:ascii="Times New Roman" w:hAnsi="Times New Roman"/>
        </w:rPr>
      </w:pPr>
      <w:r w:rsidRPr="00115AFE">
        <w:rPr>
          <w:rFonts w:ascii="Times New Roman" w:hAnsi="Times New Roman"/>
        </w:rPr>
        <w:t xml:space="preserve">In its resolution, the European Parliament deplores the fact that Norway maintains its objection to the international moratorium on commercial whaling established by the International Whaling Commission (IWC) in 1986 as well as its reservations to the CITES </w:t>
      </w:r>
      <w:r w:rsidR="009D0CCA" w:rsidRPr="005F2066">
        <w:rPr>
          <w:rFonts w:ascii="Times New Roman" w:hAnsi="Times New Roman"/>
        </w:rPr>
        <w:t xml:space="preserve">(Convention on International Trade in Endangered Species of Wild Fauna and Flora) </w:t>
      </w:r>
      <w:r w:rsidRPr="00115AFE">
        <w:rPr>
          <w:rFonts w:ascii="Times New Roman" w:hAnsi="Times New Roman"/>
        </w:rPr>
        <w:t>listings on large whales, and continues to whale for commercial purpose and to trade whale products. The European Parliament also criticises the fact that part of Norway's whale meat exports transit through EU Member States ports. It however recognises that this transit is legal under EU law as long as shipments are accompanied by valid CITES documentation pursuant to Regulation (EC) 338/97.</w:t>
      </w:r>
    </w:p>
    <w:p w:rsidR="00115AFE" w:rsidRPr="00115AFE" w:rsidRDefault="00115AFE" w:rsidP="00115AFE">
      <w:pPr>
        <w:spacing w:after="120"/>
        <w:rPr>
          <w:rFonts w:ascii="Times New Roman" w:hAnsi="Times New Roman"/>
        </w:rPr>
      </w:pPr>
      <w:r w:rsidRPr="00115AFE">
        <w:rPr>
          <w:rFonts w:ascii="Times New Roman" w:hAnsi="Times New Roman"/>
        </w:rPr>
        <w:t>As a consequence, the European Parliament addresses essentially four requests to the European Commission:</w:t>
      </w:r>
    </w:p>
    <w:p w:rsidR="00115AFE" w:rsidRPr="00115AFE" w:rsidRDefault="005D0EA7" w:rsidP="005D0EA7">
      <w:pPr>
        <w:spacing w:after="120"/>
        <w:ind w:left="567" w:hanging="567"/>
        <w:rPr>
          <w:rFonts w:ascii="Times New Roman" w:hAnsi="Times New Roman"/>
          <w:szCs w:val="24"/>
        </w:rPr>
      </w:pPr>
      <w:r>
        <w:rPr>
          <w:rFonts w:ascii="Times New Roman" w:hAnsi="Times New Roman"/>
        </w:rPr>
        <w:t>a</w:t>
      </w:r>
      <w:r w:rsidR="00115AFE" w:rsidRPr="00115AFE">
        <w:rPr>
          <w:rFonts w:ascii="Times New Roman" w:hAnsi="Times New Roman"/>
        </w:rPr>
        <w:t>)</w:t>
      </w:r>
      <w:r w:rsidR="00115AFE" w:rsidRPr="00115AFE">
        <w:rPr>
          <w:rFonts w:ascii="Times New Roman" w:hAnsi="Times New Roman"/>
        </w:rPr>
        <w:tab/>
        <w:t>To collect and provide data on shipments of whale meat transiting through EU ports (</w:t>
      </w:r>
      <w:r w:rsidR="009D0CCA">
        <w:rPr>
          <w:rFonts w:ascii="Times New Roman" w:hAnsi="Times New Roman"/>
          <w:szCs w:val="24"/>
        </w:rPr>
        <w:t xml:space="preserve">paragraph </w:t>
      </w:r>
      <w:r w:rsidR="00115AFE" w:rsidRPr="00115AFE">
        <w:rPr>
          <w:rFonts w:ascii="Times New Roman" w:hAnsi="Times New Roman"/>
          <w:szCs w:val="24"/>
        </w:rPr>
        <w:t>6 of the European Parliament's resolution);</w:t>
      </w:r>
    </w:p>
    <w:p w:rsidR="00115AFE" w:rsidRPr="00115AFE" w:rsidRDefault="005D0EA7" w:rsidP="005D0EA7">
      <w:pPr>
        <w:spacing w:after="120"/>
        <w:ind w:left="567" w:hanging="567"/>
        <w:rPr>
          <w:rFonts w:ascii="Times New Roman" w:hAnsi="Times New Roman"/>
        </w:rPr>
      </w:pPr>
      <w:r>
        <w:rPr>
          <w:rFonts w:ascii="Times New Roman" w:hAnsi="Times New Roman"/>
        </w:rPr>
        <w:t>b</w:t>
      </w:r>
      <w:r w:rsidR="00115AFE" w:rsidRPr="00115AFE">
        <w:rPr>
          <w:rFonts w:ascii="Times New Roman" w:hAnsi="Times New Roman"/>
        </w:rPr>
        <w:t>)</w:t>
      </w:r>
      <w:r w:rsidR="00115AFE" w:rsidRPr="00115AFE">
        <w:rPr>
          <w:rFonts w:ascii="Times New Roman" w:hAnsi="Times New Roman"/>
        </w:rPr>
        <w:tab/>
        <w:t>To look into possible ways of ensuring that whale meat is no longer legally allowed to transit through EU ports, including by recommending a ban on such transit as an exceptional measure (</w:t>
      </w:r>
      <w:r w:rsidR="009D0CCA">
        <w:rPr>
          <w:rFonts w:ascii="Times New Roman" w:hAnsi="Times New Roman"/>
          <w:szCs w:val="24"/>
        </w:rPr>
        <w:t xml:space="preserve">paragraph </w:t>
      </w:r>
      <w:r w:rsidR="00115AFE" w:rsidRPr="00115AFE">
        <w:rPr>
          <w:rFonts w:ascii="Times New Roman" w:hAnsi="Times New Roman"/>
        </w:rPr>
        <w:t>7);</w:t>
      </w:r>
    </w:p>
    <w:p w:rsidR="00115AFE" w:rsidRPr="00115AFE" w:rsidRDefault="005D0EA7" w:rsidP="005D0EA7">
      <w:pPr>
        <w:spacing w:after="120"/>
        <w:ind w:left="567" w:hanging="567"/>
        <w:rPr>
          <w:rFonts w:ascii="Times New Roman" w:hAnsi="Times New Roman"/>
        </w:rPr>
      </w:pPr>
      <w:r>
        <w:rPr>
          <w:rFonts w:ascii="Times New Roman" w:hAnsi="Times New Roman"/>
        </w:rPr>
        <w:t>c</w:t>
      </w:r>
      <w:r w:rsidR="00115AFE" w:rsidRPr="00115AFE">
        <w:rPr>
          <w:rFonts w:ascii="Times New Roman" w:hAnsi="Times New Roman"/>
        </w:rPr>
        <w:t>)</w:t>
      </w:r>
      <w:r w:rsidR="00115AFE" w:rsidRPr="00115AFE">
        <w:rPr>
          <w:rFonts w:ascii="Times New Roman" w:hAnsi="Times New Roman"/>
        </w:rPr>
        <w:tab/>
        <w:t>To make use of bilateral and multilateral channels to urge Norway to stop all commercial whaling (</w:t>
      </w:r>
      <w:r w:rsidR="009D0CCA">
        <w:rPr>
          <w:rFonts w:ascii="Times New Roman" w:hAnsi="Times New Roman"/>
          <w:szCs w:val="24"/>
        </w:rPr>
        <w:t xml:space="preserve">paragraph </w:t>
      </w:r>
      <w:r w:rsidR="00115AFE" w:rsidRPr="00115AFE">
        <w:rPr>
          <w:rFonts w:ascii="Times New Roman" w:hAnsi="Times New Roman"/>
        </w:rPr>
        <w:t>8);</w:t>
      </w:r>
    </w:p>
    <w:p w:rsidR="00115AFE" w:rsidRPr="00115AFE" w:rsidRDefault="005D0EA7" w:rsidP="005D0EA7">
      <w:pPr>
        <w:spacing w:after="120"/>
        <w:ind w:left="567" w:hanging="567"/>
        <w:rPr>
          <w:rFonts w:ascii="Times New Roman" w:hAnsi="Times New Roman"/>
        </w:rPr>
      </w:pPr>
      <w:r>
        <w:rPr>
          <w:rFonts w:ascii="Times New Roman" w:hAnsi="Times New Roman"/>
        </w:rPr>
        <w:t>d</w:t>
      </w:r>
      <w:r w:rsidR="00115AFE" w:rsidRPr="00115AFE">
        <w:rPr>
          <w:rFonts w:ascii="Times New Roman" w:hAnsi="Times New Roman"/>
        </w:rPr>
        <w:t>)</w:t>
      </w:r>
      <w:r w:rsidR="00115AFE" w:rsidRPr="00115AFE">
        <w:rPr>
          <w:rFonts w:ascii="Times New Roman" w:hAnsi="Times New Roman"/>
        </w:rPr>
        <w:tab/>
        <w:t>To ensure, at the forthcoming IWC meeting (Brazil, September 2018) a common approach to whaling that is at least as precautionary as the present common position, and to engage with third countries in order to achieve a majority support for the creation of whale sanctuaries (</w:t>
      </w:r>
      <w:r w:rsidR="009D0CCA">
        <w:rPr>
          <w:rFonts w:ascii="Times New Roman" w:hAnsi="Times New Roman"/>
          <w:szCs w:val="24"/>
        </w:rPr>
        <w:t xml:space="preserve">paragraph </w:t>
      </w:r>
      <w:r w:rsidR="00115AFE" w:rsidRPr="00115AFE">
        <w:rPr>
          <w:rFonts w:ascii="Times New Roman" w:hAnsi="Times New Roman"/>
        </w:rPr>
        <w:t>9).</w:t>
      </w:r>
    </w:p>
    <w:p w:rsidR="00115AFE" w:rsidRPr="00115AFE" w:rsidRDefault="00115AFE" w:rsidP="005D0EA7">
      <w:pPr>
        <w:autoSpaceDE w:val="0"/>
        <w:autoSpaceDN w:val="0"/>
        <w:adjustRightInd w:val="0"/>
        <w:spacing w:before="240"/>
        <w:ind w:left="567" w:hanging="567"/>
        <w:rPr>
          <w:rFonts w:ascii="Times New Roman" w:hAnsi="Times New Roman"/>
          <w:color w:val="000000"/>
          <w:szCs w:val="24"/>
        </w:rPr>
      </w:pPr>
      <w:r w:rsidRPr="00115AFE">
        <w:rPr>
          <w:rFonts w:ascii="Times New Roman" w:hAnsi="Times New Roman"/>
          <w:b/>
          <w:bCs/>
          <w:noProof/>
          <w:color w:val="000000"/>
          <w:szCs w:val="24"/>
        </w:rPr>
        <w:t>7.</w:t>
      </w:r>
      <w:r w:rsidRPr="00115AFE">
        <w:rPr>
          <w:rFonts w:ascii="Times New Roman" w:hAnsi="Times New Roman"/>
          <w:b/>
          <w:bCs/>
          <w:noProof/>
          <w:color w:val="000000"/>
          <w:szCs w:val="24"/>
        </w:rPr>
        <w:tab/>
        <w:t>Response to requests and overview of action taken, or intended to be taken, by the Commission</w:t>
      </w:r>
    </w:p>
    <w:p w:rsidR="00115AFE" w:rsidRPr="00115AFE" w:rsidRDefault="00115AFE" w:rsidP="00115AFE">
      <w:pPr>
        <w:pStyle w:val="ListBullet1"/>
        <w:numPr>
          <w:ilvl w:val="0"/>
          <w:numId w:val="0"/>
        </w:numPr>
        <w:tabs>
          <w:tab w:val="num" w:pos="360"/>
        </w:tabs>
        <w:spacing w:after="120"/>
        <w:rPr>
          <w:rFonts w:ascii="Times New Roman" w:hAnsi="Times New Roman"/>
          <w:color w:val="666666"/>
          <w:szCs w:val="24"/>
        </w:rPr>
      </w:pPr>
      <w:r w:rsidRPr="00115AFE">
        <w:rPr>
          <w:rFonts w:ascii="Times New Roman" w:hAnsi="Times New Roman"/>
          <w:szCs w:val="24"/>
        </w:rPr>
        <w:t xml:space="preserve">The Commission takes note of the European Parliament's resolution. The EU is fully committed to the conservation of all cetaceans. The EU has also clearly positioned itself </w:t>
      </w:r>
      <w:r w:rsidRPr="00115AFE">
        <w:rPr>
          <w:rFonts w:ascii="Times New Roman" w:hAnsi="Times New Roman"/>
          <w:szCs w:val="24"/>
        </w:rPr>
        <w:lastRenderedPageBreak/>
        <w:t xml:space="preserve">against commercial whaling at the IWC and strongly supports the global moratorium on commercial whaling to which the European Parliament refers in </w:t>
      </w:r>
      <w:r w:rsidR="009D0CCA">
        <w:rPr>
          <w:rFonts w:ascii="Times New Roman" w:hAnsi="Times New Roman"/>
          <w:szCs w:val="24"/>
        </w:rPr>
        <w:t xml:space="preserve">paragraph </w:t>
      </w:r>
      <w:r w:rsidRPr="00115AFE">
        <w:rPr>
          <w:rFonts w:ascii="Times New Roman" w:hAnsi="Times New Roman"/>
          <w:szCs w:val="24"/>
        </w:rPr>
        <w:t>1 of its resolution. The Council also recently called upon Norway to respect the IWC moratorium and to withdraw its reservations under CITES</w:t>
      </w:r>
      <w:r w:rsidRPr="00115AFE">
        <w:rPr>
          <w:rStyle w:val="FootnoteReference"/>
          <w:rFonts w:ascii="Times New Roman" w:hAnsi="Times New Roman"/>
          <w:szCs w:val="24"/>
        </w:rPr>
        <w:footnoteReference w:id="1"/>
      </w:r>
      <w:r w:rsidRPr="00115AFE">
        <w:rPr>
          <w:rFonts w:ascii="Times New Roman" w:hAnsi="Times New Roman"/>
          <w:szCs w:val="24"/>
        </w:rPr>
        <w:t>.</w:t>
      </w:r>
    </w:p>
    <w:p w:rsidR="00115AFE" w:rsidRPr="00115AFE" w:rsidRDefault="00115AFE" w:rsidP="00115AFE">
      <w:pPr>
        <w:pStyle w:val="ListBullet1"/>
        <w:numPr>
          <w:ilvl w:val="0"/>
          <w:numId w:val="0"/>
        </w:numPr>
        <w:tabs>
          <w:tab w:val="num" w:pos="360"/>
        </w:tabs>
        <w:spacing w:after="120"/>
        <w:rPr>
          <w:rFonts w:ascii="Times New Roman" w:hAnsi="Times New Roman"/>
          <w:szCs w:val="24"/>
        </w:rPr>
      </w:pPr>
      <w:r w:rsidRPr="00115AFE">
        <w:rPr>
          <w:rFonts w:ascii="Times New Roman" w:hAnsi="Times New Roman"/>
          <w:szCs w:val="24"/>
        </w:rPr>
        <w:t xml:space="preserve">The Commission is in the process of </w:t>
      </w:r>
      <w:r w:rsidRPr="00115AFE">
        <w:rPr>
          <w:rFonts w:ascii="Times New Roman" w:hAnsi="Times New Roman"/>
        </w:rPr>
        <w:t>collecting and providing comprehensive data on shipments of whale meat transiting through EU ports</w:t>
      </w:r>
      <w:r w:rsidRPr="00115AFE">
        <w:rPr>
          <w:rFonts w:ascii="Times New Roman" w:hAnsi="Times New Roman"/>
          <w:szCs w:val="24"/>
        </w:rPr>
        <w:t>. To this end, the Commission has requested the EU Member States to provide data by the end of October 2017.</w:t>
      </w:r>
    </w:p>
    <w:p w:rsidR="00115AFE" w:rsidRPr="00115AFE" w:rsidRDefault="00115AFE" w:rsidP="00115AFE">
      <w:pPr>
        <w:pStyle w:val="ListBullet1"/>
        <w:numPr>
          <w:ilvl w:val="0"/>
          <w:numId w:val="0"/>
        </w:numPr>
        <w:tabs>
          <w:tab w:val="num" w:pos="360"/>
        </w:tabs>
        <w:spacing w:after="120"/>
        <w:rPr>
          <w:rFonts w:ascii="Times New Roman" w:hAnsi="Times New Roman"/>
          <w:szCs w:val="24"/>
        </w:rPr>
      </w:pPr>
      <w:r w:rsidRPr="00115AFE">
        <w:rPr>
          <w:rFonts w:ascii="Times New Roman" w:hAnsi="Times New Roman"/>
          <w:szCs w:val="24"/>
        </w:rPr>
        <w:t>As recognised by the European Parliament, under the current regime in place, Norway is l</w:t>
      </w:r>
      <w:r w:rsidRPr="00115AFE">
        <w:rPr>
          <w:rFonts w:ascii="Times New Roman" w:hAnsi="Times New Roman"/>
        </w:rPr>
        <w:t xml:space="preserve">egally allowed to trade whale products with other countries </w:t>
      </w:r>
      <w:r w:rsidRPr="00115AFE">
        <w:rPr>
          <w:rFonts w:ascii="Times New Roman" w:hAnsi="Times New Roman"/>
          <w:szCs w:val="24"/>
        </w:rPr>
        <w:t>having the same reservations</w:t>
      </w:r>
      <w:r w:rsidRPr="00115AFE">
        <w:rPr>
          <w:rFonts w:ascii="Times New Roman" w:hAnsi="Times New Roman"/>
        </w:rPr>
        <w:t xml:space="preserve"> on the CITES listings of large whales,</w:t>
      </w:r>
      <w:r w:rsidRPr="00115AFE">
        <w:rPr>
          <w:rFonts w:ascii="Times New Roman" w:hAnsi="Times New Roman"/>
          <w:szCs w:val="24"/>
        </w:rPr>
        <w:t xml:space="preserve"> provided that such products have valid CITES export permits. Moreover, the transit of such shipments via the EU Member States is legal under international law, provided that the shipments are accompanied by valid CITES permits. The competent authorities in the Member States are aware of this obligation and operate controls when such situations arise. It is unclear for now how restrictions on the transit of whale meat through EU ports would have a tangible impact on the whaling activities by Norway. Once collected, the information on the volume of whale meat transiting through EU ports would help in getting a better picture of the situation.</w:t>
      </w:r>
    </w:p>
    <w:p w:rsidR="00115AFE" w:rsidRPr="00115AFE" w:rsidRDefault="00115AFE" w:rsidP="00115AFE">
      <w:pPr>
        <w:spacing w:after="120"/>
        <w:ind w:right="-29"/>
        <w:rPr>
          <w:rFonts w:ascii="Times New Roman" w:hAnsi="Times New Roman"/>
          <w:b/>
          <w:bCs/>
          <w:szCs w:val="24"/>
        </w:rPr>
      </w:pPr>
      <w:r w:rsidRPr="00115AFE">
        <w:rPr>
          <w:rFonts w:ascii="Times New Roman" w:hAnsi="Times New Roman"/>
          <w:szCs w:val="24"/>
        </w:rPr>
        <w:t>The Commission will continue to use bilateral and multilateral channels to discuss the whaling issue with Norway and to promote the IWC moratorium on commercial whaling. On 4 September 2017, the Commission adopted its proposal for a Council Decision on the position to be taken on behalf of the EU in the three next meetings of the International Whaling Commission (COM(2017)</w:t>
      </w:r>
      <w:r w:rsidR="0035705D">
        <w:rPr>
          <w:rFonts w:ascii="Times New Roman" w:hAnsi="Times New Roman"/>
          <w:szCs w:val="24"/>
        </w:rPr>
        <w:t> </w:t>
      </w:r>
      <w:r w:rsidRPr="00115AFE">
        <w:rPr>
          <w:rFonts w:ascii="Times New Roman" w:hAnsi="Times New Roman"/>
          <w:szCs w:val="24"/>
        </w:rPr>
        <w:t>463). In its proposal, the Commission makes clear that, despite the fact that Norway is not bound by the IWC moratorium on commercial whaling, it should strictly apply the IWC Revised Management Procedure to estimate its catch limits.</w:t>
      </w:r>
      <w:r>
        <w:rPr>
          <w:rFonts w:ascii="Times New Roman" w:hAnsi="Times New Roman"/>
          <w:szCs w:val="24"/>
        </w:rPr>
        <w:t xml:space="preserve"> </w:t>
      </w:r>
      <w:r w:rsidRPr="00115AFE">
        <w:rPr>
          <w:rFonts w:ascii="Times New Roman" w:hAnsi="Times New Roman"/>
          <w:szCs w:val="24"/>
        </w:rPr>
        <w:t xml:space="preserve">The Commission also proposes EU continued support for the creation of whale sanctuaries. In more general terms and in accordance with the European Parliament's request as expressed in </w:t>
      </w:r>
      <w:r w:rsidR="0035705D">
        <w:rPr>
          <w:rFonts w:ascii="Times New Roman" w:hAnsi="Times New Roman"/>
          <w:szCs w:val="24"/>
        </w:rPr>
        <w:t xml:space="preserve">paragraph </w:t>
      </w:r>
      <w:r w:rsidRPr="00115AFE">
        <w:rPr>
          <w:rFonts w:ascii="Times New Roman" w:hAnsi="Times New Roman"/>
          <w:szCs w:val="24"/>
        </w:rPr>
        <w:t>9 of its resolution, the Commission's proposal is as precautionary as the current EU position and even more precautionary on some specific aspects. If adopted by the Council, it should therefore be instrumental in achieving the European Union's overarching objective to the IWC, i.e. ensuring an effective regulatory framework for the conservation and management of whales that guarantees the significant improvement in the conservation status of whales in the long term.</w:t>
      </w:r>
      <w:bookmarkStart w:id="0" w:name="_GoBack"/>
      <w:bookmarkEnd w:id="0"/>
    </w:p>
    <w:sectPr w:rsidR="00115AFE" w:rsidRPr="00115AFE" w:rsidSect="0059197A">
      <w:footerReference w:type="even" r:id="rId9"/>
      <w:footerReference w:type="default" r:id="rId10"/>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16" w:rsidRDefault="00102916">
      <w:r>
        <w:separator/>
      </w:r>
    </w:p>
  </w:endnote>
  <w:endnote w:type="continuationSeparator" w:id="0">
    <w:p w:rsidR="00102916" w:rsidRDefault="0010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66" w:rsidRDefault="005F2066"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5F2066" w:rsidRDefault="005F2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66" w:rsidRDefault="005F2066"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808">
      <w:rPr>
        <w:rStyle w:val="PageNumber"/>
        <w:noProof/>
      </w:rPr>
      <w:t>2</w:t>
    </w:r>
    <w:r>
      <w:rPr>
        <w:rStyle w:val="PageNumber"/>
      </w:rPr>
      <w:fldChar w:fldCharType="end"/>
    </w:r>
  </w:p>
  <w:p w:rsidR="005F2066" w:rsidRPr="008A6623" w:rsidRDefault="005F2066"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16" w:rsidRDefault="00102916">
      <w:r>
        <w:separator/>
      </w:r>
    </w:p>
  </w:footnote>
  <w:footnote w:type="continuationSeparator" w:id="0">
    <w:p w:rsidR="00102916" w:rsidRDefault="00102916">
      <w:r>
        <w:continuationSeparator/>
      </w:r>
    </w:p>
  </w:footnote>
  <w:footnote w:id="1">
    <w:p w:rsidR="005F2066" w:rsidRPr="005F2066" w:rsidRDefault="005F2066" w:rsidP="005F2066">
      <w:pPr>
        <w:pStyle w:val="FootnoteText"/>
        <w:spacing w:after="120"/>
        <w:ind w:left="284" w:hanging="284"/>
        <w:rPr>
          <w:rFonts w:ascii="Times New Roman" w:hAnsi="Times New Roman"/>
        </w:rPr>
      </w:pPr>
      <w:r>
        <w:rPr>
          <w:rStyle w:val="FootnoteReference"/>
        </w:rPr>
        <w:footnoteRef/>
      </w:r>
      <w:r>
        <w:tab/>
      </w:r>
      <w:r w:rsidRPr="005D0EA7">
        <w:rPr>
          <w:rFonts w:ascii="Times New Roman" w:hAnsi="Times New Roman"/>
        </w:rPr>
        <w:t>Council conclusions of December 2016 on EU relations with Non-EU Western European countries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4">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5">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6">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B41521"/>
    <w:multiLevelType w:val="hybridMultilevel"/>
    <w:tmpl w:val="9E98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9A6A9E"/>
    <w:multiLevelType w:val="hybridMultilevel"/>
    <w:tmpl w:val="FCA2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347BC7"/>
    <w:multiLevelType w:val="hybridMultilevel"/>
    <w:tmpl w:val="8E9696BC"/>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51C31D0"/>
    <w:multiLevelType w:val="hybridMultilevel"/>
    <w:tmpl w:val="B776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3D15C6C"/>
    <w:multiLevelType w:val="hybridMultilevel"/>
    <w:tmpl w:val="64FE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nsid w:val="539659C2"/>
    <w:multiLevelType w:val="hybridMultilevel"/>
    <w:tmpl w:val="9C48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5F7C02"/>
    <w:multiLevelType w:val="hybridMultilevel"/>
    <w:tmpl w:val="C036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722A22"/>
    <w:multiLevelType w:val="hybridMultilevel"/>
    <w:tmpl w:val="0CA6B7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7273EDD"/>
    <w:multiLevelType w:val="hybridMultilevel"/>
    <w:tmpl w:val="A68A6D68"/>
    <w:lvl w:ilvl="0" w:tplc="812854B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8">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2">
    <w:nsid w:val="722F3587"/>
    <w:multiLevelType w:val="hybridMultilevel"/>
    <w:tmpl w:val="714AA2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nsid w:val="77763FEB"/>
    <w:multiLevelType w:val="hybridMultilevel"/>
    <w:tmpl w:val="4E14CE8E"/>
    <w:lvl w:ilvl="0" w:tplc="63C28CF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8">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9">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5"/>
  </w:num>
  <w:num w:numId="2">
    <w:abstractNumId w:val="1"/>
  </w:num>
  <w:num w:numId="3">
    <w:abstractNumId w:val="38"/>
  </w:num>
  <w:num w:numId="4">
    <w:abstractNumId w:val="12"/>
  </w:num>
  <w:num w:numId="5">
    <w:abstractNumId w:val="31"/>
  </w:num>
  <w:num w:numId="6">
    <w:abstractNumId w:val="9"/>
  </w:num>
  <w:num w:numId="7">
    <w:abstractNumId w:val="4"/>
  </w:num>
  <w:num w:numId="8">
    <w:abstractNumId w:val="17"/>
  </w:num>
  <w:num w:numId="9">
    <w:abstractNumId w:val="37"/>
  </w:num>
  <w:num w:numId="10">
    <w:abstractNumId w:val="27"/>
  </w:num>
  <w:num w:numId="11">
    <w:abstractNumId w:val="29"/>
  </w:num>
  <w:num w:numId="12">
    <w:abstractNumId w:val="10"/>
  </w:num>
  <w:num w:numId="13">
    <w:abstractNumId w:val="19"/>
  </w:num>
  <w:num w:numId="14">
    <w:abstractNumId w:val="34"/>
  </w:num>
  <w:num w:numId="15">
    <w:abstractNumId w:val="15"/>
  </w:num>
  <w:num w:numId="16">
    <w:abstractNumId w:val="40"/>
  </w:num>
  <w:num w:numId="17">
    <w:abstractNumId w:val="35"/>
  </w:num>
  <w:num w:numId="18">
    <w:abstractNumId w:val="21"/>
  </w:num>
  <w:num w:numId="19">
    <w:abstractNumId w:val="26"/>
  </w:num>
  <w:num w:numId="20">
    <w:abstractNumId w:val="30"/>
  </w:num>
  <w:num w:numId="21">
    <w:abstractNumId w:val="2"/>
  </w:num>
  <w:num w:numId="22">
    <w:abstractNumId w:val="3"/>
  </w:num>
  <w:num w:numId="23">
    <w:abstractNumId w:val="14"/>
  </w:num>
  <w:num w:numId="24">
    <w:abstractNumId w:val="39"/>
  </w:num>
  <w:num w:numId="25">
    <w:abstractNumId w:val="18"/>
  </w:num>
  <w:num w:numId="26">
    <w:abstractNumId w:val="13"/>
  </w:num>
  <w:num w:numId="27">
    <w:abstractNumId w:val="33"/>
  </w:num>
  <w:num w:numId="28">
    <w:abstractNumId w:val="32"/>
  </w:num>
  <w:num w:numId="29">
    <w:abstractNumId w:val="23"/>
  </w:num>
  <w:num w:numId="30">
    <w:abstractNumId w:val="20"/>
  </w:num>
  <w:num w:numId="31">
    <w:abstractNumId w:val="11"/>
  </w:num>
  <w:num w:numId="32">
    <w:abstractNumId w:val="25"/>
  </w:num>
  <w:num w:numId="33">
    <w:abstractNumId w:val="24"/>
  </w:num>
  <w:num w:numId="34">
    <w:abstractNumId w:val="8"/>
  </w:num>
  <w:num w:numId="35">
    <w:abstractNumId w:val="7"/>
  </w:num>
  <w:num w:numId="36">
    <w:abstractNumId w:val="28"/>
  </w:num>
  <w:num w:numId="37">
    <w:abstractNumId w:val="36"/>
  </w:num>
  <w:num w:numId="38">
    <w:abstractNumId w:val="16"/>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809"/>
    <w:rsid w:val="00002CF6"/>
    <w:rsid w:val="000031B6"/>
    <w:rsid w:val="00003423"/>
    <w:rsid w:val="00003511"/>
    <w:rsid w:val="00003652"/>
    <w:rsid w:val="00003862"/>
    <w:rsid w:val="00003930"/>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942"/>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92D"/>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18"/>
    <w:rsid w:val="00041E47"/>
    <w:rsid w:val="00041F1F"/>
    <w:rsid w:val="0004209B"/>
    <w:rsid w:val="000420DB"/>
    <w:rsid w:val="000421A1"/>
    <w:rsid w:val="00042508"/>
    <w:rsid w:val="00042A8B"/>
    <w:rsid w:val="00042F4E"/>
    <w:rsid w:val="000434BD"/>
    <w:rsid w:val="000436A8"/>
    <w:rsid w:val="00043B7B"/>
    <w:rsid w:val="00043C04"/>
    <w:rsid w:val="00043DF2"/>
    <w:rsid w:val="00043E36"/>
    <w:rsid w:val="000443C3"/>
    <w:rsid w:val="0004455F"/>
    <w:rsid w:val="00044806"/>
    <w:rsid w:val="00044A42"/>
    <w:rsid w:val="00044AB8"/>
    <w:rsid w:val="000451E9"/>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0F2"/>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0FE0"/>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3FD"/>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1C"/>
    <w:rsid w:val="000B7E37"/>
    <w:rsid w:val="000C0100"/>
    <w:rsid w:val="000C027E"/>
    <w:rsid w:val="000C0681"/>
    <w:rsid w:val="000C0999"/>
    <w:rsid w:val="000C0DFF"/>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D8D"/>
    <w:rsid w:val="000F5F64"/>
    <w:rsid w:val="000F63D5"/>
    <w:rsid w:val="000F6650"/>
    <w:rsid w:val="000F6A90"/>
    <w:rsid w:val="000F6C35"/>
    <w:rsid w:val="000F6E53"/>
    <w:rsid w:val="000F7126"/>
    <w:rsid w:val="000F7275"/>
    <w:rsid w:val="000F75D3"/>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9A"/>
    <w:rsid w:val="00101ED4"/>
    <w:rsid w:val="001020E1"/>
    <w:rsid w:val="001021D2"/>
    <w:rsid w:val="00102311"/>
    <w:rsid w:val="0010247B"/>
    <w:rsid w:val="001026A3"/>
    <w:rsid w:val="001028DE"/>
    <w:rsid w:val="00102916"/>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0FCD"/>
    <w:rsid w:val="0012121E"/>
    <w:rsid w:val="00121335"/>
    <w:rsid w:val="00121382"/>
    <w:rsid w:val="00121541"/>
    <w:rsid w:val="00121865"/>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27DD0"/>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ACC"/>
    <w:rsid w:val="00143DDE"/>
    <w:rsid w:val="00143F3D"/>
    <w:rsid w:val="0014413D"/>
    <w:rsid w:val="00144AD5"/>
    <w:rsid w:val="00145AB8"/>
    <w:rsid w:val="00145BBD"/>
    <w:rsid w:val="00145D7D"/>
    <w:rsid w:val="001463CA"/>
    <w:rsid w:val="00146572"/>
    <w:rsid w:val="0014675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248"/>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B1"/>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3A4"/>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8B1"/>
    <w:rsid w:val="00196088"/>
    <w:rsid w:val="001962D1"/>
    <w:rsid w:val="00196902"/>
    <w:rsid w:val="00196BE4"/>
    <w:rsid w:val="00196CC1"/>
    <w:rsid w:val="001970C6"/>
    <w:rsid w:val="00197294"/>
    <w:rsid w:val="00197522"/>
    <w:rsid w:val="001976A1"/>
    <w:rsid w:val="0019786E"/>
    <w:rsid w:val="00197A06"/>
    <w:rsid w:val="00197A47"/>
    <w:rsid w:val="001A01B9"/>
    <w:rsid w:val="001A02EB"/>
    <w:rsid w:val="001A0303"/>
    <w:rsid w:val="001A031B"/>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974"/>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A9"/>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75"/>
    <w:rsid w:val="001B42A3"/>
    <w:rsid w:val="001B43E8"/>
    <w:rsid w:val="001B4508"/>
    <w:rsid w:val="001B459A"/>
    <w:rsid w:val="001B4A50"/>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C8E"/>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3F"/>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B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775"/>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16B"/>
    <w:rsid w:val="00230277"/>
    <w:rsid w:val="0023029C"/>
    <w:rsid w:val="002302FC"/>
    <w:rsid w:val="002303C6"/>
    <w:rsid w:val="00230D30"/>
    <w:rsid w:val="00230DC9"/>
    <w:rsid w:val="00230E78"/>
    <w:rsid w:val="00230F07"/>
    <w:rsid w:val="0023153C"/>
    <w:rsid w:val="0023194F"/>
    <w:rsid w:val="002319B1"/>
    <w:rsid w:val="00231DFE"/>
    <w:rsid w:val="00232166"/>
    <w:rsid w:val="00232359"/>
    <w:rsid w:val="00232808"/>
    <w:rsid w:val="00232BAA"/>
    <w:rsid w:val="00232DF2"/>
    <w:rsid w:val="00232E14"/>
    <w:rsid w:val="00232E5E"/>
    <w:rsid w:val="0023356F"/>
    <w:rsid w:val="00233656"/>
    <w:rsid w:val="00233749"/>
    <w:rsid w:val="002338E8"/>
    <w:rsid w:val="00233B5C"/>
    <w:rsid w:val="00233E26"/>
    <w:rsid w:val="00233E5C"/>
    <w:rsid w:val="00233ED8"/>
    <w:rsid w:val="00233FD6"/>
    <w:rsid w:val="002342A3"/>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966"/>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997"/>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5FAD"/>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08D"/>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4EC"/>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644"/>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3A"/>
    <w:rsid w:val="002A2B61"/>
    <w:rsid w:val="002A313A"/>
    <w:rsid w:val="002A3179"/>
    <w:rsid w:val="002A3257"/>
    <w:rsid w:val="002A3292"/>
    <w:rsid w:val="002A3A49"/>
    <w:rsid w:val="002A3CFD"/>
    <w:rsid w:val="002A3DFD"/>
    <w:rsid w:val="002A3EA2"/>
    <w:rsid w:val="002A4132"/>
    <w:rsid w:val="002A4221"/>
    <w:rsid w:val="002A466C"/>
    <w:rsid w:val="002A46B9"/>
    <w:rsid w:val="002A4EA4"/>
    <w:rsid w:val="002A5068"/>
    <w:rsid w:val="002A52D1"/>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77"/>
    <w:rsid w:val="002B4078"/>
    <w:rsid w:val="002B40A0"/>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DE"/>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283"/>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6D3"/>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7A6"/>
    <w:rsid w:val="003328DC"/>
    <w:rsid w:val="00332BE1"/>
    <w:rsid w:val="00332D95"/>
    <w:rsid w:val="00333302"/>
    <w:rsid w:val="00333850"/>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DCE"/>
    <w:rsid w:val="00335E9E"/>
    <w:rsid w:val="00336146"/>
    <w:rsid w:val="003364E2"/>
    <w:rsid w:val="00336662"/>
    <w:rsid w:val="003366AE"/>
    <w:rsid w:val="003369E3"/>
    <w:rsid w:val="003369EE"/>
    <w:rsid w:val="00336A2E"/>
    <w:rsid w:val="00336A91"/>
    <w:rsid w:val="00336DB6"/>
    <w:rsid w:val="00336F08"/>
    <w:rsid w:val="003370CB"/>
    <w:rsid w:val="0033723E"/>
    <w:rsid w:val="0033735C"/>
    <w:rsid w:val="0033798E"/>
    <w:rsid w:val="00337D3E"/>
    <w:rsid w:val="00337F55"/>
    <w:rsid w:val="00337F79"/>
    <w:rsid w:val="00337FC7"/>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05D"/>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6ED"/>
    <w:rsid w:val="00370E4B"/>
    <w:rsid w:val="00370F6E"/>
    <w:rsid w:val="00371062"/>
    <w:rsid w:val="00371091"/>
    <w:rsid w:val="003714B2"/>
    <w:rsid w:val="00371518"/>
    <w:rsid w:val="0037158B"/>
    <w:rsid w:val="003717F1"/>
    <w:rsid w:val="00371BC0"/>
    <w:rsid w:val="00371ECA"/>
    <w:rsid w:val="0037209F"/>
    <w:rsid w:val="003726B7"/>
    <w:rsid w:val="00372984"/>
    <w:rsid w:val="003729AF"/>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AC1"/>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390"/>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A0C"/>
    <w:rsid w:val="003D3E70"/>
    <w:rsid w:val="003D41F2"/>
    <w:rsid w:val="003D4937"/>
    <w:rsid w:val="003D4B9D"/>
    <w:rsid w:val="003D4E1E"/>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866"/>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4DEA"/>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2BE"/>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0C9"/>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6E5"/>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BCD"/>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56F"/>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0CC"/>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4FD"/>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329"/>
    <w:rsid w:val="004E0480"/>
    <w:rsid w:val="004E0734"/>
    <w:rsid w:val="004E07AA"/>
    <w:rsid w:val="004E0DAB"/>
    <w:rsid w:val="004E0E58"/>
    <w:rsid w:val="004E0E80"/>
    <w:rsid w:val="004E0E9C"/>
    <w:rsid w:val="004E1294"/>
    <w:rsid w:val="004E130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6ED"/>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0B0"/>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93E"/>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17"/>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76"/>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57A"/>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16C"/>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5D2"/>
    <w:rsid w:val="005569FC"/>
    <w:rsid w:val="00556A21"/>
    <w:rsid w:val="00556E35"/>
    <w:rsid w:val="00556E86"/>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5F18"/>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97A"/>
    <w:rsid w:val="00591C6E"/>
    <w:rsid w:val="00591CC1"/>
    <w:rsid w:val="00591EF0"/>
    <w:rsid w:val="005926E2"/>
    <w:rsid w:val="00592851"/>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772"/>
    <w:rsid w:val="005B08D3"/>
    <w:rsid w:val="005B0963"/>
    <w:rsid w:val="005B0BE8"/>
    <w:rsid w:val="005B0C83"/>
    <w:rsid w:val="005B10C2"/>
    <w:rsid w:val="005B1338"/>
    <w:rsid w:val="005B141E"/>
    <w:rsid w:val="005B18B3"/>
    <w:rsid w:val="005B1AB3"/>
    <w:rsid w:val="005B1F12"/>
    <w:rsid w:val="005B20C7"/>
    <w:rsid w:val="005B215A"/>
    <w:rsid w:val="005B251B"/>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EA7"/>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209"/>
    <w:rsid w:val="005D450C"/>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A7A"/>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066"/>
    <w:rsid w:val="005F21C9"/>
    <w:rsid w:val="005F241F"/>
    <w:rsid w:val="005F247D"/>
    <w:rsid w:val="005F26B1"/>
    <w:rsid w:val="005F2EF6"/>
    <w:rsid w:val="005F2FB4"/>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4A3"/>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6C"/>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28"/>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7E0"/>
    <w:rsid w:val="00635823"/>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4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5D6D"/>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1F9"/>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2B3"/>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DC"/>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392"/>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4AB"/>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B12"/>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0C"/>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9A9"/>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1B6"/>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01E"/>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AB1"/>
    <w:rsid w:val="00750C2F"/>
    <w:rsid w:val="00750CAB"/>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1A5"/>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95C"/>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5F"/>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DE7"/>
    <w:rsid w:val="007B4246"/>
    <w:rsid w:val="007B43A1"/>
    <w:rsid w:val="007B4499"/>
    <w:rsid w:val="007B46B1"/>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C4C"/>
    <w:rsid w:val="007B6F26"/>
    <w:rsid w:val="007B7279"/>
    <w:rsid w:val="007B7837"/>
    <w:rsid w:val="007B7A69"/>
    <w:rsid w:val="007B7DF3"/>
    <w:rsid w:val="007B7E46"/>
    <w:rsid w:val="007B7F1B"/>
    <w:rsid w:val="007C056D"/>
    <w:rsid w:val="007C05EB"/>
    <w:rsid w:val="007C0A22"/>
    <w:rsid w:val="007C0F4F"/>
    <w:rsid w:val="007C106B"/>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48"/>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59"/>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A03"/>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4FE"/>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CC1"/>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3AAC"/>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190"/>
    <w:rsid w:val="008242B4"/>
    <w:rsid w:val="008245F9"/>
    <w:rsid w:val="00824671"/>
    <w:rsid w:val="008246B9"/>
    <w:rsid w:val="00824861"/>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61"/>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3B"/>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670"/>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379"/>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AF3"/>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5F1"/>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304"/>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5F54"/>
    <w:rsid w:val="008D6132"/>
    <w:rsid w:val="008D6163"/>
    <w:rsid w:val="008D64F3"/>
    <w:rsid w:val="008D6627"/>
    <w:rsid w:val="008D684F"/>
    <w:rsid w:val="008D69DE"/>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0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726"/>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476"/>
    <w:rsid w:val="009168D4"/>
    <w:rsid w:val="00916CF7"/>
    <w:rsid w:val="00916EB2"/>
    <w:rsid w:val="00917175"/>
    <w:rsid w:val="0091762D"/>
    <w:rsid w:val="009177D8"/>
    <w:rsid w:val="00917A4F"/>
    <w:rsid w:val="00917B90"/>
    <w:rsid w:val="0092005C"/>
    <w:rsid w:val="00920066"/>
    <w:rsid w:val="009201DB"/>
    <w:rsid w:val="00920209"/>
    <w:rsid w:val="0092033B"/>
    <w:rsid w:val="009204C4"/>
    <w:rsid w:val="009205C1"/>
    <w:rsid w:val="0092067F"/>
    <w:rsid w:val="00920923"/>
    <w:rsid w:val="00920ADB"/>
    <w:rsid w:val="00920BF1"/>
    <w:rsid w:val="00920C92"/>
    <w:rsid w:val="00920CBF"/>
    <w:rsid w:val="00920D77"/>
    <w:rsid w:val="00920E6A"/>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58"/>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724"/>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75"/>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0FD8"/>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0B"/>
    <w:rsid w:val="009B61B8"/>
    <w:rsid w:val="009B6596"/>
    <w:rsid w:val="009B65AD"/>
    <w:rsid w:val="009B6B3D"/>
    <w:rsid w:val="009B6DA1"/>
    <w:rsid w:val="009B6F81"/>
    <w:rsid w:val="009B7003"/>
    <w:rsid w:val="009B730E"/>
    <w:rsid w:val="009B782C"/>
    <w:rsid w:val="009B7E72"/>
    <w:rsid w:val="009B7EC9"/>
    <w:rsid w:val="009B7FBC"/>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83C"/>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CCA"/>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D7E90"/>
    <w:rsid w:val="009E0625"/>
    <w:rsid w:val="009E0768"/>
    <w:rsid w:val="009E07CF"/>
    <w:rsid w:val="009E0978"/>
    <w:rsid w:val="009E0AD2"/>
    <w:rsid w:val="009E0B18"/>
    <w:rsid w:val="009E1439"/>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76A"/>
    <w:rsid w:val="009E27E3"/>
    <w:rsid w:val="009E28A2"/>
    <w:rsid w:val="009E29A1"/>
    <w:rsid w:val="009E2D74"/>
    <w:rsid w:val="009E2FE1"/>
    <w:rsid w:val="009E2FF2"/>
    <w:rsid w:val="009E3297"/>
    <w:rsid w:val="009E3461"/>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33"/>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B83"/>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16"/>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85B"/>
    <w:rsid w:val="00A178CF"/>
    <w:rsid w:val="00A17926"/>
    <w:rsid w:val="00A179AC"/>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0E36"/>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AE0"/>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AF3"/>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12"/>
    <w:rsid w:val="00AC0AB1"/>
    <w:rsid w:val="00AC1217"/>
    <w:rsid w:val="00AC1346"/>
    <w:rsid w:val="00AC18D9"/>
    <w:rsid w:val="00AC1912"/>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8C"/>
    <w:rsid w:val="00AC5EFE"/>
    <w:rsid w:val="00AC68C8"/>
    <w:rsid w:val="00AC6955"/>
    <w:rsid w:val="00AC6AFA"/>
    <w:rsid w:val="00AC6F35"/>
    <w:rsid w:val="00AC717A"/>
    <w:rsid w:val="00AC77CB"/>
    <w:rsid w:val="00AC782D"/>
    <w:rsid w:val="00AC79A0"/>
    <w:rsid w:val="00AC7A16"/>
    <w:rsid w:val="00AC7C5A"/>
    <w:rsid w:val="00AC7D60"/>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A2D"/>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2D2"/>
    <w:rsid w:val="00AF237F"/>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6FE1"/>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72C"/>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892"/>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126"/>
    <w:rsid w:val="00B55390"/>
    <w:rsid w:val="00B5548E"/>
    <w:rsid w:val="00B55AC6"/>
    <w:rsid w:val="00B55D56"/>
    <w:rsid w:val="00B55F9E"/>
    <w:rsid w:val="00B55FBA"/>
    <w:rsid w:val="00B560F0"/>
    <w:rsid w:val="00B56134"/>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78D"/>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750"/>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B2F"/>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41B"/>
    <w:rsid w:val="00BB67F4"/>
    <w:rsid w:val="00BB68FD"/>
    <w:rsid w:val="00BB6C69"/>
    <w:rsid w:val="00BB70C8"/>
    <w:rsid w:val="00BB7218"/>
    <w:rsid w:val="00BB7227"/>
    <w:rsid w:val="00BB7410"/>
    <w:rsid w:val="00BB761A"/>
    <w:rsid w:val="00BB788E"/>
    <w:rsid w:val="00BB78D1"/>
    <w:rsid w:val="00BB7BB5"/>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BBE"/>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9E7"/>
    <w:rsid w:val="00BF3B82"/>
    <w:rsid w:val="00BF3E3F"/>
    <w:rsid w:val="00BF4775"/>
    <w:rsid w:val="00BF4860"/>
    <w:rsid w:val="00BF48E2"/>
    <w:rsid w:val="00BF4BF3"/>
    <w:rsid w:val="00BF4CAB"/>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80"/>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4C7"/>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5F7E"/>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C81"/>
    <w:rsid w:val="00C66F28"/>
    <w:rsid w:val="00C67001"/>
    <w:rsid w:val="00C67495"/>
    <w:rsid w:val="00C67507"/>
    <w:rsid w:val="00C6787B"/>
    <w:rsid w:val="00C70017"/>
    <w:rsid w:val="00C7026C"/>
    <w:rsid w:val="00C7031D"/>
    <w:rsid w:val="00C704C0"/>
    <w:rsid w:val="00C704C9"/>
    <w:rsid w:val="00C70640"/>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4D9A"/>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B14"/>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6C2"/>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885"/>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3E3A"/>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9"/>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2A0"/>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7AB"/>
    <w:rsid w:val="00D0325B"/>
    <w:rsid w:val="00D03C56"/>
    <w:rsid w:val="00D03E40"/>
    <w:rsid w:val="00D04064"/>
    <w:rsid w:val="00D04154"/>
    <w:rsid w:val="00D04509"/>
    <w:rsid w:val="00D04AAA"/>
    <w:rsid w:val="00D04ABA"/>
    <w:rsid w:val="00D04AEC"/>
    <w:rsid w:val="00D04DC5"/>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8B9"/>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7DF"/>
    <w:rsid w:val="00D25CBB"/>
    <w:rsid w:val="00D25CCA"/>
    <w:rsid w:val="00D26150"/>
    <w:rsid w:val="00D265C6"/>
    <w:rsid w:val="00D268BE"/>
    <w:rsid w:val="00D268CD"/>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5B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C49"/>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7A"/>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42C"/>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BAB"/>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19"/>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4F"/>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639"/>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82"/>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E68"/>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1FCA"/>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163"/>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332"/>
    <w:rsid w:val="00DF554D"/>
    <w:rsid w:val="00DF576F"/>
    <w:rsid w:val="00DF58BC"/>
    <w:rsid w:val="00DF5BE3"/>
    <w:rsid w:val="00DF5D06"/>
    <w:rsid w:val="00DF5F70"/>
    <w:rsid w:val="00DF6122"/>
    <w:rsid w:val="00DF62DB"/>
    <w:rsid w:val="00DF6667"/>
    <w:rsid w:val="00DF66B7"/>
    <w:rsid w:val="00DF68C4"/>
    <w:rsid w:val="00DF6C35"/>
    <w:rsid w:val="00DF6DD9"/>
    <w:rsid w:val="00DF6E3A"/>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9D3"/>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6FE"/>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315"/>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54"/>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979"/>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87"/>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340"/>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D71"/>
    <w:rsid w:val="00EC6FDA"/>
    <w:rsid w:val="00EC7056"/>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CF"/>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45"/>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0794F"/>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A7B"/>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2F"/>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4FC2"/>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0D"/>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6BB"/>
    <w:rsid w:val="00F62986"/>
    <w:rsid w:val="00F62991"/>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0D2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A3D"/>
    <w:rsid w:val="00FA2B96"/>
    <w:rsid w:val="00FA2E23"/>
    <w:rsid w:val="00FA3146"/>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15"/>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BB"/>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0C6"/>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41A"/>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90B"/>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D4F"/>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2D06"/>
    <w:rsid w:val="00FE313D"/>
    <w:rsid w:val="00FE315A"/>
    <w:rsid w:val="00FE32E0"/>
    <w:rsid w:val="00FE35A4"/>
    <w:rsid w:val="00FE39B7"/>
    <w:rsid w:val="00FE3A18"/>
    <w:rsid w:val="00FE3E10"/>
    <w:rsid w:val="00FE4123"/>
    <w:rsid w:val="00FE413C"/>
    <w:rsid w:val="00FE4734"/>
    <w:rsid w:val="00FE486D"/>
    <w:rsid w:val="00FE4A75"/>
    <w:rsid w:val="00FE4C2A"/>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B8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ECAC-1562-4A01-983C-F29FA3EC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2</Pages>
  <Words>821</Words>
  <Characters>4521</Characters>
  <Application>Microsoft Office Word</Application>
  <DocSecurity>0</DocSecurity>
  <PresentationFormat>Microsoft Word 8.0b</PresentationFormat>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5332</CharactersWithSpaces>
  <SharedDoc>false</SharedDoc>
  <HLinks>
    <vt:vector size="240" baseType="variant">
      <vt:variant>
        <vt:i4>5636142</vt:i4>
      </vt:variant>
      <vt:variant>
        <vt:i4>9</vt:i4>
      </vt:variant>
      <vt:variant>
        <vt:i4>0</vt:i4>
      </vt:variant>
      <vt:variant>
        <vt:i4>5</vt:i4>
      </vt:variant>
      <vt:variant>
        <vt:lpwstr>http://ec.europa.eu/newsroom/document.cfm?doc_id=44515</vt:lpwstr>
      </vt:variant>
      <vt:variant>
        <vt:lpwstr/>
      </vt:variant>
      <vt:variant>
        <vt:i4>2228328</vt:i4>
      </vt:variant>
      <vt:variant>
        <vt:i4>6</vt:i4>
      </vt:variant>
      <vt:variant>
        <vt:i4>0</vt:i4>
      </vt:variant>
      <vt:variant>
        <vt:i4>5</vt:i4>
      </vt:variant>
      <vt:variant>
        <vt:lpwstr>http://ec.europa.eu/trade/policy/in-focus/eu-japan-free-trade-agreement/meetings-and-documents/</vt:lpwstr>
      </vt:variant>
      <vt:variant>
        <vt:lpwstr/>
      </vt:variant>
      <vt:variant>
        <vt:i4>851998</vt:i4>
      </vt:variant>
      <vt:variant>
        <vt:i4>3</vt:i4>
      </vt:variant>
      <vt:variant>
        <vt:i4>0</vt:i4>
      </vt:variant>
      <vt:variant>
        <vt:i4>5</vt:i4>
      </vt:variant>
      <vt:variant>
        <vt:lpwstr>http://www.europarl.europa.eu/sides/getDoc.do?type=REPORT&amp;mode=XML&amp;reference=A8-2017-0266&amp;language=FR</vt:lpwstr>
      </vt:variant>
      <vt:variant>
        <vt:lpwstr/>
      </vt:variant>
      <vt:variant>
        <vt:i4>851998</vt:i4>
      </vt:variant>
      <vt:variant>
        <vt:i4>0</vt:i4>
      </vt:variant>
      <vt:variant>
        <vt:i4>0</vt:i4>
      </vt:variant>
      <vt:variant>
        <vt:i4>5</vt:i4>
      </vt:variant>
      <vt:variant>
        <vt:lpwstr>http://www.europarl.europa.eu/sides/getDoc.do?type=REPORT&amp;mode=XML&amp;reference=A8-2017-0266&amp;language=FR</vt:lpwstr>
      </vt:variant>
      <vt:variant>
        <vt:lpwstr/>
      </vt:variant>
      <vt:variant>
        <vt:i4>1835105</vt:i4>
      </vt:variant>
      <vt:variant>
        <vt:i4>105</vt:i4>
      </vt:variant>
      <vt:variant>
        <vt:i4>0</vt:i4>
      </vt:variant>
      <vt:variant>
        <vt:i4>5</vt:i4>
      </vt:variant>
      <vt:variant>
        <vt:lpwstr>https://ec.europa.eu/commission/sites/beta-political/files/reflection-paper-eu-finances_en.pdf</vt:lpwstr>
      </vt:variant>
      <vt:variant>
        <vt:lpwstr/>
      </vt:variant>
      <vt:variant>
        <vt:i4>1900561</vt:i4>
      </vt:variant>
      <vt:variant>
        <vt:i4>102</vt:i4>
      </vt:variant>
      <vt:variant>
        <vt:i4>0</vt:i4>
      </vt:variant>
      <vt:variant>
        <vt:i4>5</vt:i4>
      </vt:variant>
      <vt:variant>
        <vt:lpwstr>https://ec.europa.eu/digital-single-market/en/digital-skills-initiatives</vt:lpwstr>
      </vt:variant>
      <vt:variant>
        <vt:lpwstr/>
      </vt:variant>
      <vt:variant>
        <vt:i4>4</vt:i4>
      </vt:variant>
      <vt:variant>
        <vt:i4>99</vt:i4>
      </vt:variant>
      <vt:variant>
        <vt:i4>0</vt:i4>
      </vt:variant>
      <vt:variant>
        <vt:i4>5</vt:i4>
      </vt:variant>
      <vt:variant>
        <vt:lpwstr>https://ec.europa.eu/digital-single-market/en/news/shared-concept-national-digital-skills-strategies</vt:lpwstr>
      </vt:variant>
      <vt:variant>
        <vt:lpwstr/>
      </vt:variant>
      <vt:variant>
        <vt:i4>3670052</vt:i4>
      </vt:variant>
      <vt:variant>
        <vt:i4>96</vt:i4>
      </vt:variant>
      <vt:variant>
        <vt:i4>0</vt:i4>
      </vt:variant>
      <vt:variant>
        <vt:i4>5</vt:i4>
      </vt:variant>
      <vt:variant>
        <vt:lpwstr>https://ec.europa.eu/digital-single-market/en/national-local-coalitions</vt:lpwstr>
      </vt:variant>
      <vt:variant>
        <vt:lpwstr/>
      </vt:variant>
      <vt:variant>
        <vt:i4>6881389</vt:i4>
      </vt:variant>
      <vt:variant>
        <vt:i4>93</vt:i4>
      </vt:variant>
      <vt:variant>
        <vt:i4>0</vt:i4>
      </vt:variant>
      <vt:variant>
        <vt:i4>5</vt:i4>
      </vt:variant>
      <vt:variant>
        <vt:lpwstr>http://ec.europa.eu/social/main.jsp?catId=1223</vt:lpwstr>
      </vt:variant>
      <vt:variant>
        <vt:lpwstr/>
      </vt:variant>
      <vt:variant>
        <vt:i4>5242936</vt:i4>
      </vt:variant>
      <vt:variant>
        <vt:i4>90</vt:i4>
      </vt:variant>
      <vt:variant>
        <vt:i4>0</vt:i4>
      </vt:variant>
      <vt:variant>
        <vt:i4>5</vt:i4>
      </vt:variant>
      <vt:variant>
        <vt:lpwstr>https://ec.europa.eu/commission/sites/beta-political/files/communication-strengthening-european-identity-education-culture_en.pdf</vt:lpwstr>
      </vt:variant>
      <vt:variant>
        <vt:lpwstr/>
      </vt:variant>
      <vt:variant>
        <vt:i4>5373977</vt:i4>
      </vt:variant>
      <vt:variant>
        <vt:i4>87</vt:i4>
      </vt:variant>
      <vt:variant>
        <vt:i4>0</vt:i4>
      </vt:variant>
      <vt:variant>
        <vt:i4>5</vt:i4>
      </vt:variant>
      <vt:variant>
        <vt:lpwstr>http://eur-lex.europa.eu/LexUriServ/LexUriServ.do?uri=OJ:C:2012:398:0001:0005:EN:PDF</vt:lpwstr>
      </vt:variant>
      <vt:variant>
        <vt:lpwstr/>
      </vt:variant>
      <vt:variant>
        <vt:i4>7209040</vt:i4>
      </vt:variant>
      <vt:variant>
        <vt:i4>84</vt:i4>
      </vt:variant>
      <vt:variant>
        <vt:i4>0</vt:i4>
      </vt:variant>
      <vt:variant>
        <vt:i4>5</vt:i4>
      </vt:variant>
      <vt:variant>
        <vt:lpwstr>http://trade.ec.europa.eu/doclib/docs/2015/october/tradoc_153846.pdf</vt:lpwstr>
      </vt:variant>
      <vt:variant>
        <vt:lpwstr/>
      </vt:variant>
      <vt:variant>
        <vt:i4>4980752</vt:i4>
      </vt:variant>
      <vt:variant>
        <vt:i4>81</vt:i4>
      </vt:variant>
      <vt:variant>
        <vt:i4>0</vt:i4>
      </vt:variant>
      <vt:variant>
        <vt:i4>5</vt:i4>
      </vt:variant>
      <vt:variant>
        <vt:lpwstr>http://ec.europa.eu/research/evaluations/pdf/archive/other_reports_studies_and_documents/hlg_2017_report.pdf</vt:lpwstr>
      </vt:variant>
      <vt:variant>
        <vt:lpwstr>view=fit&amp;pagemode=none</vt:lpwstr>
      </vt:variant>
      <vt:variant>
        <vt:i4>6881290</vt:i4>
      </vt:variant>
      <vt:variant>
        <vt:i4>78</vt:i4>
      </vt:variant>
      <vt:variant>
        <vt:i4>0</vt:i4>
      </vt:variant>
      <vt:variant>
        <vt:i4>5</vt:i4>
      </vt:variant>
      <vt:variant>
        <vt:lpwstr>https://ec.europa.eu/education/sites/education/files/he-com-2017-247_en.pdf</vt:lpwstr>
      </vt:variant>
      <vt:variant>
        <vt:lpwstr/>
      </vt:variant>
      <vt:variant>
        <vt:i4>4390953</vt:i4>
      </vt:variant>
      <vt:variant>
        <vt:i4>75</vt:i4>
      </vt:variant>
      <vt:variant>
        <vt:i4>0</vt:i4>
      </vt:variant>
      <vt:variant>
        <vt:i4>5</vt:i4>
      </vt:variant>
      <vt:variant>
        <vt:lpwstr>https://ec.europa.eu/info/better-regulation-guidelines-and-toolbox_en</vt:lpwstr>
      </vt:variant>
      <vt:variant>
        <vt:lpwstr/>
      </vt:variant>
      <vt:variant>
        <vt:i4>1441802</vt:i4>
      </vt:variant>
      <vt:variant>
        <vt:i4>72</vt:i4>
      </vt:variant>
      <vt:variant>
        <vt:i4>0</vt:i4>
      </vt:variant>
      <vt:variant>
        <vt:i4>5</vt:i4>
      </vt:variant>
      <vt:variant>
        <vt:lpwstr>http://www.basel.int/Implementation/StrategicFramework/Decisions/tabid/3808/Default.aspx</vt:lpwstr>
      </vt:variant>
      <vt:variant>
        <vt:lpwstr/>
      </vt:variant>
      <vt:variant>
        <vt:i4>393309</vt:i4>
      </vt:variant>
      <vt:variant>
        <vt:i4>69</vt:i4>
      </vt:variant>
      <vt:variant>
        <vt:i4>0</vt:i4>
      </vt:variant>
      <vt:variant>
        <vt:i4>5</vt:i4>
      </vt:variant>
      <vt:variant>
        <vt:lpwstr>http://trade.ec.europa.eu/doclib/events/index.cfm?id=1647</vt:lpwstr>
      </vt:variant>
      <vt:variant>
        <vt:lpwstr/>
      </vt:variant>
      <vt:variant>
        <vt:i4>8060932</vt:i4>
      </vt:variant>
      <vt:variant>
        <vt:i4>66</vt:i4>
      </vt:variant>
      <vt:variant>
        <vt:i4>0</vt:i4>
      </vt:variant>
      <vt:variant>
        <vt:i4>5</vt:i4>
      </vt:variant>
      <vt:variant>
        <vt:lpwstr>https://e-justice.europa.eu/content_crossborder_family_mediation-372-en.do</vt:lpwstr>
      </vt:variant>
      <vt:variant>
        <vt:lpwstr/>
      </vt:variant>
      <vt:variant>
        <vt:i4>3932184</vt:i4>
      </vt:variant>
      <vt:variant>
        <vt:i4>63</vt:i4>
      </vt:variant>
      <vt:variant>
        <vt:i4>0</vt:i4>
      </vt:variant>
      <vt:variant>
        <vt:i4>5</vt:i4>
      </vt:variant>
      <vt:variant>
        <vt:lpwstr>https://ec.europa.eu/info/consultations/finance-2017-investment-protection-mediation_en</vt:lpwstr>
      </vt:variant>
      <vt:variant>
        <vt:lpwstr/>
      </vt:variant>
      <vt:variant>
        <vt:i4>8257565</vt:i4>
      </vt:variant>
      <vt:variant>
        <vt:i4>60</vt:i4>
      </vt:variant>
      <vt:variant>
        <vt:i4>0</vt:i4>
      </vt:variant>
      <vt:variant>
        <vt:i4>5</vt:i4>
      </vt:variant>
      <vt:variant>
        <vt:lpwstr>http://ec.europa.eu/eurostat/statistics-explained/index.php/Tertiary_education_statistics</vt:lpwstr>
      </vt:variant>
      <vt:variant>
        <vt:lpwstr>Gender_distribution_of_participation</vt:lpwstr>
      </vt:variant>
      <vt:variant>
        <vt:i4>655453</vt:i4>
      </vt:variant>
      <vt:variant>
        <vt:i4>57</vt:i4>
      </vt:variant>
      <vt:variant>
        <vt:i4>0</vt:i4>
      </vt:variant>
      <vt:variant>
        <vt:i4>5</vt:i4>
      </vt:variant>
      <vt:variant>
        <vt:lpwstr>https://oerknowledgecloud.org/sites/oerknowledgecloud.org/files/282-1432-2-PB.pdf</vt:lpwstr>
      </vt:variant>
      <vt:variant>
        <vt:lpwstr/>
      </vt:variant>
      <vt:variant>
        <vt:i4>2424844</vt:i4>
      </vt:variant>
      <vt:variant>
        <vt:i4>54</vt:i4>
      </vt:variant>
      <vt:variant>
        <vt:i4>0</vt:i4>
      </vt:variant>
      <vt:variant>
        <vt:i4>5</vt:i4>
      </vt:variant>
      <vt:variant>
        <vt:lpwstr>http://ec.europa.eu/education/policy/strategic-framework/expert-groups/digital-skills-competences_en</vt:lpwstr>
      </vt:variant>
      <vt:variant>
        <vt:lpwstr/>
      </vt:variant>
      <vt:variant>
        <vt:i4>8192096</vt:i4>
      </vt:variant>
      <vt:variant>
        <vt:i4>51</vt:i4>
      </vt:variant>
      <vt:variant>
        <vt:i4>0</vt:i4>
      </vt:variant>
      <vt:variant>
        <vt:i4>5</vt:i4>
      </vt:variant>
      <vt:variant>
        <vt:lpwstr>http://eur-lex.europa.eu/legal-content/EN/TXT/?uri=CELEX%3A52013DC0654</vt:lpwstr>
      </vt:variant>
      <vt:variant>
        <vt:lpwstr/>
      </vt:variant>
      <vt:variant>
        <vt:i4>7995500</vt:i4>
      </vt:variant>
      <vt:variant>
        <vt:i4>48</vt:i4>
      </vt:variant>
      <vt:variant>
        <vt:i4>0</vt:i4>
      </vt:variant>
      <vt:variant>
        <vt:i4>5</vt:i4>
      </vt:variant>
      <vt:variant>
        <vt:lpwstr>http://eur-lex.europa.eu/legal-content/EN/TXT/?uri=CELEX%3A52015DC0192</vt:lpwstr>
      </vt:variant>
      <vt:variant>
        <vt:lpwstr/>
      </vt:variant>
      <vt:variant>
        <vt:i4>2621465</vt:i4>
      </vt:variant>
      <vt:variant>
        <vt:i4>45</vt:i4>
      </vt:variant>
      <vt:variant>
        <vt:i4>0</vt:i4>
      </vt:variant>
      <vt:variant>
        <vt:i4>5</vt:i4>
      </vt:variant>
      <vt:variant>
        <vt:lpwstr>https://ec.europa.eu/commission/sites/beta-political/files/white_paper_on_the_future_of_europe_en.pdf</vt:lpwstr>
      </vt:variant>
      <vt:variant>
        <vt:lpwstr/>
      </vt:variant>
      <vt:variant>
        <vt:i4>7995407</vt:i4>
      </vt:variant>
      <vt:variant>
        <vt:i4>42</vt:i4>
      </vt:variant>
      <vt:variant>
        <vt:i4>0</vt:i4>
      </vt:variant>
      <vt:variant>
        <vt:i4>5</vt:i4>
      </vt:variant>
      <vt:variant>
        <vt:lpwstr>https://ec.europa.eu/education/sites/education/files/school-com-2017-248_en.pdf</vt:lpwstr>
      </vt:variant>
      <vt:variant>
        <vt:lpwstr/>
      </vt:variant>
      <vt:variant>
        <vt:i4>6881290</vt:i4>
      </vt:variant>
      <vt:variant>
        <vt:i4>39</vt:i4>
      </vt:variant>
      <vt:variant>
        <vt:i4>0</vt:i4>
      </vt:variant>
      <vt:variant>
        <vt:i4>5</vt:i4>
      </vt:variant>
      <vt:variant>
        <vt:lpwstr>https://ec.europa.eu/education/sites/education/files/he-com-2017-247_en.pdf</vt:lpwstr>
      </vt:variant>
      <vt:variant>
        <vt:lpwstr/>
      </vt:variant>
      <vt:variant>
        <vt:i4>7274497</vt:i4>
      </vt:variant>
      <vt:variant>
        <vt:i4>36</vt:i4>
      </vt:variant>
      <vt:variant>
        <vt:i4>0</vt:i4>
      </vt:variant>
      <vt:variant>
        <vt:i4>5</vt:i4>
      </vt:variant>
      <vt:variant>
        <vt:lpwstr>http://ec.europa.eu/education/policy/strategic-framework_en</vt:lpwstr>
      </vt:variant>
      <vt:variant>
        <vt:lpwstr/>
      </vt:variant>
      <vt:variant>
        <vt:i4>6226001</vt:i4>
      </vt:variant>
      <vt:variant>
        <vt:i4>33</vt:i4>
      </vt:variant>
      <vt:variant>
        <vt:i4>0</vt:i4>
      </vt:variant>
      <vt:variant>
        <vt:i4>5</vt:i4>
      </vt:variant>
      <vt:variant>
        <vt:lpwstr>https://eadtu.eu/</vt:lpwstr>
      </vt:variant>
      <vt:variant>
        <vt:lpwstr/>
      </vt:variant>
      <vt:variant>
        <vt:i4>6553658</vt:i4>
      </vt:variant>
      <vt:variant>
        <vt:i4>30</vt:i4>
      </vt:variant>
      <vt:variant>
        <vt:i4>0</vt:i4>
      </vt:variant>
      <vt:variant>
        <vt:i4>5</vt:i4>
      </vt:variant>
      <vt:variant>
        <vt:lpwstr>http://www.enqa.eu/</vt:lpwstr>
      </vt:variant>
      <vt:variant>
        <vt:lpwstr/>
      </vt:variant>
      <vt:variant>
        <vt:i4>1900649</vt:i4>
      </vt:variant>
      <vt:variant>
        <vt:i4>27</vt:i4>
      </vt:variant>
      <vt:variant>
        <vt:i4>0</vt:i4>
      </vt:variant>
      <vt:variant>
        <vt:i4>5</vt:i4>
      </vt:variant>
      <vt:variant>
        <vt:lpwstr>https://ec.europa.eu/education/resources/national-academic-recognition-centres_en</vt:lpwstr>
      </vt:variant>
      <vt:variant>
        <vt:lpwstr/>
      </vt:variant>
      <vt:variant>
        <vt:i4>131112</vt:i4>
      </vt:variant>
      <vt:variant>
        <vt:i4>24</vt:i4>
      </vt:variant>
      <vt:variant>
        <vt:i4>0</vt:i4>
      </vt:variant>
      <vt:variant>
        <vt:i4>5</vt:i4>
      </vt:variant>
      <vt:variant>
        <vt:lpwstr>https://ec.europa.eu/epale/sites/epale/files/qa_vet_ds_0.pdf</vt:lpwstr>
      </vt:variant>
      <vt:variant>
        <vt:lpwstr/>
      </vt:variant>
      <vt:variant>
        <vt:i4>1310756</vt:i4>
      </vt:variant>
      <vt:variant>
        <vt:i4>21</vt:i4>
      </vt:variant>
      <vt:variant>
        <vt:i4>0</vt:i4>
      </vt:variant>
      <vt:variant>
        <vt:i4>5</vt:i4>
      </vt:variant>
      <vt:variant>
        <vt:lpwstr>http://www.enqa.eu/wp-content/uploads/2015/11/ESG_2015.pdf</vt:lpwstr>
      </vt:variant>
      <vt:variant>
        <vt:lpwstr/>
      </vt:variant>
      <vt:variant>
        <vt:i4>6946889</vt:i4>
      </vt:variant>
      <vt:variant>
        <vt:i4>18</vt:i4>
      </vt:variant>
      <vt:variant>
        <vt:i4>0</vt:i4>
      </vt:variant>
      <vt:variant>
        <vt:i4>5</vt:i4>
      </vt:variant>
      <vt:variant>
        <vt:lpwstr>https://ec.europa.eu/education/policy/vocational-policy/ecvet_en</vt:lpwstr>
      </vt:variant>
      <vt:variant>
        <vt:lpwstr/>
      </vt:variant>
      <vt:variant>
        <vt:i4>393245</vt:i4>
      </vt:variant>
      <vt:variant>
        <vt:i4>15</vt:i4>
      </vt:variant>
      <vt:variant>
        <vt:i4>0</vt:i4>
      </vt:variant>
      <vt:variant>
        <vt:i4>5</vt:i4>
      </vt:variant>
      <vt:variant>
        <vt:lpwstr>http://data.consilium.europa.eu/doc/document/ST-9620-2017-INIT/en/pdf</vt:lpwstr>
      </vt:variant>
      <vt:variant>
        <vt:lpwstr/>
      </vt:variant>
      <vt:variant>
        <vt:i4>4456449</vt:i4>
      </vt:variant>
      <vt:variant>
        <vt:i4>12</vt:i4>
      </vt:variant>
      <vt:variant>
        <vt:i4>0</vt:i4>
      </vt:variant>
      <vt:variant>
        <vt:i4>5</vt:i4>
      </vt:variant>
      <vt:variant>
        <vt:lpwstr>http://ec.europa.eu/dgs/education_culture/repository/education/policy/vocational-policy/doc/2015-riga-conclusions_en.pdf</vt:lpwstr>
      </vt:variant>
      <vt:variant>
        <vt:lpwstr/>
      </vt:variant>
      <vt:variant>
        <vt:i4>1638481</vt:i4>
      </vt:variant>
      <vt:variant>
        <vt:i4>9</vt:i4>
      </vt:variant>
      <vt:variant>
        <vt:i4>0</vt:i4>
      </vt:variant>
      <vt:variant>
        <vt:i4>5</vt:i4>
      </vt:variant>
      <vt:variant>
        <vt:lpwstr>http://eur-lex.europa.eu/legal-content/EN/TXT/?uri=celex%3A32006H0962</vt:lpwstr>
      </vt:variant>
      <vt:variant>
        <vt:lpwstr/>
      </vt:variant>
      <vt:variant>
        <vt:i4>6946912</vt:i4>
      </vt:variant>
      <vt:variant>
        <vt:i4>6</vt:i4>
      </vt:variant>
      <vt:variant>
        <vt:i4>0</vt:i4>
      </vt:variant>
      <vt:variant>
        <vt:i4>5</vt:i4>
      </vt:variant>
      <vt:variant>
        <vt:lpwstr>https://ec.europa.eu/digital-single-market/en/news/europes-digital-progress-report-2017</vt:lpwstr>
      </vt:variant>
      <vt:variant>
        <vt:lpwstr/>
      </vt:variant>
      <vt:variant>
        <vt:i4>4849733</vt:i4>
      </vt:variant>
      <vt:variant>
        <vt:i4>3</vt:i4>
      </vt:variant>
      <vt:variant>
        <vt:i4>0</vt:i4>
      </vt:variant>
      <vt:variant>
        <vt:i4>5</vt:i4>
      </vt:variant>
      <vt:variant>
        <vt:lpwstr>http://europa.eu/rapid/press-release_IP-16-2039_en.htm</vt:lpwstr>
      </vt:variant>
      <vt:variant>
        <vt:lpwstr/>
      </vt:variant>
      <vt:variant>
        <vt:i4>4915273</vt:i4>
      </vt:variant>
      <vt:variant>
        <vt:i4>0</vt:i4>
      </vt:variant>
      <vt:variant>
        <vt:i4>0</vt:i4>
      </vt:variant>
      <vt:variant>
        <vt:i4>5</vt:i4>
      </vt:variant>
      <vt:variant>
        <vt:lpwstr>http://europa.eu/rapid/press-release_IP-17-1401_en.htm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2017-12-05T10:12:00Z</cp:lastPrinted>
  <dcterms:created xsi:type="dcterms:W3CDTF">2017-12-12T12:23:00Z</dcterms:created>
  <dcterms:modified xsi:type="dcterms:W3CDTF">2017-12-12T12:24:00Z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