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E68" w:rsidRPr="00CE5E68" w:rsidRDefault="00CE5E68" w:rsidP="00CE5E68">
      <w:pPr>
        <w:spacing w:after="600"/>
        <w:jc w:val="center"/>
        <w:rPr>
          <w:rFonts w:ascii="Times New Roman" w:hAnsi="Times New Roman"/>
          <w:b/>
          <w:szCs w:val="24"/>
          <w:lang w:val="fr-BE"/>
        </w:rPr>
      </w:pPr>
      <w:r w:rsidRPr="00CE5E68">
        <w:rPr>
          <w:rFonts w:ascii="Times New Roman" w:hAnsi="Times New Roman"/>
          <w:b/>
          <w:lang w:val="fr-BE"/>
        </w:rPr>
        <w:t>Suite donnée à la résolution du Parlement européen du 13 septembre 2017 sur</w:t>
      </w:r>
      <w:r w:rsidRPr="00CE5E68">
        <w:rPr>
          <w:rFonts w:ascii="Times New Roman" w:hAnsi="Times New Roman"/>
          <w:b/>
          <w:szCs w:val="24"/>
          <w:lang w:val="fr-BE"/>
        </w:rPr>
        <w:br/>
      </w:r>
      <w:r w:rsidRPr="00CE5E68">
        <w:rPr>
          <w:rFonts w:ascii="Times New Roman" w:hAnsi="Times New Roman"/>
          <w:b/>
          <w:lang w:val="fr-BE"/>
        </w:rPr>
        <w:t>le projet de règlement d’exécution de la Commission modifiant le règlement d’exécution (UE) 2016/6 en ce qui concerne les aliments pour animaux et les denrées alimentaires soumis à des conditions particulières à l’importation de denrées alimentaires et d’aliments pour animaux originaires ou en provenance du Japon à la suite de l’accident survenu dans la centrale nucléaire de Fukushima</w:t>
      </w:r>
    </w:p>
    <w:p w:rsidR="00CE5E68" w:rsidRPr="00CE5E68" w:rsidRDefault="00CE5E68" w:rsidP="00CE5E68">
      <w:pPr>
        <w:spacing w:after="600"/>
        <w:jc w:val="center"/>
        <w:rPr>
          <w:rFonts w:ascii="Times New Roman" w:hAnsi="Times New Roman"/>
          <w:b/>
          <w:szCs w:val="24"/>
          <w:lang w:val="fr-BE"/>
        </w:rPr>
      </w:pPr>
      <w:r w:rsidRPr="00CE5E68">
        <w:rPr>
          <w:rFonts w:ascii="Times New Roman" w:hAnsi="Times New Roman"/>
          <w:b/>
          <w:lang w:val="fr-BE"/>
        </w:rPr>
        <w:t>2017/2837 (RSP)</w:t>
      </w:r>
    </w:p>
    <w:p w:rsidR="00CE5E68" w:rsidRPr="00CE5E68" w:rsidRDefault="00CE5E68" w:rsidP="00CE5E68">
      <w:pPr>
        <w:ind w:left="567" w:hanging="567"/>
        <w:outlineLvl w:val="0"/>
        <w:rPr>
          <w:rFonts w:ascii="Times New Roman" w:hAnsi="Times New Roman"/>
          <w:b/>
          <w:szCs w:val="24"/>
          <w:lang w:val="fr-BE"/>
        </w:rPr>
      </w:pPr>
      <w:r w:rsidRPr="00CE5E68">
        <w:rPr>
          <w:rFonts w:ascii="Times New Roman" w:hAnsi="Times New Roman"/>
          <w:b/>
          <w:lang w:val="fr-BE"/>
        </w:rPr>
        <w:t>1.</w:t>
      </w:r>
      <w:r w:rsidRPr="00CE5E68">
        <w:rPr>
          <w:lang w:val="fr-BE"/>
        </w:rPr>
        <w:tab/>
      </w:r>
      <w:r w:rsidRPr="00CE5E68">
        <w:rPr>
          <w:rFonts w:ascii="Times New Roman" w:hAnsi="Times New Roman"/>
          <w:b/>
          <w:lang w:val="fr-BE"/>
        </w:rPr>
        <w:t>Résolution présentée, conformément à l’article 106, paragraphes 2 et 3, du règlement du Parlement européen, par la commission de l’environnement, de la santé publique et de la sécurité alimentaire (ENVI)</w:t>
      </w:r>
    </w:p>
    <w:p w:rsidR="00CE5E68" w:rsidRPr="00CE5E68" w:rsidRDefault="00CE5E68" w:rsidP="00CE5E68">
      <w:pPr>
        <w:ind w:left="567" w:hanging="567"/>
        <w:outlineLvl w:val="0"/>
        <w:rPr>
          <w:rFonts w:ascii="Times New Roman" w:hAnsi="Times New Roman"/>
          <w:smallCaps/>
          <w:szCs w:val="24"/>
          <w:lang w:val="fr-BE"/>
        </w:rPr>
      </w:pPr>
      <w:r w:rsidRPr="00CE5E68">
        <w:rPr>
          <w:rFonts w:ascii="Times New Roman" w:hAnsi="Times New Roman"/>
          <w:b/>
          <w:lang w:val="fr-BE"/>
        </w:rPr>
        <w:t>2.</w:t>
      </w:r>
      <w:r w:rsidRPr="00CE5E68">
        <w:rPr>
          <w:lang w:val="fr-BE"/>
        </w:rPr>
        <w:tab/>
      </w:r>
      <w:r w:rsidRPr="00CE5E68">
        <w:rPr>
          <w:rFonts w:ascii="Times New Roman" w:hAnsi="Times New Roman"/>
          <w:b/>
          <w:lang w:val="fr-BE"/>
        </w:rPr>
        <w:t xml:space="preserve">Numéro de référence du PE: </w:t>
      </w:r>
      <w:r w:rsidRPr="00CE5E68">
        <w:rPr>
          <w:rFonts w:ascii="Times New Roman" w:hAnsi="Times New Roman"/>
          <w:lang w:val="fr-BE"/>
        </w:rPr>
        <w:t>B8-0502/2017 / P8</w:t>
      </w:r>
      <w:r w:rsidRPr="00CE5E68">
        <w:rPr>
          <w:rFonts w:ascii="Times New Roman" w:hAnsi="Times New Roman"/>
          <w:b/>
          <w:smallCaps/>
          <w:lang w:val="fr-BE"/>
        </w:rPr>
        <w:t>_</w:t>
      </w:r>
      <w:r w:rsidRPr="00CE5E68">
        <w:rPr>
          <w:rFonts w:ascii="Times New Roman" w:hAnsi="Times New Roman"/>
          <w:lang w:val="fr-BE"/>
        </w:rPr>
        <w:t>TA-PROV(2017)0342</w:t>
      </w:r>
    </w:p>
    <w:p w:rsidR="00CE5E68" w:rsidRPr="00CE5E68" w:rsidRDefault="00CE5E68" w:rsidP="00CE5E68">
      <w:pPr>
        <w:ind w:left="567" w:hanging="567"/>
        <w:outlineLvl w:val="0"/>
        <w:rPr>
          <w:rFonts w:ascii="Times New Roman" w:hAnsi="Times New Roman"/>
          <w:lang w:val="fr-BE"/>
        </w:rPr>
      </w:pPr>
      <w:r w:rsidRPr="00CE5E68">
        <w:rPr>
          <w:rFonts w:ascii="Times New Roman" w:hAnsi="Times New Roman"/>
          <w:b/>
          <w:lang w:val="fr-BE"/>
        </w:rPr>
        <w:t>3.</w:t>
      </w:r>
      <w:r w:rsidRPr="00CE5E68">
        <w:rPr>
          <w:lang w:val="fr-BE"/>
        </w:rPr>
        <w:tab/>
      </w:r>
      <w:r w:rsidRPr="00CE5E68">
        <w:rPr>
          <w:rFonts w:ascii="Times New Roman" w:hAnsi="Times New Roman"/>
          <w:b/>
          <w:lang w:val="fr-BE"/>
        </w:rPr>
        <w:t xml:space="preserve">Date d’adoption de la résolution: </w:t>
      </w:r>
      <w:r w:rsidRPr="00CE5E68">
        <w:rPr>
          <w:rFonts w:ascii="Times New Roman" w:hAnsi="Times New Roman"/>
          <w:lang w:val="fr-BE"/>
        </w:rPr>
        <w:t>13 septembre 2017</w:t>
      </w:r>
    </w:p>
    <w:p w:rsidR="00CE5E68" w:rsidRPr="00CE5E68" w:rsidRDefault="00CE5E68" w:rsidP="00CE5E68">
      <w:pPr>
        <w:ind w:left="567" w:hanging="567"/>
        <w:rPr>
          <w:rFonts w:ascii="Times New Roman" w:hAnsi="Times New Roman"/>
          <w:szCs w:val="24"/>
          <w:lang w:val="fr-BE"/>
        </w:rPr>
      </w:pPr>
      <w:r w:rsidRPr="00CE5E68">
        <w:rPr>
          <w:rFonts w:ascii="Times New Roman" w:hAnsi="Times New Roman"/>
          <w:b/>
          <w:lang w:val="fr-BE"/>
        </w:rPr>
        <w:t>4.</w:t>
      </w:r>
      <w:r w:rsidRPr="00CE5E68">
        <w:rPr>
          <w:lang w:val="fr-BE"/>
        </w:rPr>
        <w:tab/>
      </w:r>
      <w:r w:rsidRPr="00CE5E68">
        <w:rPr>
          <w:rFonts w:ascii="Times New Roman" w:hAnsi="Times New Roman"/>
          <w:b/>
          <w:lang w:val="fr-BE"/>
        </w:rPr>
        <w:t>Objet:</w:t>
      </w:r>
      <w:r w:rsidRPr="00CE5E68">
        <w:rPr>
          <w:rFonts w:ascii="Times New Roman" w:hAnsi="Times New Roman"/>
          <w:lang w:val="fr-BE"/>
        </w:rPr>
        <w:t xml:space="preserve"> projet de règlement d’exécution de la Commission modifiant les restrictions à l’importation de denrées alimentaires et d’aliments pour animaux en provenance du Japon à la suite de l’accident survenu à la centrale nucléaire de Fukushima</w:t>
      </w:r>
    </w:p>
    <w:p w:rsidR="00CE5E68" w:rsidRPr="00CE5E68" w:rsidRDefault="00CE5E68" w:rsidP="00CE5E68">
      <w:pPr>
        <w:ind w:left="567" w:hanging="567"/>
        <w:outlineLvl w:val="0"/>
        <w:rPr>
          <w:rFonts w:ascii="Times New Roman" w:hAnsi="Times New Roman"/>
          <w:b/>
          <w:bCs/>
          <w:color w:val="000000"/>
          <w:lang w:val="fr-BE"/>
        </w:rPr>
      </w:pPr>
      <w:r w:rsidRPr="00CE5E68">
        <w:rPr>
          <w:rFonts w:ascii="Times New Roman" w:hAnsi="Times New Roman"/>
          <w:b/>
          <w:color w:val="000000"/>
          <w:lang w:val="fr-BE"/>
        </w:rPr>
        <w:t>5.</w:t>
      </w:r>
      <w:r w:rsidRPr="00CE5E68">
        <w:rPr>
          <w:lang w:val="fr-BE"/>
        </w:rPr>
        <w:tab/>
      </w:r>
      <w:r w:rsidRPr="00CE5E68">
        <w:rPr>
          <w:rFonts w:ascii="Times New Roman" w:hAnsi="Times New Roman"/>
          <w:b/>
          <w:lang w:val="fr-BE"/>
        </w:rPr>
        <w:t>Commission parlementaire compétente:</w:t>
      </w:r>
      <w:r w:rsidRPr="00CE5E68">
        <w:rPr>
          <w:rFonts w:ascii="Times New Roman" w:hAnsi="Times New Roman"/>
          <w:lang w:val="fr-BE"/>
        </w:rPr>
        <w:t xml:space="preserve"> commission de l’environnement, de la santé publique et de la sécurité alimentaire (ENVI)</w:t>
      </w:r>
    </w:p>
    <w:p w:rsidR="00CE5E68" w:rsidRPr="00CE5E68" w:rsidRDefault="00CE5E68" w:rsidP="00CE5E68">
      <w:pPr>
        <w:ind w:left="567" w:hanging="567"/>
        <w:rPr>
          <w:rFonts w:ascii="Times New Roman" w:hAnsi="Times New Roman"/>
          <w:b/>
          <w:color w:val="000000"/>
          <w:szCs w:val="24"/>
          <w:lang w:val="fr-BE"/>
        </w:rPr>
      </w:pPr>
      <w:r w:rsidRPr="00CE5E68">
        <w:rPr>
          <w:rFonts w:ascii="Times New Roman" w:hAnsi="Times New Roman"/>
          <w:b/>
          <w:color w:val="000000"/>
          <w:lang w:val="fr-BE"/>
        </w:rPr>
        <w:t>6.</w:t>
      </w:r>
      <w:r w:rsidRPr="00CE5E68">
        <w:rPr>
          <w:lang w:val="fr-BE"/>
        </w:rPr>
        <w:tab/>
      </w:r>
      <w:r w:rsidRPr="00CE5E68">
        <w:rPr>
          <w:rFonts w:ascii="Times New Roman" w:hAnsi="Times New Roman"/>
          <w:b/>
          <w:color w:val="000000"/>
          <w:lang w:val="fr-BE"/>
        </w:rPr>
        <w:t>Analyse/évaluation succincte des résolutions et des demandes qu’elle contient:</w:t>
      </w:r>
    </w:p>
    <w:p w:rsidR="00CE5E68" w:rsidRPr="00CE5E68" w:rsidRDefault="00CE5E68" w:rsidP="00CE5E68">
      <w:pPr>
        <w:spacing w:after="120"/>
        <w:rPr>
          <w:rFonts w:ascii="Times New Roman" w:hAnsi="Times New Roman"/>
          <w:szCs w:val="24"/>
          <w:lang w:val="fr-BE"/>
        </w:rPr>
      </w:pPr>
      <w:r w:rsidRPr="00CE5E68">
        <w:rPr>
          <w:rFonts w:ascii="Times New Roman" w:hAnsi="Times New Roman"/>
          <w:lang w:val="fr-BE"/>
        </w:rPr>
        <w:t>Dans sa résolution, le Parlement européen demande le retrait du projet de règlement d’exécution de la Commission (</w:t>
      </w:r>
      <w:r w:rsidRPr="00CE5E68">
        <w:rPr>
          <w:rFonts w:ascii="Times New Roman" w:hAnsi="Times New Roman"/>
          <w:b/>
          <w:lang w:val="fr-BE"/>
        </w:rPr>
        <w:t>paragraphe 3</w:t>
      </w:r>
      <w:r w:rsidRPr="00CE5E68">
        <w:rPr>
          <w:rFonts w:ascii="Times New Roman" w:hAnsi="Times New Roman"/>
          <w:lang w:val="fr-BE"/>
        </w:rPr>
        <w:t>), au motif qu’il n’est pas compatible avec l’objectif et les principes généraux prévus dans le règlement (CE) n</w:t>
      </w:r>
      <w:r w:rsidRPr="00CE5E68">
        <w:rPr>
          <w:rFonts w:ascii="Times New Roman" w:hAnsi="Times New Roman"/>
          <w:vertAlign w:val="superscript"/>
          <w:lang w:val="fr-BE"/>
        </w:rPr>
        <w:t>o</w:t>
      </w:r>
      <w:r w:rsidRPr="00CE5E68">
        <w:rPr>
          <w:rFonts w:ascii="Times New Roman" w:hAnsi="Times New Roman"/>
          <w:lang w:val="fr-BE"/>
        </w:rPr>
        <w:t> 178/2002 relatif à la législation alimentaire générale, à savoir établir les bases afin d’assurer un haut niveau de protection de la vie et de la santé des personnes, de la santé et du bien-être des animaux, de l’environnement et des intérêts des consommateurs (</w:t>
      </w:r>
      <w:r w:rsidRPr="00CE5E68">
        <w:rPr>
          <w:rFonts w:ascii="Times New Roman" w:hAnsi="Times New Roman"/>
          <w:b/>
          <w:lang w:val="fr-BE"/>
        </w:rPr>
        <w:t>paragraphe 2</w:t>
      </w:r>
      <w:r w:rsidRPr="00CE5E68">
        <w:rPr>
          <w:rFonts w:ascii="Times New Roman" w:hAnsi="Times New Roman"/>
          <w:lang w:val="fr-BE"/>
        </w:rPr>
        <w:t>), et qu'il va donc au-delà des compétences d’exécution prévues par le présent règlement (</w:t>
      </w:r>
      <w:r w:rsidRPr="00CE5E68">
        <w:rPr>
          <w:rFonts w:ascii="Times New Roman" w:hAnsi="Times New Roman"/>
          <w:b/>
          <w:lang w:val="fr-BE"/>
        </w:rPr>
        <w:t>paragraphe 1</w:t>
      </w:r>
      <w:r w:rsidRPr="00CE5E68">
        <w:rPr>
          <w:rFonts w:ascii="Times New Roman" w:hAnsi="Times New Roman"/>
          <w:lang w:val="fr-BE"/>
        </w:rPr>
        <w:t>).</w:t>
      </w:r>
    </w:p>
    <w:p w:rsidR="00CE5E68" w:rsidRPr="00CE5E68" w:rsidRDefault="00CE5E68" w:rsidP="00CE5E68">
      <w:pPr>
        <w:spacing w:after="120"/>
        <w:rPr>
          <w:rFonts w:ascii="Times New Roman" w:hAnsi="Times New Roman"/>
          <w:szCs w:val="24"/>
          <w:lang w:val="fr-BE"/>
        </w:rPr>
      </w:pPr>
      <w:r w:rsidRPr="00CE5E68">
        <w:rPr>
          <w:rFonts w:ascii="Times New Roman" w:hAnsi="Times New Roman"/>
          <w:lang w:val="fr-BE"/>
        </w:rPr>
        <w:t>La résolution invite la Commission à proposer un nouveau projet de règlement (</w:t>
      </w:r>
      <w:r w:rsidRPr="00CE5E68">
        <w:rPr>
          <w:rFonts w:ascii="Times New Roman" w:hAnsi="Times New Roman"/>
          <w:b/>
          <w:lang w:val="fr-BE"/>
        </w:rPr>
        <w:t>paragraphe 3</w:t>
      </w:r>
      <w:r w:rsidRPr="00CE5E68">
        <w:rPr>
          <w:rFonts w:ascii="Times New Roman" w:hAnsi="Times New Roman"/>
          <w:lang w:val="fr-BE"/>
        </w:rPr>
        <w:t>) imposant des conditions particulières à l’importation de denrées alimentaires et d’aliments pour animaux provenant du Japon, à revoir à la baisse les niveaux maximaux de césium pour les denrées alimentaires et les aliments pour animaux (</w:t>
      </w:r>
      <w:r w:rsidRPr="00CE5E68">
        <w:rPr>
          <w:rFonts w:ascii="Times New Roman" w:hAnsi="Times New Roman"/>
          <w:b/>
          <w:lang w:val="fr-BE"/>
        </w:rPr>
        <w:t>paragraphe 4</w:t>
      </w:r>
      <w:r w:rsidRPr="00CE5E68">
        <w:rPr>
          <w:rFonts w:ascii="Times New Roman" w:hAnsi="Times New Roman"/>
          <w:lang w:val="fr-BE"/>
        </w:rPr>
        <w:t>), à mettre en place, dans l’intervalle, des mesures d’urgence (</w:t>
      </w:r>
      <w:r w:rsidRPr="00CE5E68">
        <w:rPr>
          <w:rFonts w:ascii="Times New Roman" w:hAnsi="Times New Roman"/>
          <w:b/>
          <w:lang w:val="fr-BE"/>
        </w:rPr>
        <w:t>paragraphe 5</w:t>
      </w:r>
      <w:r w:rsidRPr="00CE5E68">
        <w:rPr>
          <w:rFonts w:ascii="Times New Roman" w:hAnsi="Times New Roman"/>
          <w:lang w:val="fr-BE"/>
        </w:rPr>
        <w:t>), à mettre à la disposition du public l’analyse des données sur laquelle le projet de règlement est fondé (</w:t>
      </w:r>
      <w:r w:rsidRPr="00CE5E68">
        <w:rPr>
          <w:rFonts w:ascii="Times New Roman" w:hAnsi="Times New Roman"/>
          <w:b/>
          <w:lang w:val="fr-BE"/>
        </w:rPr>
        <w:t>paragraphe 6</w:t>
      </w:r>
      <w:r w:rsidRPr="00CE5E68">
        <w:rPr>
          <w:rFonts w:ascii="Times New Roman" w:hAnsi="Times New Roman"/>
          <w:lang w:val="fr-BE"/>
        </w:rPr>
        <w:t>) et à fournir une description actualisée de la situation radiologique au Japon (</w:t>
      </w:r>
      <w:r w:rsidRPr="00CE5E68">
        <w:rPr>
          <w:rFonts w:ascii="Times New Roman" w:hAnsi="Times New Roman"/>
          <w:b/>
          <w:lang w:val="fr-BE"/>
        </w:rPr>
        <w:t>paragraphe 7</w:t>
      </w:r>
      <w:r w:rsidRPr="00CE5E68">
        <w:rPr>
          <w:rFonts w:ascii="Times New Roman" w:hAnsi="Times New Roman"/>
          <w:lang w:val="fr-BE"/>
        </w:rPr>
        <w:t>).</w:t>
      </w:r>
    </w:p>
    <w:p w:rsidR="00CE5E68" w:rsidRPr="00CE5E68" w:rsidRDefault="00CE5E68" w:rsidP="00CE5E68">
      <w:pPr>
        <w:spacing w:after="120"/>
        <w:rPr>
          <w:rFonts w:ascii="Times New Roman" w:hAnsi="Times New Roman"/>
          <w:szCs w:val="24"/>
          <w:lang w:val="fr-BE"/>
        </w:rPr>
      </w:pPr>
      <w:r w:rsidRPr="00CE5E68">
        <w:rPr>
          <w:rFonts w:ascii="Times New Roman" w:hAnsi="Times New Roman"/>
          <w:lang w:val="fr-BE"/>
        </w:rPr>
        <w:t>La résolution rappelle que les assouplissements proposés pourraient entraîner une augmentation de l’exposition à des aliments contaminés radioactifs avec les incidences qui en découlent sur la santé humaine (</w:t>
      </w:r>
      <w:r w:rsidRPr="00CE5E68">
        <w:rPr>
          <w:rFonts w:ascii="Times New Roman" w:hAnsi="Times New Roman"/>
          <w:b/>
          <w:lang w:val="fr-BE"/>
        </w:rPr>
        <w:t>considérant G</w:t>
      </w:r>
      <w:r w:rsidRPr="00CE5E68">
        <w:rPr>
          <w:rFonts w:ascii="Times New Roman" w:hAnsi="Times New Roman"/>
          <w:lang w:val="fr-BE"/>
        </w:rPr>
        <w:t>) et qu’aucune analyse détaillée n’a été fournie pour les assouplissements proposés (</w:t>
      </w:r>
      <w:r w:rsidRPr="00CE5E68">
        <w:rPr>
          <w:rFonts w:ascii="Times New Roman" w:hAnsi="Times New Roman"/>
          <w:b/>
          <w:lang w:val="fr-BE"/>
        </w:rPr>
        <w:t>considérants E et F</w:t>
      </w:r>
      <w:r w:rsidRPr="00CE5E68">
        <w:rPr>
          <w:rFonts w:ascii="Times New Roman" w:hAnsi="Times New Roman"/>
          <w:lang w:val="fr-BE"/>
        </w:rPr>
        <w:t>). Par conséquent, les assouplissements proposés sont considérés comme injustifiés (</w:t>
      </w:r>
      <w:r w:rsidRPr="00CE5E68">
        <w:rPr>
          <w:rFonts w:ascii="Times New Roman" w:hAnsi="Times New Roman"/>
          <w:b/>
          <w:lang w:val="fr-BE"/>
        </w:rPr>
        <w:t>considérants A, I, J, K, L, M, N, O et P</w:t>
      </w:r>
      <w:r w:rsidRPr="00CE5E68">
        <w:rPr>
          <w:rFonts w:ascii="Times New Roman" w:hAnsi="Times New Roman"/>
          <w:lang w:val="fr-BE"/>
        </w:rPr>
        <w:t xml:space="preserve">). Il est fait référence à la demande de Tokyo Electric Power </w:t>
      </w:r>
      <w:proofErr w:type="spellStart"/>
      <w:r w:rsidRPr="00CE5E68">
        <w:rPr>
          <w:rFonts w:ascii="Times New Roman" w:hAnsi="Times New Roman"/>
          <w:lang w:val="fr-BE"/>
        </w:rPr>
        <w:t>Company</w:t>
      </w:r>
      <w:proofErr w:type="spellEnd"/>
      <w:r w:rsidRPr="00CE5E68">
        <w:rPr>
          <w:rFonts w:ascii="Times New Roman" w:hAnsi="Times New Roman"/>
          <w:lang w:val="fr-BE"/>
        </w:rPr>
        <w:t xml:space="preserve"> (TEPCO) de déverser dans l’océan Pacifique un million de tonnes d’eau hautement contaminée et aux incidences négatives que cela pourrait avoir sur la sécurité des produits de la pêche (</w:t>
      </w:r>
      <w:r w:rsidRPr="00CE5E68">
        <w:rPr>
          <w:rFonts w:ascii="Times New Roman" w:hAnsi="Times New Roman"/>
          <w:b/>
          <w:lang w:val="fr-BE"/>
        </w:rPr>
        <w:t>considérant H</w:t>
      </w:r>
      <w:r w:rsidRPr="00CE5E68">
        <w:rPr>
          <w:rFonts w:ascii="Times New Roman" w:hAnsi="Times New Roman"/>
          <w:lang w:val="fr-BE"/>
        </w:rPr>
        <w:t>).</w:t>
      </w:r>
    </w:p>
    <w:p w:rsidR="00CE5E68" w:rsidRPr="00CE5E68" w:rsidRDefault="00CE5E68" w:rsidP="00CE5E68">
      <w:pPr>
        <w:spacing w:after="120"/>
        <w:rPr>
          <w:rFonts w:ascii="Times New Roman" w:hAnsi="Times New Roman"/>
          <w:szCs w:val="24"/>
          <w:lang w:val="fr-BE"/>
        </w:rPr>
      </w:pPr>
      <w:r w:rsidRPr="00CE5E68">
        <w:rPr>
          <w:rFonts w:ascii="Times New Roman" w:hAnsi="Times New Roman"/>
          <w:lang w:val="fr-BE"/>
        </w:rPr>
        <w:t>En outre, il est considéré que les niveaux maximaux de césium-134 et de césium-137 prévus à l’annexe I sont restés inchangés depuis 2012 et devraient donc être réduits (</w:t>
      </w:r>
      <w:r w:rsidRPr="00CE5E68">
        <w:rPr>
          <w:rFonts w:ascii="Times New Roman" w:hAnsi="Times New Roman"/>
          <w:b/>
          <w:lang w:val="fr-BE"/>
        </w:rPr>
        <w:t>considérants D, Q, R et S</w:t>
      </w:r>
      <w:r w:rsidRPr="00CE5E68">
        <w:rPr>
          <w:rFonts w:ascii="Times New Roman" w:hAnsi="Times New Roman"/>
          <w:lang w:val="fr-BE"/>
        </w:rPr>
        <w:t>).</w:t>
      </w:r>
    </w:p>
    <w:p w:rsidR="00CE5E68" w:rsidRPr="00CE5E68" w:rsidRDefault="00CE5E68" w:rsidP="00CE5E68">
      <w:pPr>
        <w:spacing w:after="120"/>
        <w:rPr>
          <w:rFonts w:ascii="Times New Roman" w:hAnsi="Times New Roman"/>
          <w:szCs w:val="24"/>
          <w:lang w:val="fr-BE"/>
        </w:rPr>
      </w:pPr>
      <w:r w:rsidRPr="00CE5E68">
        <w:rPr>
          <w:rFonts w:ascii="Times New Roman" w:hAnsi="Times New Roman"/>
          <w:lang w:val="fr-BE"/>
        </w:rPr>
        <w:t>Le Parlement européen considère également qu’il convient de maintenir une fréquence élevée des contrôles à l’importation et considère que tous les résultats d’analyse doivent être communiqués par l’intermédiaire du système d’alerte rapide pour les denrées alimentaires et les aliments pour animaux (RASFF) (</w:t>
      </w:r>
      <w:r w:rsidRPr="00CE5E68">
        <w:rPr>
          <w:rFonts w:ascii="Times New Roman" w:hAnsi="Times New Roman"/>
          <w:b/>
          <w:lang w:val="fr-BE"/>
        </w:rPr>
        <w:t>considérants B et C</w:t>
      </w:r>
      <w:r w:rsidRPr="00CE5E68">
        <w:rPr>
          <w:rFonts w:ascii="Times New Roman" w:hAnsi="Times New Roman"/>
          <w:lang w:val="fr-BE"/>
        </w:rPr>
        <w:t>).</w:t>
      </w:r>
    </w:p>
    <w:p w:rsidR="00CE5E68" w:rsidRPr="00CE5E68" w:rsidRDefault="00CE5E68" w:rsidP="00CE5E68">
      <w:pPr>
        <w:spacing w:before="240"/>
        <w:ind w:left="567" w:hanging="567"/>
        <w:rPr>
          <w:rFonts w:ascii="Times New Roman" w:hAnsi="Times New Roman"/>
          <w:b/>
          <w:color w:val="000000"/>
          <w:szCs w:val="24"/>
          <w:lang w:val="fr-BE"/>
        </w:rPr>
      </w:pPr>
      <w:r w:rsidRPr="00CE5E68">
        <w:rPr>
          <w:rFonts w:ascii="Times New Roman" w:hAnsi="Times New Roman"/>
          <w:b/>
          <w:color w:val="000000"/>
          <w:lang w:val="fr-BE"/>
        </w:rPr>
        <w:t>7.</w:t>
      </w:r>
      <w:r w:rsidRPr="00CE5E68">
        <w:rPr>
          <w:rFonts w:ascii="Times New Roman" w:hAnsi="Times New Roman"/>
          <w:lang w:val="fr-BE"/>
        </w:rPr>
        <w:tab/>
      </w:r>
      <w:r w:rsidRPr="00CE5E68">
        <w:rPr>
          <w:rFonts w:ascii="Times New Roman" w:hAnsi="Times New Roman"/>
          <w:b/>
          <w:color w:val="000000"/>
          <w:lang w:val="fr-BE"/>
        </w:rPr>
        <w:t xml:space="preserve">Réponses </w:t>
      </w:r>
      <w:r w:rsidRPr="00CE5E68">
        <w:rPr>
          <w:rFonts w:ascii="Times New Roman" w:hAnsi="Times New Roman"/>
          <w:b/>
          <w:lang w:val="fr-BE"/>
        </w:rPr>
        <w:t>aux demandes du Parlement européen et aperçu des mesures que la Commission a prises ou envisage de prendre:</w:t>
      </w:r>
    </w:p>
    <w:p w:rsidR="00CE5E68" w:rsidRPr="00CE5E68" w:rsidRDefault="00CE5E68" w:rsidP="00CE5E68">
      <w:pPr>
        <w:spacing w:after="120"/>
        <w:rPr>
          <w:rFonts w:ascii="Times New Roman" w:eastAsia="Calibri" w:hAnsi="Times New Roman"/>
          <w:szCs w:val="24"/>
          <w:lang w:val="fr-BE"/>
        </w:rPr>
      </w:pPr>
      <w:r w:rsidRPr="00CE5E68">
        <w:rPr>
          <w:rFonts w:ascii="Times New Roman" w:hAnsi="Times New Roman"/>
          <w:lang w:val="fr-BE"/>
        </w:rPr>
        <w:t xml:space="preserve">En ce qui concerne les </w:t>
      </w:r>
      <w:r w:rsidRPr="00CE5E68">
        <w:rPr>
          <w:rFonts w:ascii="Times New Roman" w:hAnsi="Times New Roman"/>
          <w:b/>
          <w:lang w:val="fr-BE"/>
        </w:rPr>
        <w:t>paragraphes 1 et 2</w:t>
      </w:r>
      <w:r w:rsidRPr="00CE5E68">
        <w:rPr>
          <w:rFonts w:ascii="Times New Roman" w:hAnsi="Times New Roman"/>
          <w:lang w:val="fr-BE"/>
        </w:rPr>
        <w:t xml:space="preserve"> de la résolution, la Commission tient à souligner que le projet de règlement présenté a été traité conformément aux étapes des procédures énoncées dans le règlement (UE) n</w:t>
      </w:r>
      <w:r w:rsidRPr="00CE5E68">
        <w:rPr>
          <w:rFonts w:ascii="Times New Roman" w:hAnsi="Times New Roman"/>
          <w:vertAlign w:val="superscript"/>
          <w:lang w:val="fr-BE"/>
        </w:rPr>
        <w:t>o</w:t>
      </w:r>
      <w:r w:rsidRPr="00CE5E68">
        <w:rPr>
          <w:rFonts w:ascii="Times New Roman" w:hAnsi="Times New Roman"/>
          <w:lang w:val="fr-BE"/>
        </w:rPr>
        <w:t> 182/2011 relatif à la comitologie et le règlement (CE) n</w:t>
      </w:r>
      <w:r w:rsidRPr="00CE5E68">
        <w:rPr>
          <w:rFonts w:ascii="Times New Roman" w:hAnsi="Times New Roman"/>
          <w:vertAlign w:val="superscript"/>
          <w:lang w:val="fr-BE"/>
        </w:rPr>
        <w:t>o</w:t>
      </w:r>
      <w:r w:rsidRPr="00CE5E68">
        <w:rPr>
          <w:rFonts w:ascii="Times New Roman" w:hAnsi="Times New Roman"/>
          <w:lang w:val="fr-BE"/>
        </w:rPr>
        <w:t> 178/2002 établissant les principes généraux et les prescriptions générales de la législation alimentaire, comme illustré ci-dessous:</w:t>
      </w:r>
    </w:p>
    <w:p w:rsidR="00CE5E68" w:rsidRPr="00CE5E68" w:rsidRDefault="00CE5E68" w:rsidP="00CE5E68">
      <w:pPr>
        <w:numPr>
          <w:ilvl w:val="0"/>
          <w:numId w:val="36"/>
        </w:numPr>
        <w:spacing w:after="120"/>
        <w:ind w:left="567" w:hanging="567"/>
        <w:rPr>
          <w:rFonts w:ascii="Times New Roman" w:hAnsi="Times New Roman"/>
          <w:szCs w:val="24"/>
          <w:lang w:val="fr-BE"/>
        </w:rPr>
      </w:pPr>
      <w:r w:rsidRPr="00CE5E68">
        <w:rPr>
          <w:rFonts w:ascii="Times New Roman" w:hAnsi="Times New Roman"/>
          <w:lang w:val="fr-BE"/>
        </w:rPr>
        <w:t>les modifications à apporter au règlement d’exécution (UE) 2016/6 sont proposées à la suite d’une analyse détaillée des données existantes, comme indiqué ci-dessous;</w:t>
      </w:r>
    </w:p>
    <w:p w:rsidR="00CE5E68" w:rsidRPr="00CE5E68" w:rsidRDefault="00CE5E68" w:rsidP="00CE5E68">
      <w:pPr>
        <w:numPr>
          <w:ilvl w:val="0"/>
          <w:numId w:val="36"/>
        </w:numPr>
        <w:spacing w:after="120"/>
        <w:ind w:left="567" w:hanging="567"/>
        <w:rPr>
          <w:rFonts w:ascii="Times New Roman" w:hAnsi="Times New Roman"/>
          <w:szCs w:val="24"/>
          <w:lang w:val="fr-BE"/>
        </w:rPr>
      </w:pPr>
      <w:r w:rsidRPr="00CE5E68">
        <w:rPr>
          <w:rFonts w:ascii="Times New Roman" w:hAnsi="Times New Roman"/>
          <w:lang w:val="fr-BE"/>
        </w:rPr>
        <w:t>le projet de règlement a été discuté et voté le 25 septembre 2017 au sein du comité permanent et a reçu un avis favorable, puisqu’une majorité qualifiée s’est dégagée en faveur du projet de règlement;</w:t>
      </w:r>
    </w:p>
    <w:p w:rsidR="00CE5E68" w:rsidRPr="00CE5E68" w:rsidRDefault="00CE5E68" w:rsidP="00CE5E68">
      <w:pPr>
        <w:numPr>
          <w:ilvl w:val="0"/>
          <w:numId w:val="36"/>
        </w:numPr>
        <w:spacing w:after="120"/>
        <w:ind w:left="567" w:hanging="567"/>
        <w:rPr>
          <w:rFonts w:ascii="Times New Roman" w:hAnsi="Times New Roman"/>
          <w:szCs w:val="24"/>
          <w:lang w:val="fr-BE"/>
        </w:rPr>
      </w:pPr>
      <w:r w:rsidRPr="00CE5E68">
        <w:rPr>
          <w:rFonts w:ascii="Times New Roman" w:hAnsi="Times New Roman"/>
          <w:lang w:val="fr-BE"/>
        </w:rPr>
        <w:t>conformément aux règles établies dans le règlement (UE) n</w:t>
      </w:r>
      <w:r w:rsidRPr="00CE5E68">
        <w:rPr>
          <w:rFonts w:ascii="Times New Roman" w:hAnsi="Times New Roman"/>
          <w:vertAlign w:val="superscript"/>
          <w:lang w:val="fr-BE"/>
        </w:rPr>
        <w:t>o</w:t>
      </w:r>
      <w:r w:rsidRPr="00CE5E68">
        <w:rPr>
          <w:rFonts w:ascii="Times New Roman" w:hAnsi="Times New Roman"/>
          <w:lang w:val="fr-BE"/>
        </w:rPr>
        <w:t> 182/2011 relatif à la comitologie, la Commission a adopté le projet de règlement du 10 novembre 2017.</w:t>
      </w:r>
    </w:p>
    <w:p w:rsidR="00CE5E68" w:rsidRPr="00CE5E68" w:rsidRDefault="00CE5E68" w:rsidP="00CE5E68">
      <w:pPr>
        <w:spacing w:after="120"/>
        <w:rPr>
          <w:rFonts w:ascii="Times New Roman" w:hAnsi="Times New Roman"/>
          <w:szCs w:val="24"/>
          <w:lang w:val="fr-BE"/>
        </w:rPr>
      </w:pPr>
      <w:r w:rsidRPr="00CE5E68">
        <w:rPr>
          <w:rFonts w:ascii="Times New Roman" w:hAnsi="Times New Roman"/>
          <w:lang w:val="fr-BE"/>
        </w:rPr>
        <w:t>En outre, la mesure relative aux conditions particulières à l’importation après l’accident nucléaire de Fukushima a déjà été mise à jour 13 fois ces dernières années en fonction de l’évolution de la base factuelle. Le fait qu’aucun cas de non-conformité n’ait été détecté indique que les ajustements apportés aux mesures d’urgence pertinentes garantissent un niveau élevé de protection de la santé tout en respectant le principe de proportionnalité.</w:t>
      </w:r>
    </w:p>
    <w:p w:rsidR="00CE5E68" w:rsidRPr="00CE5E68" w:rsidRDefault="00CE5E68" w:rsidP="00CE5E68">
      <w:pPr>
        <w:spacing w:after="120"/>
        <w:rPr>
          <w:rFonts w:ascii="Times New Roman" w:hAnsi="Times New Roman"/>
          <w:szCs w:val="24"/>
          <w:lang w:val="fr-BE"/>
        </w:rPr>
      </w:pPr>
      <w:r w:rsidRPr="00CE5E68">
        <w:rPr>
          <w:rFonts w:ascii="Times New Roman" w:hAnsi="Times New Roman"/>
          <w:lang w:val="fr-BE"/>
        </w:rPr>
        <w:t>La Commission considère donc qu’en agissant conformément aux conditions énoncées à l’article 53, paragraphe 1, point b) ii), du règlement (CE) n</w:t>
      </w:r>
      <w:r w:rsidRPr="00CE5E68">
        <w:rPr>
          <w:rFonts w:ascii="Times New Roman" w:hAnsi="Times New Roman"/>
          <w:vertAlign w:val="superscript"/>
          <w:lang w:val="fr-BE"/>
        </w:rPr>
        <w:t>o</w:t>
      </w:r>
      <w:r w:rsidRPr="00CE5E68">
        <w:rPr>
          <w:rFonts w:ascii="Times New Roman" w:hAnsi="Times New Roman"/>
          <w:lang w:val="fr-BE"/>
        </w:rPr>
        <w:t> 178/2002 et aux procédures visées à l’article 58, paragraphe 2, dudit règlement, elle ne va pas au-delà de ses compétences d’exécution.</w:t>
      </w:r>
    </w:p>
    <w:p w:rsidR="00CE5E68" w:rsidRPr="00CE5E68" w:rsidRDefault="00CE5E68" w:rsidP="00CE5E68">
      <w:pPr>
        <w:spacing w:after="120"/>
        <w:rPr>
          <w:rFonts w:ascii="Times New Roman" w:hAnsi="Times New Roman"/>
          <w:szCs w:val="24"/>
          <w:lang w:val="fr-BE"/>
        </w:rPr>
      </w:pPr>
      <w:r w:rsidRPr="00CE5E68">
        <w:rPr>
          <w:rFonts w:ascii="Times New Roman" w:hAnsi="Times New Roman"/>
          <w:lang w:val="fr-BE"/>
        </w:rPr>
        <w:t>Lors de la réunion de la commission de l’environnement, de la santé publique et de la sécurité alimentaire du Parlement européen du 7 septembre 2017, la Commission a longuement expliqué l’état d’avancement de la procédure et en quoi elle n’était pas allée au-delà de ses compétences d’exécution.</w:t>
      </w:r>
    </w:p>
    <w:p w:rsidR="00CE5E68" w:rsidRPr="00CE5E68" w:rsidRDefault="00CE5E68" w:rsidP="00CE5E68">
      <w:pPr>
        <w:spacing w:after="120"/>
        <w:rPr>
          <w:rFonts w:ascii="Times New Roman" w:hAnsi="Times New Roman"/>
          <w:szCs w:val="24"/>
          <w:lang w:val="fr-BE"/>
        </w:rPr>
      </w:pPr>
      <w:r w:rsidRPr="00CE5E68">
        <w:rPr>
          <w:rFonts w:ascii="Times New Roman" w:hAnsi="Times New Roman"/>
          <w:lang w:val="fr-BE"/>
        </w:rPr>
        <w:t>Dans ce contexte, la Commission souhaite également noter que le projet de règlement a été publié sur le portail «Mieux légiférer» de la Commission le 5 juillet 2017 pour une consultation de quatre semaines, mais qu’aucune observation n’a été formulée.</w:t>
      </w:r>
    </w:p>
    <w:p w:rsidR="00CE5E68" w:rsidRPr="00CE5E68" w:rsidRDefault="00CE5E68" w:rsidP="00CE5E68">
      <w:pPr>
        <w:pStyle w:val="NormalWeb"/>
        <w:spacing w:before="0" w:beforeAutospacing="0" w:after="120" w:afterAutospacing="0"/>
        <w:jc w:val="both"/>
        <w:rPr>
          <w:bCs/>
          <w:lang w:val="fr-BE"/>
        </w:rPr>
      </w:pPr>
      <w:r w:rsidRPr="00CE5E68">
        <w:rPr>
          <w:lang w:val="fr-BE"/>
        </w:rPr>
        <w:t>En outre, la Commission continue de surveiller la situation en vérifiant régulièrement les résultats d’analyse des contrôles effectués par les autorités japonaises et les résultats des contrôles à l’importation et, si nécessaire, proposerait sans tarder de nouvelles mesures d’urgence garantissant un niveau élevé de protection de la santé.</w:t>
      </w:r>
    </w:p>
    <w:p w:rsidR="00CE5E68" w:rsidRPr="00CE5E68" w:rsidRDefault="00CE5E68" w:rsidP="00CE5E68">
      <w:pPr>
        <w:spacing w:after="120"/>
        <w:rPr>
          <w:rFonts w:ascii="Times New Roman" w:hAnsi="Times New Roman"/>
          <w:szCs w:val="24"/>
          <w:lang w:val="fr-BE"/>
        </w:rPr>
      </w:pPr>
      <w:r w:rsidRPr="00CE5E68">
        <w:rPr>
          <w:rFonts w:ascii="Times New Roman" w:hAnsi="Times New Roman"/>
          <w:lang w:val="fr-BE"/>
        </w:rPr>
        <w:t xml:space="preserve">Il s’ensuit qu’il n’y a pas de raison de retirer le règlement d’exécution de la Commission comme demandé au </w:t>
      </w:r>
      <w:r w:rsidRPr="00CE5E68">
        <w:rPr>
          <w:rFonts w:ascii="Times New Roman" w:hAnsi="Times New Roman"/>
          <w:b/>
          <w:lang w:val="fr-BE"/>
        </w:rPr>
        <w:t>paragraphe 3</w:t>
      </w:r>
      <w:r w:rsidRPr="00CE5E68">
        <w:rPr>
          <w:rFonts w:ascii="Times New Roman" w:hAnsi="Times New Roman"/>
          <w:lang w:val="fr-BE"/>
        </w:rPr>
        <w:t xml:space="preserve"> et de soumettre un nouveau projet comme indiqué aux </w:t>
      </w:r>
      <w:r w:rsidRPr="00CE5E68">
        <w:rPr>
          <w:rFonts w:ascii="Times New Roman" w:hAnsi="Times New Roman"/>
          <w:b/>
          <w:lang w:val="fr-BE"/>
        </w:rPr>
        <w:t>paragraphes 3, 4 et 5</w:t>
      </w:r>
      <w:r w:rsidRPr="00CE5E68">
        <w:rPr>
          <w:rFonts w:ascii="Times New Roman" w:hAnsi="Times New Roman"/>
          <w:lang w:val="fr-BE"/>
        </w:rPr>
        <w:t xml:space="preserve"> de la résolution.</w:t>
      </w:r>
    </w:p>
    <w:p w:rsidR="00CE5E68" w:rsidRPr="00CE5E68" w:rsidRDefault="00CE5E68" w:rsidP="00CE5E68">
      <w:pPr>
        <w:pStyle w:val="NormalWeb"/>
        <w:spacing w:before="0" w:beforeAutospacing="0" w:after="120" w:afterAutospacing="0"/>
        <w:jc w:val="both"/>
        <w:rPr>
          <w:lang w:val="fr-BE"/>
        </w:rPr>
      </w:pPr>
      <w:r w:rsidRPr="00CE5E68">
        <w:rPr>
          <w:lang w:val="fr-BE"/>
        </w:rPr>
        <w:t xml:space="preserve">En ce qui concerne les </w:t>
      </w:r>
      <w:r w:rsidRPr="00CE5E68">
        <w:rPr>
          <w:b/>
          <w:lang w:val="fr-BE"/>
        </w:rPr>
        <w:t>autres dispositions de la résolution</w:t>
      </w:r>
      <w:r w:rsidRPr="00CE5E68">
        <w:rPr>
          <w:lang w:val="fr-BE"/>
        </w:rPr>
        <w:t>, la Commission estime qu’elles ne relèvent pas du droit de regard qui se limite à la question de savoir si la mesure va au-delà des compétences d’exécution conférées par l’acte législatif de base ou n’est pas conforme au droit de l’Union.</w:t>
      </w:r>
    </w:p>
    <w:p w:rsidR="00CE5E68" w:rsidRPr="00CE5E68" w:rsidRDefault="00CE5E68" w:rsidP="00CE5E68">
      <w:pPr>
        <w:pStyle w:val="NormalWeb"/>
        <w:spacing w:before="0" w:beforeAutospacing="0" w:after="120" w:afterAutospacing="0"/>
        <w:jc w:val="both"/>
        <w:rPr>
          <w:lang w:val="fr-BE"/>
        </w:rPr>
      </w:pPr>
      <w:r w:rsidRPr="00CE5E68">
        <w:rPr>
          <w:lang w:val="fr-BE"/>
        </w:rPr>
        <w:t>Néanmoins, la Commission a examiné avec attention les autres informations fournies par le Parlement européen, au sujet desquelles elle souhaite formuler les remarques suivantes:</w:t>
      </w:r>
    </w:p>
    <w:p w:rsidR="00CE5E68" w:rsidRPr="00CE5E68" w:rsidRDefault="00CE5E68" w:rsidP="00CE5E68">
      <w:pPr>
        <w:spacing w:after="120"/>
        <w:rPr>
          <w:rFonts w:ascii="Times New Roman" w:hAnsi="Times New Roman"/>
          <w:szCs w:val="24"/>
          <w:lang w:val="fr-BE"/>
        </w:rPr>
      </w:pPr>
      <w:r w:rsidRPr="00CE5E68">
        <w:rPr>
          <w:rFonts w:ascii="Times New Roman" w:hAnsi="Times New Roman"/>
          <w:lang w:val="fr-BE"/>
        </w:rPr>
        <w:t>À la suite de l’incident survenu en mars 2011 dans la centrale nucléaire de Fukushima, l’UE a pris des mesures restrictives concernant l’importation de denrées alimentaires et d’aliments pour animaux en provenance du Japon en raison d’une éventuelle contamination radioactive, de manière à garantir un niveau élevé de protection de la santé humaine.</w:t>
      </w:r>
    </w:p>
    <w:p w:rsidR="00CE5E68" w:rsidRPr="00CE5E68" w:rsidRDefault="00CE5E68" w:rsidP="00CE5E68">
      <w:pPr>
        <w:spacing w:after="120"/>
        <w:rPr>
          <w:rFonts w:ascii="Times New Roman" w:eastAsia="Calibri" w:hAnsi="Times New Roman"/>
          <w:szCs w:val="24"/>
          <w:lang w:val="fr-BE"/>
        </w:rPr>
      </w:pPr>
      <w:r w:rsidRPr="00CE5E68">
        <w:rPr>
          <w:rFonts w:ascii="Times New Roman" w:hAnsi="Times New Roman"/>
          <w:lang w:val="fr-BE"/>
        </w:rPr>
        <w:t>Les autorités japonaises effectuent des contrôles étendus sur leur production agricole afin de détecter la présence de radioactivité (césium-134 et césium-137). Les résultats d’analyse individuels concernant la présence de radioactivité qui émanent de ces contrôles (plus de 300 000 échantillons analysés chaque année depuis l’accident survenu en 2011) sont rendus publics et régulièrement mis à jour. Des informations actualisées sur la concentration de radioactivité sont également disponibles sur le site web de l’Autorité japonaise de régulation nucléaire (ARN).</w:t>
      </w:r>
    </w:p>
    <w:p w:rsidR="00CE5E68" w:rsidRPr="00CE5E68" w:rsidRDefault="00CE5E68" w:rsidP="00CE5E68">
      <w:pPr>
        <w:spacing w:after="120"/>
        <w:rPr>
          <w:rFonts w:ascii="Times New Roman" w:hAnsi="Times New Roman"/>
          <w:szCs w:val="24"/>
          <w:lang w:val="fr-BE"/>
        </w:rPr>
      </w:pPr>
      <w:r w:rsidRPr="00CE5E68">
        <w:rPr>
          <w:rFonts w:ascii="Times New Roman" w:hAnsi="Times New Roman"/>
          <w:lang w:val="fr-BE"/>
        </w:rPr>
        <w:t>La Commission n’a proposé des assouplissements concernant les modifications ultérieures apportées à ces mesures qu’après un examen attentif des données des contrôles étendus fournies par les autorités japonaises et du résultat des contrôles à l’importation effectués par les autorités compétentes des États membres.</w:t>
      </w:r>
    </w:p>
    <w:p w:rsidR="00CE5E68" w:rsidRPr="00CE5E68" w:rsidRDefault="00CE5E68" w:rsidP="00CE5E68">
      <w:pPr>
        <w:spacing w:after="120"/>
        <w:rPr>
          <w:rFonts w:ascii="Times New Roman" w:hAnsi="Times New Roman"/>
          <w:szCs w:val="24"/>
          <w:lang w:val="fr-BE"/>
        </w:rPr>
      </w:pPr>
      <w:r w:rsidRPr="00CE5E68">
        <w:rPr>
          <w:rFonts w:ascii="Times New Roman" w:hAnsi="Times New Roman"/>
          <w:lang w:val="fr-BE"/>
        </w:rPr>
        <w:t>La Commission applique des critères stricts lorsqu’elle examine la possibilité que les autorités japonaises ne soient plus tenues de procéder à des tests préliminaires avant l’exportation d’une denrée alimentaire ou d’un aliment pour animaux provenant d’une préfecture donnée.</w:t>
      </w:r>
    </w:p>
    <w:p w:rsidR="00CE5E68" w:rsidRPr="00CE5E68" w:rsidRDefault="00CE5E68" w:rsidP="00CE5E68">
      <w:pPr>
        <w:spacing w:after="120"/>
        <w:rPr>
          <w:rFonts w:ascii="Times New Roman" w:hAnsi="Times New Roman"/>
          <w:szCs w:val="24"/>
          <w:lang w:val="fr-BE"/>
        </w:rPr>
      </w:pPr>
      <w:r w:rsidRPr="00CE5E68">
        <w:rPr>
          <w:rFonts w:ascii="Times New Roman" w:hAnsi="Times New Roman"/>
          <w:lang w:val="fr-BE"/>
        </w:rPr>
        <w:t>Il est possible de proposer que des tests préliminaires ne soient plus nécessaires avant l’importation afin de vérifier la conformité d’une denrée alimentaire ou d’un aliment pour animaux provenant d’une préfecture donnée, uniquement si aucun cas de non-conformité avec les niveaux stricts applicables au Japon n’a été détecté pour cette denrée alimentaire ou cet aliment pour animaux au cours de l’année écoulée, et ceci à condition que des résultats d’analyse suffisants soient disponibles. Pour la préfecture de Fukushima, une approche plus prudente est suivie, et les denrées alimentaires ou les aliments pour animaux provenant de cette préfecture ne doivent plus faire l’objet des tests préliminaires si aucun cas de non-conformité n’a été détecté au cours des deux années précédentes et à condition que des données suffisantes soient disponibles.</w:t>
      </w:r>
    </w:p>
    <w:p w:rsidR="00CE5E68" w:rsidRPr="00CE5E68" w:rsidRDefault="00CE5E68" w:rsidP="00CE5E68">
      <w:pPr>
        <w:spacing w:after="120"/>
        <w:rPr>
          <w:rFonts w:ascii="Times New Roman" w:hAnsi="Times New Roman"/>
          <w:szCs w:val="24"/>
          <w:lang w:val="fr-BE"/>
        </w:rPr>
      </w:pPr>
      <w:r w:rsidRPr="00CE5E68">
        <w:rPr>
          <w:rFonts w:ascii="Times New Roman" w:hAnsi="Times New Roman"/>
          <w:lang w:val="fr-BE"/>
        </w:rPr>
        <w:t xml:space="preserve">Une justification détaillée des modifications qu'il est proposé d'apporter au règlement d’exécution (UE) 2016/6 de la Commission a été adressée le 26 septembre 2017 à Madame et Monsieur les députés du Parlement européen, Mme </w:t>
      </w:r>
      <w:proofErr w:type="spellStart"/>
      <w:r w:rsidRPr="00CE5E68">
        <w:rPr>
          <w:rFonts w:ascii="Times New Roman" w:hAnsi="Times New Roman"/>
          <w:lang w:val="fr-BE"/>
        </w:rPr>
        <w:t>Rivasi</w:t>
      </w:r>
      <w:proofErr w:type="spellEnd"/>
      <w:r w:rsidRPr="00CE5E68">
        <w:rPr>
          <w:rFonts w:ascii="Times New Roman" w:hAnsi="Times New Roman"/>
          <w:lang w:val="fr-BE"/>
        </w:rPr>
        <w:t xml:space="preserve"> et M. Turmes, à leur demande.</w:t>
      </w:r>
    </w:p>
    <w:p w:rsidR="00CE5E68" w:rsidRPr="00CE5E68" w:rsidRDefault="00CE5E68" w:rsidP="00CE5E68">
      <w:pPr>
        <w:spacing w:after="120"/>
        <w:rPr>
          <w:rFonts w:ascii="Times New Roman" w:hAnsi="Times New Roman"/>
          <w:szCs w:val="24"/>
          <w:lang w:val="fr-BE"/>
        </w:rPr>
      </w:pPr>
      <w:r w:rsidRPr="00CE5E68">
        <w:rPr>
          <w:rFonts w:ascii="Times New Roman" w:hAnsi="Times New Roman"/>
          <w:lang w:val="fr-BE"/>
        </w:rPr>
        <w:t>Pour le contrôle de la radioactivité, il convient d’appliquer dans l’UE les mêmes niveaux maximaux de radionucléides dans les aliments pour animaux et les denrées alimentaires provenant du Japon que les seuils d’intervention applicables au Japon, tant qu’ils sont inférieurs aux valeurs de l’UE. Étant donné que les niveaux maximaux établis pour le césium-134 et le césium-137 dans le règlement d’exécution (UE) 2016/6 sont inférieurs aux niveaux maximaux établis par le règlement (Euratom) 2016/52, qui s’appliqueraient en cas d’urgence nucléaire dans l’UE, il n’y a pas lieu de les réviser.</w:t>
      </w:r>
    </w:p>
    <w:p w:rsidR="00CE5E68" w:rsidRPr="00CE5E68" w:rsidRDefault="00CE5E68" w:rsidP="00CE5E68">
      <w:pPr>
        <w:spacing w:after="120"/>
        <w:rPr>
          <w:rFonts w:ascii="Times New Roman" w:hAnsi="Times New Roman"/>
          <w:szCs w:val="24"/>
          <w:lang w:val="fr-BE"/>
        </w:rPr>
      </w:pPr>
      <w:r w:rsidRPr="00CE5E68">
        <w:rPr>
          <w:rFonts w:ascii="Times New Roman" w:hAnsi="Times New Roman"/>
          <w:lang w:val="fr-BE"/>
        </w:rPr>
        <w:t>Il convient de noter que les seuils maximaux applicables au Japon [c.-à-d. pour le césium-134 et le césium-137, 50 becquerels (Bq) pour les aliments pour nourrissons et enfants en bas âge et le lait et les produits laitiers et 100 Bq pour les autres aliments], qui s’appliquent également dans l’UE uniquement pour l’importation d’aliments pour animaux et de denrées alimentaires provenant du Japon, sont beaucoup plus stricts que les seuils maximaux établis par le règlement (CE) n</w:t>
      </w:r>
      <w:r w:rsidRPr="00CE5E68">
        <w:rPr>
          <w:rFonts w:ascii="Times New Roman" w:hAnsi="Times New Roman"/>
          <w:vertAlign w:val="superscript"/>
          <w:lang w:val="fr-BE"/>
        </w:rPr>
        <w:t>o</w:t>
      </w:r>
      <w:r w:rsidRPr="00CE5E68">
        <w:rPr>
          <w:rFonts w:ascii="Times New Roman" w:hAnsi="Times New Roman"/>
          <w:lang w:val="fr-BE"/>
        </w:rPr>
        <w:t> 733/2008 pour les produits provenant des régions concernées par l’accident de Tchernobyl (370 Bq pour les aliments pour nourrissons et enfants en bas âge et le lait et les produits laitiers et 600 Bq pour les autres aliments) ou les seuils maximaux établis par le règlement (Euratom) 2016/52 (400 Bq pour les aliments pour nourrissons, 1 000 Bq pour les produits laitiers et 1 250 Bq pour les autres aliments).</w:t>
      </w:r>
    </w:p>
    <w:p w:rsidR="00CE5E68" w:rsidRPr="00CE5E68" w:rsidRDefault="00CE5E68" w:rsidP="00CE5E68">
      <w:pPr>
        <w:spacing w:after="120"/>
        <w:rPr>
          <w:rFonts w:ascii="Times New Roman" w:hAnsi="Times New Roman"/>
          <w:szCs w:val="24"/>
          <w:lang w:val="fr-BE"/>
        </w:rPr>
      </w:pPr>
      <w:r w:rsidRPr="00CE5E68">
        <w:rPr>
          <w:rFonts w:ascii="Times New Roman" w:hAnsi="Times New Roman"/>
          <w:lang w:val="fr-BE"/>
        </w:rPr>
        <w:t>Par conséquent, les niveaux maximaux applicables aux importations d’aliments pour animaux et de denrées alimentaires provenant du Japon garantissent un niveau très élevé de protection de la santé humaine.</w:t>
      </w:r>
    </w:p>
    <w:p w:rsidR="00CE5E68" w:rsidRPr="00CE5E68" w:rsidRDefault="00CE5E68" w:rsidP="00CE5E68">
      <w:pPr>
        <w:spacing w:after="120"/>
        <w:rPr>
          <w:rFonts w:ascii="Times New Roman" w:hAnsi="Times New Roman"/>
          <w:szCs w:val="24"/>
          <w:lang w:val="fr-BE"/>
        </w:rPr>
      </w:pPr>
      <w:r w:rsidRPr="00CE5E68">
        <w:rPr>
          <w:rFonts w:ascii="Times New Roman" w:hAnsi="Times New Roman"/>
          <w:lang w:val="fr-BE"/>
        </w:rPr>
        <w:t>Les autorités compétentes des États membres ont effectué et continuent d’effectuer des contrôles concernant la présence de radioactivité dans les denrées alimentaires et les aliments pour animaux importés du Japon. Aucun cas de non-conformité aux niveaux maximaux stricts prévus pour les denrées alimentaires et aliments pour animaux importés du Japon n’a été observé depuis juin 2011.</w:t>
      </w:r>
    </w:p>
    <w:p w:rsidR="00CE5E68" w:rsidRPr="00CE5E68" w:rsidRDefault="00CE5E68" w:rsidP="00CE5E68">
      <w:pPr>
        <w:spacing w:after="120"/>
        <w:rPr>
          <w:rFonts w:ascii="Times New Roman" w:hAnsi="Times New Roman"/>
          <w:szCs w:val="24"/>
          <w:lang w:val="fr-BE"/>
        </w:rPr>
      </w:pPr>
      <w:r w:rsidRPr="00CE5E68">
        <w:rPr>
          <w:rFonts w:ascii="Times New Roman" w:hAnsi="Times New Roman"/>
          <w:lang w:val="fr-BE"/>
        </w:rPr>
        <w:t xml:space="preserve">La Commission continue à suivre l’évolution de la situation. En outre, les autorités japonaises ont confirmé n’avoir reçu aucune demande de la part de Tokyo Electric Power </w:t>
      </w:r>
      <w:proofErr w:type="spellStart"/>
      <w:r w:rsidRPr="00CE5E68">
        <w:rPr>
          <w:rFonts w:ascii="Times New Roman" w:hAnsi="Times New Roman"/>
          <w:lang w:val="fr-BE"/>
        </w:rPr>
        <w:t>Company</w:t>
      </w:r>
      <w:proofErr w:type="spellEnd"/>
      <w:r w:rsidRPr="00CE5E68">
        <w:rPr>
          <w:rFonts w:ascii="Times New Roman" w:hAnsi="Times New Roman"/>
          <w:lang w:val="fr-BE"/>
        </w:rPr>
        <w:t xml:space="preserve"> (TEPCO) tendant à rejeter de l’eau contaminée dans l’océan Pacifique. Néanmoins, la Commission suivra attentivement toute évolution à cet égard.</w:t>
      </w:r>
    </w:p>
    <w:p w:rsidR="000710F2" w:rsidRPr="00CE5E68" w:rsidRDefault="00CE5E68" w:rsidP="00F213E2">
      <w:pPr>
        <w:spacing w:after="120"/>
        <w:rPr>
          <w:rFonts w:ascii="Times New Roman" w:hAnsi="Times New Roman"/>
          <w:color w:val="000000"/>
          <w:szCs w:val="24"/>
          <w:highlight w:val="yellow"/>
          <w:u w:val="single"/>
          <w:lang w:val="fr-BE"/>
        </w:rPr>
      </w:pPr>
      <w:r w:rsidRPr="00CE5E68">
        <w:rPr>
          <w:rFonts w:ascii="Times New Roman" w:hAnsi="Times New Roman"/>
          <w:lang w:val="fr-BE"/>
        </w:rPr>
        <w:t>En conclusion, la Commission est d’avis qu’avec l’application de critères stricts et la disponibilité de données détaillées, tel qu’expliqué ci-dessus, le projet de règlement continue de garantir un niveau très élevé de protection de la santé humaine.</w:t>
      </w:r>
      <w:bookmarkStart w:id="0" w:name="_GoBack"/>
      <w:bookmarkEnd w:id="0"/>
    </w:p>
    <w:sectPr w:rsidR="000710F2" w:rsidRPr="00CE5E68" w:rsidSect="0059197A">
      <w:footerReference w:type="even" r:id="rId9"/>
      <w:footerReference w:type="default" r:id="rId10"/>
      <w:footnotePr>
        <w:numRestart w:val="eachSect"/>
      </w:footnotePr>
      <w:pgSz w:w="11906" w:h="16838" w:code="9"/>
      <w:pgMar w:top="1021" w:right="1416" w:bottom="1021" w:left="1588" w:header="601"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916" w:rsidRDefault="00102916">
      <w:r>
        <w:separator/>
      </w:r>
    </w:p>
  </w:endnote>
  <w:endnote w:type="continuationSeparator" w:id="0">
    <w:p w:rsidR="00102916" w:rsidRDefault="0010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A00002BF" w:usb1="500000D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066" w:rsidRDefault="005F2066"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rsidR="005F2066" w:rsidRDefault="005F20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066" w:rsidRDefault="005F2066"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66C9">
      <w:rPr>
        <w:rStyle w:val="PageNumber"/>
        <w:noProof/>
      </w:rPr>
      <w:t>2</w:t>
    </w:r>
    <w:r>
      <w:rPr>
        <w:rStyle w:val="PageNumber"/>
      </w:rPr>
      <w:fldChar w:fldCharType="end"/>
    </w:r>
  </w:p>
  <w:p w:rsidR="005F2066" w:rsidRPr="008A6623" w:rsidRDefault="005F2066" w:rsidP="008A6623">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916" w:rsidRDefault="00102916">
      <w:r>
        <w:separator/>
      </w:r>
    </w:p>
  </w:footnote>
  <w:footnote w:type="continuationSeparator" w:id="0">
    <w:p w:rsidR="00102916" w:rsidRDefault="001029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4">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5">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6">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AB41521"/>
    <w:multiLevelType w:val="hybridMultilevel"/>
    <w:tmpl w:val="9E98C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9A6A9E"/>
    <w:multiLevelType w:val="hybridMultilevel"/>
    <w:tmpl w:val="FCA2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347BC7"/>
    <w:multiLevelType w:val="hybridMultilevel"/>
    <w:tmpl w:val="8E9696BC"/>
    <w:lvl w:ilvl="0" w:tplc="812854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3">
    <w:nsid w:val="33F155FB"/>
    <w:multiLevelType w:val="hybridMultilevel"/>
    <w:tmpl w:val="03F42A1C"/>
    <w:lvl w:ilvl="0" w:tplc="010A3310">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4420A3A"/>
    <w:multiLevelType w:val="hybridMultilevel"/>
    <w:tmpl w:val="29BEB162"/>
    <w:styleLink w:val="ImportedStyle1"/>
    <w:lvl w:ilvl="0" w:tplc="85A242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F49AB4">
      <w:start w:val="1"/>
      <w:numFmt w:val="decimal"/>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16727E">
      <w:start w:val="1"/>
      <w:numFmt w:val="lowerRoman"/>
      <w:lvlText w:val="%3."/>
      <w:lvlJc w:val="left"/>
      <w:pPr>
        <w:ind w:left="2084"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B8F8B962">
      <w:start w:val="1"/>
      <w:numFmt w:val="decimal"/>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7AB0D6">
      <w:start w:val="1"/>
      <w:numFmt w:val="lowerLetter"/>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627AB6">
      <w:start w:val="1"/>
      <w:numFmt w:val="lowerRoman"/>
      <w:lvlText w:val="%6."/>
      <w:lvlJc w:val="left"/>
      <w:pPr>
        <w:ind w:left="4244"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242ACF7A">
      <w:start w:val="1"/>
      <w:numFmt w:val="decimal"/>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0099F0">
      <w:start w:val="1"/>
      <w:numFmt w:val="lowerLetter"/>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A8AD36">
      <w:start w:val="1"/>
      <w:numFmt w:val="lowerRoman"/>
      <w:lvlText w:val="%9."/>
      <w:lvlJc w:val="left"/>
      <w:pPr>
        <w:ind w:left="6404"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51C31D0"/>
    <w:multiLevelType w:val="hybridMultilevel"/>
    <w:tmpl w:val="B776B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8">
    <w:nsid w:val="380E3EE1"/>
    <w:multiLevelType w:val="multilevel"/>
    <w:tmpl w:val="E4201C6C"/>
    <w:styleLink w:val="WWNum1"/>
    <w:lvl w:ilvl="0">
      <w:start w:val="1"/>
      <w:numFmt w:val="decimal"/>
      <w:lvlText w:val="%1)"/>
      <w:lvlJc w:val="left"/>
      <w:rPr>
        <w:b/>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3D15C6C"/>
    <w:multiLevelType w:val="hybridMultilevel"/>
    <w:tmpl w:val="64FEC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2">
    <w:nsid w:val="539659C2"/>
    <w:multiLevelType w:val="hybridMultilevel"/>
    <w:tmpl w:val="9C48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45F7C02"/>
    <w:multiLevelType w:val="hybridMultilevel"/>
    <w:tmpl w:val="C036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6722A22"/>
    <w:multiLevelType w:val="hybridMultilevel"/>
    <w:tmpl w:val="0CA6B74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nsid w:val="57273EDD"/>
    <w:multiLevelType w:val="hybridMultilevel"/>
    <w:tmpl w:val="A68A6D68"/>
    <w:lvl w:ilvl="0" w:tplc="812854BA">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8">
    <w:nsid w:val="5C3073F9"/>
    <w:multiLevelType w:val="hybridMultilevel"/>
    <w:tmpl w:val="DA8A5DBE"/>
    <w:lvl w:ilvl="0" w:tplc="010A3310">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2">
    <w:nsid w:val="722F3587"/>
    <w:multiLevelType w:val="hybridMultilevel"/>
    <w:tmpl w:val="714AA2B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nsid w:val="73E55960"/>
    <w:multiLevelType w:val="hybridMultilevel"/>
    <w:tmpl w:val="A688325E"/>
    <w:lvl w:ilvl="0" w:tplc="010A3310">
      <w:numFmt w:val="bullet"/>
      <w:lvlText w:val="-"/>
      <w:lvlJc w:val="left"/>
      <w:pPr>
        <w:ind w:left="1080" w:hanging="360"/>
      </w:pPr>
      <w:rPr>
        <w:rFonts w:ascii="Times New Roman" w:eastAsia="Times New Roman" w:hAnsi="Times New Roman" w:cs="Times New Roman"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6">
    <w:nsid w:val="77763FEB"/>
    <w:multiLevelType w:val="hybridMultilevel"/>
    <w:tmpl w:val="4E14CE8E"/>
    <w:lvl w:ilvl="0" w:tplc="63C28CF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8">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9">
    <w:nsid w:val="7ADE74FF"/>
    <w:multiLevelType w:val="hybridMultilevel"/>
    <w:tmpl w:val="5E426CAE"/>
    <w:styleLink w:val="ImportedStyle2"/>
    <w:lvl w:ilvl="0" w:tplc="ECC4CA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8632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CC60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22D6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A04A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DCEF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6E59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A4A7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284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nsid w:val="7ECB7708"/>
    <w:multiLevelType w:val="singleLevel"/>
    <w:tmpl w:val="5EA8E34C"/>
    <w:lvl w:ilvl="0">
      <w:start w:val="1"/>
      <w:numFmt w:val="decimal"/>
      <w:pStyle w:val="ATHeading1"/>
      <w:lvlText w:val="%1."/>
      <w:lvlJc w:val="left"/>
      <w:pPr>
        <w:tabs>
          <w:tab w:val="num" w:pos="360"/>
        </w:tabs>
        <w:ind w:left="360" w:hanging="360"/>
      </w:pPr>
    </w:lvl>
  </w:abstractNum>
  <w:num w:numId="1">
    <w:abstractNumId w:val="5"/>
  </w:num>
  <w:num w:numId="2">
    <w:abstractNumId w:val="1"/>
  </w:num>
  <w:num w:numId="3">
    <w:abstractNumId w:val="38"/>
  </w:num>
  <w:num w:numId="4">
    <w:abstractNumId w:val="12"/>
  </w:num>
  <w:num w:numId="5">
    <w:abstractNumId w:val="31"/>
  </w:num>
  <w:num w:numId="6">
    <w:abstractNumId w:val="9"/>
  </w:num>
  <w:num w:numId="7">
    <w:abstractNumId w:val="4"/>
  </w:num>
  <w:num w:numId="8">
    <w:abstractNumId w:val="17"/>
  </w:num>
  <w:num w:numId="9">
    <w:abstractNumId w:val="37"/>
  </w:num>
  <w:num w:numId="10">
    <w:abstractNumId w:val="27"/>
  </w:num>
  <w:num w:numId="11">
    <w:abstractNumId w:val="29"/>
  </w:num>
  <w:num w:numId="12">
    <w:abstractNumId w:val="10"/>
  </w:num>
  <w:num w:numId="13">
    <w:abstractNumId w:val="19"/>
  </w:num>
  <w:num w:numId="14">
    <w:abstractNumId w:val="34"/>
  </w:num>
  <w:num w:numId="15">
    <w:abstractNumId w:val="15"/>
  </w:num>
  <w:num w:numId="16">
    <w:abstractNumId w:val="40"/>
  </w:num>
  <w:num w:numId="17">
    <w:abstractNumId w:val="35"/>
  </w:num>
  <w:num w:numId="18">
    <w:abstractNumId w:val="21"/>
  </w:num>
  <w:num w:numId="19">
    <w:abstractNumId w:val="26"/>
  </w:num>
  <w:num w:numId="20">
    <w:abstractNumId w:val="30"/>
  </w:num>
  <w:num w:numId="21">
    <w:abstractNumId w:val="2"/>
  </w:num>
  <w:num w:numId="22">
    <w:abstractNumId w:val="3"/>
  </w:num>
  <w:num w:numId="23">
    <w:abstractNumId w:val="14"/>
  </w:num>
  <w:num w:numId="24">
    <w:abstractNumId w:val="39"/>
  </w:num>
  <w:num w:numId="25">
    <w:abstractNumId w:val="18"/>
  </w:num>
  <w:num w:numId="26">
    <w:abstractNumId w:val="13"/>
  </w:num>
  <w:num w:numId="27">
    <w:abstractNumId w:val="33"/>
  </w:num>
  <w:num w:numId="28">
    <w:abstractNumId w:val="32"/>
  </w:num>
  <w:num w:numId="29">
    <w:abstractNumId w:val="23"/>
  </w:num>
  <w:num w:numId="30">
    <w:abstractNumId w:val="20"/>
  </w:num>
  <w:num w:numId="31">
    <w:abstractNumId w:val="11"/>
  </w:num>
  <w:num w:numId="32">
    <w:abstractNumId w:val="25"/>
  </w:num>
  <w:num w:numId="33">
    <w:abstractNumId w:val="24"/>
  </w:num>
  <w:num w:numId="34">
    <w:abstractNumId w:val="8"/>
  </w:num>
  <w:num w:numId="35">
    <w:abstractNumId w:val="7"/>
  </w:num>
  <w:num w:numId="36">
    <w:abstractNumId w:val="28"/>
  </w:num>
  <w:num w:numId="37">
    <w:abstractNumId w:val="36"/>
  </w:num>
  <w:num w:numId="38">
    <w:abstractNumId w:val="16"/>
  </w:num>
  <w:num w:numId="39">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809"/>
    <w:rsid w:val="00002CF6"/>
    <w:rsid w:val="000031B6"/>
    <w:rsid w:val="00003423"/>
    <w:rsid w:val="00003511"/>
    <w:rsid w:val="00003652"/>
    <w:rsid w:val="00003862"/>
    <w:rsid w:val="00003930"/>
    <w:rsid w:val="00003C85"/>
    <w:rsid w:val="00004288"/>
    <w:rsid w:val="0000450D"/>
    <w:rsid w:val="000046C1"/>
    <w:rsid w:val="000048D8"/>
    <w:rsid w:val="00004C3F"/>
    <w:rsid w:val="0000525F"/>
    <w:rsid w:val="000054A7"/>
    <w:rsid w:val="00005541"/>
    <w:rsid w:val="000058C9"/>
    <w:rsid w:val="00005961"/>
    <w:rsid w:val="00005D46"/>
    <w:rsid w:val="00005DE3"/>
    <w:rsid w:val="00006129"/>
    <w:rsid w:val="0000613E"/>
    <w:rsid w:val="00006304"/>
    <w:rsid w:val="0000679D"/>
    <w:rsid w:val="000068F7"/>
    <w:rsid w:val="00006942"/>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92D"/>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ABB"/>
    <w:rsid w:val="00016C72"/>
    <w:rsid w:val="000170C1"/>
    <w:rsid w:val="00017265"/>
    <w:rsid w:val="0001730F"/>
    <w:rsid w:val="00017430"/>
    <w:rsid w:val="000174AF"/>
    <w:rsid w:val="0001776A"/>
    <w:rsid w:val="00017883"/>
    <w:rsid w:val="00017A67"/>
    <w:rsid w:val="00017AA9"/>
    <w:rsid w:val="00017C25"/>
    <w:rsid w:val="00017F27"/>
    <w:rsid w:val="00017F3D"/>
    <w:rsid w:val="00020718"/>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2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21"/>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9B"/>
    <w:rsid w:val="000372EF"/>
    <w:rsid w:val="0003737B"/>
    <w:rsid w:val="0003745C"/>
    <w:rsid w:val="0003758E"/>
    <w:rsid w:val="000375BA"/>
    <w:rsid w:val="00037990"/>
    <w:rsid w:val="00040060"/>
    <w:rsid w:val="00040281"/>
    <w:rsid w:val="00040A13"/>
    <w:rsid w:val="00040C7A"/>
    <w:rsid w:val="00040E6E"/>
    <w:rsid w:val="0004105D"/>
    <w:rsid w:val="0004146E"/>
    <w:rsid w:val="000414BC"/>
    <w:rsid w:val="0004189C"/>
    <w:rsid w:val="0004193F"/>
    <w:rsid w:val="0004195A"/>
    <w:rsid w:val="00041A87"/>
    <w:rsid w:val="00041DA3"/>
    <w:rsid w:val="00041E18"/>
    <w:rsid w:val="00041E47"/>
    <w:rsid w:val="00041F1F"/>
    <w:rsid w:val="0004209B"/>
    <w:rsid w:val="000420DB"/>
    <w:rsid w:val="000421A1"/>
    <w:rsid w:val="00042508"/>
    <w:rsid w:val="00042A8B"/>
    <w:rsid w:val="00042F4E"/>
    <w:rsid w:val="000434BD"/>
    <w:rsid w:val="000436A8"/>
    <w:rsid w:val="00043B7B"/>
    <w:rsid w:val="00043C04"/>
    <w:rsid w:val="00043DF2"/>
    <w:rsid w:val="00043E36"/>
    <w:rsid w:val="000443C3"/>
    <w:rsid w:val="0004455F"/>
    <w:rsid w:val="00044806"/>
    <w:rsid w:val="00044A42"/>
    <w:rsid w:val="00044AB8"/>
    <w:rsid w:val="000451E9"/>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45A"/>
    <w:rsid w:val="00051E3C"/>
    <w:rsid w:val="000520B1"/>
    <w:rsid w:val="00052241"/>
    <w:rsid w:val="00052672"/>
    <w:rsid w:val="00052814"/>
    <w:rsid w:val="000529E9"/>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A4F"/>
    <w:rsid w:val="00062BE7"/>
    <w:rsid w:val="00063101"/>
    <w:rsid w:val="00063857"/>
    <w:rsid w:val="0006396A"/>
    <w:rsid w:val="00063A60"/>
    <w:rsid w:val="00063AEF"/>
    <w:rsid w:val="00063B1D"/>
    <w:rsid w:val="00063C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9C9"/>
    <w:rsid w:val="00066D35"/>
    <w:rsid w:val="00067155"/>
    <w:rsid w:val="00067567"/>
    <w:rsid w:val="00067C33"/>
    <w:rsid w:val="00067FB5"/>
    <w:rsid w:val="000703CB"/>
    <w:rsid w:val="000703FE"/>
    <w:rsid w:val="000705DD"/>
    <w:rsid w:val="000706D4"/>
    <w:rsid w:val="000710F2"/>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A36"/>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D5"/>
    <w:rsid w:val="000807AE"/>
    <w:rsid w:val="000807B5"/>
    <w:rsid w:val="00080B91"/>
    <w:rsid w:val="00080CE2"/>
    <w:rsid w:val="00080F35"/>
    <w:rsid w:val="00080FE0"/>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B71"/>
    <w:rsid w:val="00084D1E"/>
    <w:rsid w:val="00084DFB"/>
    <w:rsid w:val="0008526A"/>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2D0"/>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471"/>
    <w:rsid w:val="000B16FC"/>
    <w:rsid w:val="000B1845"/>
    <w:rsid w:val="000B1B92"/>
    <w:rsid w:val="000B1CA5"/>
    <w:rsid w:val="000B23FD"/>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0FB"/>
    <w:rsid w:val="000B54AE"/>
    <w:rsid w:val="000B58B6"/>
    <w:rsid w:val="000B595A"/>
    <w:rsid w:val="000B5C5B"/>
    <w:rsid w:val="000B5FF0"/>
    <w:rsid w:val="000B607D"/>
    <w:rsid w:val="000B6139"/>
    <w:rsid w:val="000B61F1"/>
    <w:rsid w:val="000B641A"/>
    <w:rsid w:val="000B64EA"/>
    <w:rsid w:val="000B66DF"/>
    <w:rsid w:val="000B67EE"/>
    <w:rsid w:val="000B6A5E"/>
    <w:rsid w:val="000B70BC"/>
    <w:rsid w:val="000B739A"/>
    <w:rsid w:val="000B73B7"/>
    <w:rsid w:val="000B7631"/>
    <w:rsid w:val="000B776B"/>
    <w:rsid w:val="000B7A33"/>
    <w:rsid w:val="000B7AF5"/>
    <w:rsid w:val="000B7B36"/>
    <w:rsid w:val="000B7E1C"/>
    <w:rsid w:val="000B7E37"/>
    <w:rsid w:val="000C0100"/>
    <w:rsid w:val="000C027E"/>
    <w:rsid w:val="000C0681"/>
    <w:rsid w:val="000C0999"/>
    <w:rsid w:val="000C0DFF"/>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61AB"/>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DF"/>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D8D"/>
    <w:rsid w:val="000F5F64"/>
    <w:rsid w:val="000F63D5"/>
    <w:rsid w:val="000F6650"/>
    <w:rsid w:val="000F6A90"/>
    <w:rsid w:val="000F6C35"/>
    <w:rsid w:val="000F6E53"/>
    <w:rsid w:val="000F7126"/>
    <w:rsid w:val="000F7275"/>
    <w:rsid w:val="000F75D3"/>
    <w:rsid w:val="000F77FE"/>
    <w:rsid w:val="000F7AFB"/>
    <w:rsid w:val="000F7BB0"/>
    <w:rsid w:val="000F7CDA"/>
    <w:rsid w:val="000F7CE9"/>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9A"/>
    <w:rsid w:val="00101ED4"/>
    <w:rsid w:val="001020E1"/>
    <w:rsid w:val="001021D2"/>
    <w:rsid w:val="00102311"/>
    <w:rsid w:val="0010247B"/>
    <w:rsid w:val="001026A3"/>
    <w:rsid w:val="001028DE"/>
    <w:rsid w:val="00102916"/>
    <w:rsid w:val="00102CB5"/>
    <w:rsid w:val="00102E26"/>
    <w:rsid w:val="00102F10"/>
    <w:rsid w:val="00102FEA"/>
    <w:rsid w:val="00103293"/>
    <w:rsid w:val="001033A4"/>
    <w:rsid w:val="00103442"/>
    <w:rsid w:val="001035F6"/>
    <w:rsid w:val="0010374F"/>
    <w:rsid w:val="00103959"/>
    <w:rsid w:val="00103CCA"/>
    <w:rsid w:val="00103DE9"/>
    <w:rsid w:val="00103FA7"/>
    <w:rsid w:val="0010416B"/>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AFE"/>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E34"/>
    <w:rsid w:val="00120E8D"/>
    <w:rsid w:val="00120FCD"/>
    <w:rsid w:val="0012121E"/>
    <w:rsid w:val="00121335"/>
    <w:rsid w:val="00121382"/>
    <w:rsid w:val="00121541"/>
    <w:rsid w:val="00121865"/>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27DD0"/>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B77"/>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2"/>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96A"/>
    <w:rsid w:val="00143061"/>
    <w:rsid w:val="00143335"/>
    <w:rsid w:val="00143391"/>
    <w:rsid w:val="001438FC"/>
    <w:rsid w:val="00143ACC"/>
    <w:rsid w:val="00143DDE"/>
    <w:rsid w:val="00143F3D"/>
    <w:rsid w:val="0014413D"/>
    <w:rsid w:val="00144AD5"/>
    <w:rsid w:val="00145505"/>
    <w:rsid w:val="00145AB8"/>
    <w:rsid w:val="00145BBD"/>
    <w:rsid w:val="00145D7D"/>
    <w:rsid w:val="001463CA"/>
    <w:rsid w:val="00146572"/>
    <w:rsid w:val="00146752"/>
    <w:rsid w:val="0014708A"/>
    <w:rsid w:val="00147197"/>
    <w:rsid w:val="001476D4"/>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248"/>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B1"/>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3A4"/>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EA9"/>
    <w:rsid w:val="00193FA0"/>
    <w:rsid w:val="0019484D"/>
    <w:rsid w:val="00194A0F"/>
    <w:rsid w:val="00194B51"/>
    <w:rsid w:val="00195512"/>
    <w:rsid w:val="001958B1"/>
    <w:rsid w:val="00196088"/>
    <w:rsid w:val="001962D1"/>
    <w:rsid w:val="00196902"/>
    <w:rsid w:val="00196BE4"/>
    <w:rsid w:val="00196CC1"/>
    <w:rsid w:val="001970C6"/>
    <w:rsid w:val="00197294"/>
    <w:rsid w:val="00197522"/>
    <w:rsid w:val="001976A1"/>
    <w:rsid w:val="0019786E"/>
    <w:rsid w:val="00197A06"/>
    <w:rsid w:val="00197A47"/>
    <w:rsid w:val="001A01B9"/>
    <w:rsid w:val="001A02EB"/>
    <w:rsid w:val="001A0303"/>
    <w:rsid w:val="001A031B"/>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3205"/>
    <w:rsid w:val="001A332F"/>
    <w:rsid w:val="001A3653"/>
    <w:rsid w:val="001A3A1C"/>
    <w:rsid w:val="001A3A62"/>
    <w:rsid w:val="001A3C4B"/>
    <w:rsid w:val="001A4016"/>
    <w:rsid w:val="001A4259"/>
    <w:rsid w:val="001A446E"/>
    <w:rsid w:val="001A45AB"/>
    <w:rsid w:val="001A4C2D"/>
    <w:rsid w:val="001A4CFE"/>
    <w:rsid w:val="001A4D24"/>
    <w:rsid w:val="001A4FE4"/>
    <w:rsid w:val="001A5720"/>
    <w:rsid w:val="001A58FB"/>
    <w:rsid w:val="001A59BE"/>
    <w:rsid w:val="001A5EB0"/>
    <w:rsid w:val="001A5EFC"/>
    <w:rsid w:val="001A5FC1"/>
    <w:rsid w:val="001A602A"/>
    <w:rsid w:val="001A61A3"/>
    <w:rsid w:val="001A63A1"/>
    <w:rsid w:val="001A63A2"/>
    <w:rsid w:val="001A65C7"/>
    <w:rsid w:val="001A6768"/>
    <w:rsid w:val="001A6852"/>
    <w:rsid w:val="001A68DD"/>
    <w:rsid w:val="001A695B"/>
    <w:rsid w:val="001A6974"/>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A9"/>
    <w:rsid w:val="001B0ADD"/>
    <w:rsid w:val="001B0FAC"/>
    <w:rsid w:val="001B100D"/>
    <w:rsid w:val="001B1034"/>
    <w:rsid w:val="001B1499"/>
    <w:rsid w:val="001B15A6"/>
    <w:rsid w:val="001B17DA"/>
    <w:rsid w:val="001B1A64"/>
    <w:rsid w:val="001B1B45"/>
    <w:rsid w:val="001B1BC5"/>
    <w:rsid w:val="001B1C3B"/>
    <w:rsid w:val="001B1C41"/>
    <w:rsid w:val="001B1CD7"/>
    <w:rsid w:val="001B21C6"/>
    <w:rsid w:val="001B296B"/>
    <w:rsid w:val="001B2A14"/>
    <w:rsid w:val="001B2A6E"/>
    <w:rsid w:val="001B31D0"/>
    <w:rsid w:val="001B31FB"/>
    <w:rsid w:val="001B35F9"/>
    <w:rsid w:val="001B3705"/>
    <w:rsid w:val="001B3734"/>
    <w:rsid w:val="001B3A7C"/>
    <w:rsid w:val="001B3EB5"/>
    <w:rsid w:val="001B400F"/>
    <w:rsid w:val="001B4075"/>
    <w:rsid w:val="001B42A3"/>
    <w:rsid w:val="001B43E8"/>
    <w:rsid w:val="001B4508"/>
    <w:rsid w:val="001B459A"/>
    <w:rsid w:val="001B4A50"/>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31A"/>
    <w:rsid w:val="001B76B5"/>
    <w:rsid w:val="001B7802"/>
    <w:rsid w:val="001B7D87"/>
    <w:rsid w:val="001B7E7B"/>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4B6"/>
    <w:rsid w:val="001C25DA"/>
    <w:rsid w:val="001C2668"/>
    <w:rsid w:val="001C2D6D"/>
    <w:rsid w:val="001C2EEF"/>
    <w:rsid w:val="001C31B9"/>
    <w:rsid w:val="001C3321"/>
    <w:rsid w:val="001C394A"/>
    <w:rsid w:val="001C3D04"/>
    <w:rsid w:val="001C3EC5"/>
    <w:rsid w:val="001C4737"/>
    <w:rsid w:val="001C4833"/>
    <w:rsid w:val="001C48DA"/>
    <w:rsid w:val="001C4A99"/>
    <w:rsid w:val="001C580F"/>
    <w:rsid w:val="001C58C0"/>
    <w:rsid w:val="001C5C8A"/>
    <w:rsid w:val="001C6197"/>
    <w:rsid w:val="001C680C"/>
    <w:rsid w:val="001C68EB"/>
    <w:rsid w:val="001C6B35"/>
    <w:rsid w:val="001C6E36"/>
    <w:rsid w:val="001C6ECF"/>
    <w:rsid w:val="001C7433"/>
    <w:rsid w:val="001C77DB"/>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B"/>
    <w:rsid w:val="001D585C"/>
    <w:rsid w:val="001D5903"/>
    <w:rsid w:val="001D595B"/>
    <w:rsid w:val="001D59BC"/>
    <w:rsid w:val="001D5B41"/>
    <w:rsid w:val="001D5C65"/>
    <w:rsid w:val="001D5D1B"/>
    <w:rsid w:val="001D670F"/>
    <w:rsid w:val="001D68FE"/>
    <w:rsid w:val="001D6923"/>
    <w:rsid w:val="001D6C21"/>
    <w:rsid w:val="001D6C8E"/>
    <w:rsid w:val="001D6DC1"/>
    <w:rsid w:val="001D72EF"/>
    <w:rsid w:val="001D7541"/>
    <w:rsid w:val="001D7715"/>
    <w:rsid w:val="001E0259"/>
    <w:rsid w:val="001E035B"/>
    <w:rsid w:val="001E03CE"/>
    <w:rsid w:val="001E0A98"/>
    <w:rsid w:val="001E0B9A"/>
    <w:rsid w:val="001E0C41"/>
    <w:rsid w:val="001E0CEF"/>
    <w:rsid w:val="001E0D12"/>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3F"/>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B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775"/>
    <w:rsid w:val="001F4A26"/>
    <w:rsid w:val="001F4BD7"/>
    <w:rsid w:val="001F4C53"/>
    <w:rsid w:val="001F4D28"/>
    <w:rsid w:val="001F4E1E"/>
    <w:rsid w:val="001F4F9A"/>
    <w:rsid w:val="001F51CB"/>
    <w:rsid w:val="001F5500"/>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A76"/>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27FA4"/>
    <w:rsid w:val="0023016B"/>
    <w:rsid w:val="00230277"/>
    <w:rsid w:val="0023029C"/>
    <w:rsid w:val="002302FC"/>
    <w:rsid w:val="002303C6"/>
    <w:rsid w:val="00230D30"/>
    <w:rsid w:val="00230DC9"/>
    <w:rsid w:val="00230E78"/>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2A3"/>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966"/>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425"/>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88B"/>
    <w:rsid w:val="00245BF1"/>
    <w:rsid w:val="00245CB3"/>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B4B"/>
    <w:rsid w:val="00251E29"/>
    <w:rsid w:val="00252029"/>
    <w:rsid w:val="00252072"/>
    <w:rsid w:val="00252528"/>
    <w:rsid w:val="00252719"/>
    <w:rsid w:val="00252890"/>
    <w:rsid w:val="00252898"/>
    <w:rsid w:val="00252CC6"/>
    <w:rsid w:val="00252F33"/>
    <w:rsid w:val="00252FE9"/>
    <w:rsid w:val="00253A58"/>
    <w:rsid w:val="00253F47"/>
    <w:rsid w:val="00253F7D"/>
    <w:rsid w:val="00253FB8"/>
    <w:rsid w:val="00254470"/>
    <w:rsid w:val="0025459C"/>
    <w:rsid w:val="002546A9"/>
    <w:rsid w:val="00254775"/>
    <w:rsid w:val="00254E58"/>
    <w:rsid w:val="00255137"/>
    <w:rsid w:val="0025526A"/>
    <w:rsid w:val="0025544B"/>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997"/>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7C1"/>
    <w:rsid w:val="0026196C"/>
    <w:rsid w:val="00261B14"/>
    <w:rsid w:val="00261C78"/>
    <w:rsid w:val="00261D2F"/>
    <w:rsid w:val="00261DD1"/>
    <w:rsid w:val="00261FEE"/>
    <w:rsid w:val="002625B1"/>
    <w:rsid w:val="002625CD"/>
    <w:rsid w:val="0026269C"/>
    <w:rsid w:val="00262AC3"/>
    <w:rsid w:val="00262ACD"/>
    <w:rsid w:val="00262BA1"/>
    <w:rsid w:val="00262DD9"/>
    <w:rsid w:val="00262EEE"/>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0C"/>
    <w:rsid w:val="00265041"/>
    <w:rsid w:val="002650E2"/>
    <w:rsid w:val="002654AF"/>
    <w:rsid w:val="002656F4"/>
    <w:rsid w:val="002658EF"/>
    <w:rsid w:val="00265BA7"/>
    <w:rsid w:val="00265CD1"/>
    <w:rsid w:val="00265FAD"/>
    <w:rsid w:val="00266140"/>
    <w:rsid w:val="0026615E"/>
    <w:rsid w:val="002664D5"/>
    <w:rsid w:val="00266567"/>
    <w:rsid w:val="00266588"/>
    <w:rsid w:val="002667CA"/>
    <w:rsid w:val="0026689A"/>
    <w:rsid w:val="002668EB"/>
    <w:rsid w:val="00266B0F"/>
    <w:rsid w:val="002671AB"/>
    <w:rsid w:val="0026730F"/>
    <w:rsid w:val="002673CC"/>
    <w:rsid w:val="00267534"/>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08D"/>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B89"/>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50E"/>
    <w:rsid w:val="0028579B"/>
    <w:rsid w:val="00285CB4"/>
    <w:rsid w:val="00285E08"/>
    <w:rsid w:val="00285E27"/>
    <w:rsid w:val="0028663E"/>
    <w:rsid w:val="0028681D"/>
    <w:rsid w:val="0028691E"/>
    <w:rsid w:val="00286980"/>
    <w:rsid w:val="00286B16"/>
    <w:rsid w:val="00286CF0"/>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CCA"/>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4EC"/>
    <w:rsid w:val="002947F7"/>
    <w:rsid w:val="00294809"/>
    <w:rsid w:val="00294A66"/>
    <w:rsid w:val="00294E6B"/>
    <w:rsid w:val="00294E7D"/>
    <w:rsid w:val="002952D8"/>
    <w:rsid w:val="00295404"/>
    <w:rsid w:val="00295489"/>
    <w:rsid w:val="002954EC"/>
    <w:rsid w:val="0029582E"/>
    <w:rsid w:val="00295995"/>
    <w:rsid w:val="00295A12"/>
    <w:rsid w:val="00295A33"/>
    <w:rsid w:val="00295B63"/>
    <w:rsid w:val="00295D26"/>
    <w:rsid w:val="00296014"/>
    <w:rsid w:val="002962E6"/>
    <w:rsid w:val="00296D2B"/>
    <w:rsid w:val="002972E1"/>
    <w:rsid w:val="00297644"/>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3A"/>
    <w:rsid w:val="002A2B61"/>
    <w:rsid w:val="002A313A"/>
    <w:rsid w:val="002A3179"/>
    <w:rsid w:val="002A3257"/>
    <w:rsid w:val="002A3292"/>
    <w:rsid w:val="002A3A49"/>
    <w:rsid w:val="002A3CFD"/>
    <w:rsid w:val="002A3DFD"/>
    <w:rsid w:val="002A3EA2"/>
    <w:rsid w:val="002A4132"/>
    <w:rsid w:val="002A4221"/>
    <w:rsid w:val="002A466C"/>
    <w:rsid w:val="002A46B9"/>
    <w:rsid w:val="002A4EA4"/>
    <w:rsid w:val="002A5068"/>
    <w:rsid w:val="002A52D1"/>
    <w:rsid w:val="002A5B34"/>
    <w:rsid w:val="002A5BCC"/>
    <w:rsid w:val="002A648C"/>
    <w:rsid w:val="002A6680"/>
    <w:rsid w:val="002A6A37"/>
    <w:rsid w:val="002A728E"/>
    <w:rsid w:val="002A7347"/>
    <w:rsid w:val="002A75AE"/>
    <w:rsid w:val="002A7744"/>
    <w:rsid w:val="002A7A3E"/>
    <w:rsid w:val="002A7B9D"/>
    <w:rsid w:val="002A7C7E"/>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01"/>
    <w:rsid w:val="002B3E4F"/>
    <w:rsid w:val="002B3F77"/>
    <w:rsid w:val="002B4078"/>
    <w:rsid w:val="002B40A0"/>
    <w:rsid w:val="002B45F9"/>
    <w:rsid w:val="002B4722"/>
    <w:rsid w:val="002B47A1"/>
    <w:rsid w:val="002B5080"/>
    <w:rsid w:val="002B534A"/>
    <w:rsid w:val="002B558F"/>
    <w:rsid w:val="002B5875"/>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E4A"/>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CDE"/>
    <w:rsid w:val="002E0F16"/>
    <w:rsid w:val="002E0FA2"/>
    <w:rsid w:val="002E13A0"/>
    <w:rsid w:val="002E185A"/>
    <w:rsid w:val="002E1C42"/>
    <w:rsid w:val="002E1E26"/>
    <w:rsid w:val="002E2748"/>
    <w:rsid w:val="002E2A70"/>
    <w:rsid w:val="002E2B77"/>
    <w:rsid w:val="002E33BF"/>
    <w:rsid w:val="002E37B5"/>
    <w:rsid w:val="002E380E"/>
    <w:rsid w:val="002E3B41"/>
    <w:rsid w:val="002E3DF0"/>
    <w:rsid w:val="002E4608"/>
    <w:rsid w:val="002E4671"/>
    <w:rsid w:val="002E4DCA"/>
    <w:rsid w:val="002E4E82"/>
    <w:rsid w:val="002E4EE2"/>
    <w:rsid w:val="002E5335"/>
    <w:rsid w:val="002E561C"/>
    <w:rsid w:val="002E5734"/>
    <w:rsid w:val="002E5811"/>
    <w:rsid w:val="002E5AF7"/>
    <w:rsid w:val="002E5CF2"/>
    <w:rsid w:val="002E5F3B"/>
    <w:rsid w:val="002E6283"/>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1017"/>
    <w:rsid w:val="002F120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88E"/>
    <w:rsid w:val="002F6B0D"/>
    <w:rsid w:val="002F6B84"/>
    <w:rsid w:val="002F6D2F"/>
    <w:rsid w:val="002F6D5F"/>
    <w:rsid w:val="002F6E8E"/>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6D3"/>
    <w:rsid w:val="0031177F"/>
    <w:rsid w:val="00311B7B"/>
    <w:rsid w:val="00311F51"/>
    <w:rsid w:val="003122E8"/>
    <w:rsid w:val="00312635"/>
    <w:rsid w:val="00312B96"/>
    <w:rsid w:val="003132F8"/>
    <w:rsid w:val="00313B7C"/>
    <w:rsid w:val="00313C32"/>
    <w:rsid w:val="00314017"/>
    <w:rsid w:val="00314034"/>
    <w:rsid w:val="00314397"/>
    <w:rsid w:val="003144BA"/>
    <w:rsid w:val="00314523"/>
    <w:rsid w:val="00314645"/>
    <w:rsid w:val="003149A3"/>
    <w:rsid w:val="00315000"/>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D0"/>
    <w:rsid w:val="00322ED9"/>
    <w:rsid w:val="00322FA3"/>
    <w:rsid w:val="00323450"/>
    <w:rsid w:val="00323BC5"/>
    <w:rsid w:val="00323BEB"/>
    <w:rsid w:val="00324673"/>
    <w:rsid w:val="00324B9B"/>
    <w:rsid w:val="00324D46"/>
    <w:rsid w:val="00324DE1"/>
    <w:rsid w:val="003250DD"/>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227C"/>
    <w:rsid w:val="003322F4"/>
    <w:rsid w:val="0033265D"/>
    <w:rsid w:val="0033272D"/>
    <w:rsid w:val="003327A6"/>
    <w:rsid w:val="003328DC"/>
    <w:rsid w:val="00332BE1"/>
    <w:rsid w:val="00332D95"/>
    <w:rsid w:val="00333302"/>
    <w:rsid w:val="00333850"/>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DCE"/>
    <w:rsid w:val="00335E9E"/>
    <w:rsid w:val="00336146"/>
    <w:rsid w:val="003364E2"/>
    <w:rsid w:val="00336662"/>
    <w:rsid w:val="003366AE"/>
    <w:rsid w:val="003369E3"/>
    <w:rsid w:val="003369EE"/>
    <w:rsid w:val="00336A2E"/>
    <w:rsid w:val="00336A91"/>
    <w:rsid w:val="00336DB6"/>
    <w:rsid w:val="00336F08"/>
    <w:rsid w:val="003370CB"/>
    <w:rsid w:val="0033723E"/>
    <w:rsid w:val="0033735C"/>
    <w:rsid w:val="0033798E"/>
    <w:rsid w:val="00337D3E"/>
    <w:rsid w:val="00337F55"/>
    <w:rsid w:val="00337F79"/>
    <w:rsid w:val="00337FC7"/>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7E2"/>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E7D"/>
    <w:rsid w:val="003542D4"/>
    <w:rsid w:val="003543DA"/>
    <w:rsid w:val="00354514"/>
    <w:rsid w:val="00354581"/>
    <w:rsid w:val="0035483F"/>
    <w:rsid w:val="00354B65"/>
    <w:rsid w:val="00354B6B"/>
    <w:rsid w:val="00354B7A"/>
    <w:rsid w:val="00355439"/>
    <w:rsid w:val="003555F5"/>
    <w:rsid w:val="00355B3F"/>
    <w:rsid w:val="0035616C"/>
    <w:rsid w:val="00356450"/>
    <w:rsid w:val="00356A2D"/>
    <w:rsid w:val="00356ADE"/>
    <w:rsid w:val="00356DB8"/>
    <w:rsid w:val="00356EF5"/>
    <w:rsid w:val="0035705D"/>
    <w:rsid w:val="00357466"/>
    <w:rsid w:val="0035798B"/>
    <w:rsid w:val="00357999"/>
    <w:rsid w:val="00357A18"/>
    <w:rsid w:val="00357EF9"/>
    <w:rsid w:val="00357FCD"/>
    <w:rsid w:val="00360101"/>
    <w:rsid w:val="00360125"/>
    <w:rsid w:val="00360258"/>
    <w:rsid w:val="0036088E"/>
    <w:rsid w:val="003608DB"/>
    <w:rsid w:val="00360AF5"/>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6ED"/>
    <w:rsid w:val="00370E4B"/>
    <w:rsid w:val="00370F6E"/>
    <w:rsid w:val="00371062"/>
    <w:rsid w:val="00371091"/>
    <w:rsid w:val="003714B2"/>
    <w:rsid w:val="00371518"/>
    <w:rsid w:val="0037158B"/>
    <w:rsid w:val="003717F1"/>
    <w:rsid w:val="00371BC0"/>
    <w:rsid w:val="00371ECA"/>
    <w:rsid w:val="0037209F"/>
    <w:rsid w:val="003726B7"/>
    <w:rsid w:val="00372984"/>
    <w:rsid w:val="003729AF"/>
    <w:rsid w:val="00372AE1"/>
    <w:rsid w:val="00372B4A"/>
    <w:rsid w:val="00373254"/>
    <w:rsid w:val="003733D9"/>
    <w:rsid w:val="003734B6"/>
    <w:rsid w:val="00373684"/>
    <w:rsid w:val="003738DA"/>
    <w:rsid w:val="00373990"/>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CCC"/>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AA7"/>
    <w:rsid w:val="00387F13"/>
    <w:rsid w:val="00387FA6"/>
    <w:rsid w:val="00390051"/>
    <w:rsid w:val="003902B6"/>
    <w:rsid w:val="003903E6"/>
    <w:rsid w:val="0039094B"/>
    <w:rsid w:val="00390A64"/>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A69"/>
    <w:rsid w:val="00392B41"/>
    <w:rsid w:val="00392E4E"/>
    <w:rsid w:val="003930EB"/>
    <w:rsid w:val="003931D8"/>
    <w:rsid w:val="00393229"/>
    <w:rsid w:val="00393509"/>
    <w:rsid w:val="00393569"/>
    <w:rsid w:val="00393C42"/>
    <w:rsid w:val="00393EFB"/>
    <w:rsid w:val="003942F1"/>
    <w:rsid w:val="00394705"/>
    <w:rsid w:val="0039480F"/>
    <w:rsid w:val="00394B28"/>
    <w:rsid w:val="003950BC"/>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AC1"/>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5B"/>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57A"/>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1CE8"/>
    <w:rsid w:val="003B202F"/>
    <w:rsid w:val="003B206D"/>
    <w:rsid w:val="003B209A"/>
    <w:rsid w:val="003B20B8"/>
    <w:rsid w:val="003B2198"/>
    <w:rsid w:val="003B2498"/>
    <w:rsid w:val="003B28BC"/>
    <w:rsid w:val="003B29FE"/>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114"/>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390"/>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4E8"/>
    <w:rsid w:val="003D3A0C"/>
    <w:rsid w:val="003D3E70"/>
    <w:rsid w:val="003D41F2"/>
    <w:rsid w:val="003D4937"/>
    <w:rsid w:val="003D4B9D"/>
    <w:rsid w:val="003D4E1E"/>
    <w:rsid w:val="003D4E2B"/>
    <w:rsid w:val="003D4F92"/>
    <w:rsid w:val="003D576D"/>
    <w:rsid w:val="003D5CD5"/>
    <w:rsid w:val="003D5D4F"/>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866"/>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62"/>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1F6"/>
    <w:rsid w:val="003F020C"/>
    <w:rsid w:val="003F033C"/>
    <w:rsid w:val="003F03C4"/>
    <w:rsid w:val="003F04C5"/>
    <w:rsid w:val="003F066F"/>
    <w:rsid w:val="003F07C3"/>
    <w:rsid w:val="003F0C9B"/>
    <w:rsid w:val="003F110B"/>
    <w:rsid w:val="003F1299"/>
    <w:rsid w:val="003F1C0F"/>
    <w:rsid w:val="003F1DD9"/>
    <w:rsid w:val="003F1F1D"/>
    <w:rsid w:val="003F2A8C"/>
    <w:rsid w:val="003F2CEF"/>
    <w:rsid w:val="003F2DEE"/>
    <w:rsid w:val="003F307C"/>
    <w:rsid w:val="003F31AE"/>
    <w:rsid w:val="003F325F"/>
    <w:rsid w:val="003F3282"/>
    <w:rsid w:val="003F34C8"/>
    <w:rsid w:val="003F3650"/>
    <w:rsid w:val="003F3733"/>
    <w:rsid w:val="003F3919"/>
    <w:rsid w:val="003F3982"/>
    <w:rsid w:val="003F39F1"/>
    <w:rsid w:val="003F3B54"/>
    <w:rsid w:val="003F3B8F"/>
    <w:rsid w:val="003F3CE3"/>
    <w:rsid w:val="003F416F"/>
    <w:rsid w:val="003F41F2"/>
    <w:rsid w:val="003F441C"/>
    <w:rsid w:val="003F443F"/>
    <w:rsid w:val="003F44C8"/>
    <w:rsid w:val="003F45EB"/>
    <w:rsid w:val="003F46B8"/>
    <w:rsid w:val="003F4D21"/>
    <w:rsid w:val="003F4DA7"/>
    <w:rsid w:val="003F4DEA"/>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4C1"/>
    <w:rsid w:val="004034E5"/>
    <w:rsid w:val="00403504"/>
    <w:rsid w:val="00403633"/>
    <w:rsid w:val="00403812"/>
    <w:rsid w:val="00403959"/>
    <w:rsid w:val="00403B3C"/>
    <w:rsid w:val="00403DE5"/>
    <w:rsid w:val="00404053"/>
    <w:rsid w:val="004046CF"/>
    <w:rsid w:val="00404744"/>
    <w:rsid w:val="004047B2"/>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E5B"/>
    <w:rsid w:val="00406E72"/>
    <w:rsid w:val="00406F6F"/>
    <w:rsid w:val="004072BE"/>
    <w:rsid w:val="004073A8"/>
    <w:rsid w:val="00407428"/>
    <w:rsid w:val="004074FF"/>
    <w:rsid w:val="004077F4"/>
    <w:rsid w:val="00407840"/>
    <w:rsid w:val="0040796E"/>
    <w:rsid w:val="004079E9"/>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7DC"/>
    <w:rsid w:val="00415BC5"/>
    <w:rsid w:val="00415C7B"/>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0C9"/>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6E5"/>
    <w:rsid w:val="00427865"/>
    <w:rsid w:val="00427876"/>
    <w:rsid w:val="004278E6"/>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BCD"/>
    <w:rsid w:val="00433C0B"/>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D10"/>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5A1"/>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1F6"/>
    <w:rsid w:val="0044680C"/>
    <w:rsid w:val="00446A40"/>
    <w:rsid w:val="00446CE8"/>
    <w:rsid w:val="004477EF"/>
    <w:rsid w:val="00447895"/>
    <w:rsid w:val="00447A38"/>
    <w:rsid w:val="00447BCF"/>
    <w:rsid w:val="00450446"/>
    <w:rsid w:val="004504D6"/>
    <w:rsid w:val="0045056F"/>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3FF4"/>
    <w:rsid w:val="0045437C"/>
    <w:rsid w:val="004543BB"/>
    <w:rsid w:val="00454739"/>
    <w:rsid w:val="00454A14"/>
    <w:rsid w:val="00454A30"/>
    <w:rsid w:val="00454D6E"/>
    <w:rsid w:val="00454F63"/>
    <w:rsid w:val="00454F87"/>
    <w:rsid w:val="0045588B"/>
    <w:rsid w:val="00455F9E"/>
    <w:rsid w:val="004563D6"/>
    <w:rsid w:val="00456654"/>
    <w:rsid w:val="00456AC0"/>
    <w:rsid w:val="00456C43"/>
    <w:rsid w:val="00456EC9"/>
    <w:rsid w:val="00456EF5"/>
    <w:rsid w:val="004577BF"/>
    <w:rsid w:val="0045781E"/>
    <w:rsid w:val="00457AFC"/>
    <w:rsid w:val="00457CFF"/>
    <w:rsid w:val="004600CC"/>
    <w:rsid w:val="00460494"/>
    <w:rsid w:val="004605BC"/>
    <w:rsid w:val="00460AD1"/>
    <w:rsid w:val="00461003"/>
    <w:rsid w:val="004618B2"/>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C68"/>
    <w:rsid w:val="00463F28"/>
    <w:rsid w:val="004640CC"/>
    <w:rsid w:val="0046437F"/>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906"/>
    <w:rsid w:val="00467B7D"/>
    <w:rsid w:val="00467CFF"/>
    <w:rsid w:val="00467E58"/>
    <w:rsid w:val="00467FAA"/>
    <w:rsid w:val="00467FFC"/>
    <w:rsid w:val="00470031"/>
    <w:rsid w:val="004700AF"/>
    <w:rsid w:val="0047030E"/>
    <w:rsid w:val="0047041D"/>
    <w:rsid w:val="004704A3"/>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173"/>
    <w:rsid w:val="00480B68"/>
    <w:rsid w:val="00480B72"/>
    <w:rsid w:val="00480C66"/>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E94"/>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505"/>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34A"/>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09B"/>
    <w:rsid w:val="004A70FB"/>
    <w:rsid w:val="004A713E"/>
    <w:rsid w:val="004A72C3"/>
    <w:rsid w:val="004A73E9"/>
    <w:rsid w:val="004A7680"/>
    <w:rsid w:val="004A77AA"/>
    <w:rsid w:val="004A77B4"/>
    <w:rsid w:val="004A79E6"/>
    <w:rsid w:val="004B028E"/>
    <w:rsid w:val="004B038D"/>
    <w:rsid w:val="004B06B6"/>
    <w:rsid w:val="004B0891"/>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D05"/>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49B"/>
    <w:rsid w:val="004C35D2"/>
    <w:rsid w:val="004C3944"/>
    <w:rsid w:val="004C394D"/>
    <w:rsid w:val="004C39B3"/>
    <w:rsid w:val="004C3B48"/>
    <w:rsid w:val="004C3BE1"/>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F3E"/>
    <w:rsid w:val="004D05F3"/>
    <w:rsid w:val="004D08BF"/>
    <w:rsid w:val="004D0B9F"/>
    <w:rsid w:val="004D0C77"/>
    <w:rsid w:val="004D0DD6"/>
    <w:rsid w:val="004D0FF1"/>
    <w:rsid w:val="004D1027"/>
    <w:rsid w:val="004D13B6"/>
    <w:rsid w:val="004D14FD"/>
    <w:rsid w:val="004D156A"/>
    <w:rsid w:val="004D1B28"/>
    <w:rsid w:val="004D1D5E"/>
    <w:rsid w:val="004D1E00"/>
    <w:rsid w:val="004D1FEF"/>
    <w:rsid w:val="004D238F"/>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CD9"/>
    <w:rsid w:val="004D5CDC"/>
    <w:rsid w:val="004D5E82"/>
    <w:rsid w:val="004D5F42"/>
    <w:rsid w:val="004D602D"/>
    <w:rsid w:val="004D6CF4"/>
    <w:rsid w:val="004D6E44"/>
    <w:rsid w:val="004D6EDA"/>
    <w:rsid w:val="004D6EE2"/>
    <w:rsid w:val="004D6F65"/>
    <w:rsid w:val="004D76BF"/>
    <w:rsid w:val="004D771F"/>
    <w:rsid w:val="004D7841"/>
    <w:rsid w:val="004D79F3"/>
    <w:rsid w:val="004D7B81"/>
    <w:rsid w:val="004E00C1"/>
    <w:rsid w:val="004E0329"/>
    <w:rsid w:val="004E0480"/>
    <w:rsid w:val="004E0734"/>
    <w:rsid w:val="004E07AA"/>
    <w:rsid w:val="004E0DAB"/>
    <w:rsid w:val="004E0E58"/>
    <w:rsid w:val="004E0E80"/>
    <w:rsid w:val="004E0E9C"/>
    <w:rsid w:val="004E1294"/>
    <w:rsid w:val="004E130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4E9"/>
    <w:rsid w:val="004E451A"/>
    <w:rsid w:val="004E4B90"/>
    <w:rsid w:val="004E4F11"/>
    <w:rsid w:val="004E53E0"/>
    <w:rsid w:val="004E5A51"/>
    <w:rsid w:val="004E5A77"/>
    <w:rsid w:val="004E5AD2"/>
    <w:rsid w:val="004E5C72"/>
    <w:rsid w:val="004E5FFF"/>
    <w:rsid w:val="004E6091"/>
    <w:rsid w:val="004E6617"/>
    <w:rsid w:val="004E6625"/>
    <w:rsid w:val="004E66ED"/>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AF2"/>
    <w:rsid w:val="004F5B97"/>
    <w:rsid w:val="004F6187"/>
    <w:rsid w:val="004F68F7"/>
    <w:rsid w:val="004F6C03"/>
    <w:rsid w:val="004F6E44"/>
    <w:rsid w:val="004F70B0"/>
    <w:rsid w:val="004F7584"/>
    <w:rsid w:val="004F7A0A"/>
    <w:rsid w:val="004F7A2C"/>
    <w:rsid w:val="004F7FEF"/>
    <w:rsid w:val="005001D7"/>
    <w:rsid w:val="00500369"/>
    <w:rsid w:val="00500412"/>
    <w:rsid w:val="00500480"/>
    <w:rsid w:val="005008E5"/>
    <w:rsid w:val="005009E3"/>
    <w:rsid w:val="00500B0C"/>
    <w:rsid w:val="00500DB5"/>
    <w:rsid w:val="00500DDC"/>
    <w:rsid w:val="00501282"/>
    <w:rsid w:val="005013AF"/>
    <w:rsid w:val="0050144E"/>
    <w:rsid w:val="005015B1"/>
    <w:rsid w:val="005016F1"/>
    <w:rsid w:val="00501720"/>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426"/>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77D"/>
    <w:rsid w:val="005078B3"/>
    <w:rsid w:val="00507918"/>
    <w:rsid w:val="0050793E"/>
    <w:rsid w:val="00507ABB"/>
    <w:rsid w:val="00507AE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2D0D"/>
    <w:rsid w:val="005133DD"/>
    <w:rsid w:val="00513417"/>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4B3"/>
    <w:rsid w:val="00516D9F"/>
    <w:rsid w:val="00516E9F"/>
    <w:rsid w:val="00516F49"/>
    <w:rsid w:val="00516FE4"/>
    <w:rsid w:val="0051702A"/>
    <w:rsid w:val="00517357"/>
    <w:rsid w:val="005175AE"/>
    <w:rsid w:val="0051783B"/>
    <w:rsid w:val="00517B20"/>
    <w:rsid w:val="00517CB7"/>
    <w:rsid w:val="00520154"/>
    <w:rsid w:val="005202BD"/>
    <w:rsid w:val="005204F4"/>
    <w:rsid w:val="005207FC"/>
    <w:rsid w:val="00520D7C"/>
    <w:rsid w:val="00521034"/>
    <w:rsid w:val="00521370"/>
    <w:rsid w:val="005214ED"/>
    <w:rsid w:val="0052164E"/>
    <w:rsid w:val="0052187E"/>
    <w:rsid w:val="005219B7"/>
    <w:rsid w:val="00521AB9"/>
    <w:rsid w:val="0052209B"/>
    <w:rsid w:val="005221B2"/>
    <w:rsid w:val="005223A5"/>
    <w:rsid w:val="0052243A"/>
    <w:rsid w:val="0052299E"/>
    <w:rsid w:val="00522DDE"/>
    <w:rsid w:val="0052304E"/>
    <w:rsid w:val="00523157"/>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C6A"/>
    <w:rsid w:val="00524F60"/>
    <w:rsid w:val="00525676"/>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CAC"/>
    <w:rsid w:val="00531062"/>
    <w:rsid w:val="00531595"/>
    <w:rsid w:val="00531B26"/>
    <w:rsid w:val="0053232E"/>
    <w:rsid w:val="005323F1"/>
    <w:rsid w:val="005328B7"/>
    <w:rsid w:val="00532B79"/>
    <w:rsid w:val="00532BDF"/>
    <w:rsid w:val="00532D8A"/>
    <w:rsid w:val="00533088"/>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B68"/>
    <w:rsid w:val="00536B76"/>
    <w:rsid w:val="00536D4D"/>
    <w:rsid w:val="00537035"/>
    <w:rsid w:val="00537300"/>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57A"/>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FED"/>
    <w:rsid w:val="00552C21"/>
    <w:rsid w:val="00552DB9"/>
    <w:rsid w:val="00552E5E"/>
    <w:rsid w:val="00553081"/>
    <w:rsid w:val="0055316C"/>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5D2"/>
    <w:rsid w:val="005569FC"/>
    <w:rsid w:val="00556A21"/>
    <w:rsid w:val="00556E35"/>
    <w:rsid w:val="00556E86"/>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C61"/>
    <w:rsid w:val="00574D66"/>
    <w:rsid w:val="00574E2E"/>
    <w:rsid w:val="00575284"/>
    <w:rsid w:val="0057546D"/>
    <w:rsid w:val="0057554A"/>
    <w:rsid w:val="00575822"/>
    <w:rsid w:val="00575973"/>
    <w:rsid w:val="00575E87"/>
    <w:rsid w:val="00575F18"/>
    <w:rsid w:val="0057604C"/>
    <w:rsid w:val="00576147"/>
    <w:rsid w:val="00576436"/>
    <w:rsid w:val="00576564"/>
    <w:rsid w:val="005767C0"/>
    <w:rsid w:val="00576DD5"/>
    <w:rsid w:val="00576E83"/>
    <w:rsid w:val="00576EAA"/>
    <w:rsid w:val="00576FFD"/>
    <w:rsid w:val="005773DC"/>
    <w:rsid w:val="00577618"/>
    <w:rsid w:val="005776CB"/>
    <w:rsid w:val="0057779C"/>
    <w:rsid w:val="00577812"/>
    <w:rsid w:val="005779D6"/>
    <w:rsid w:val="00577B17"/>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6C9"/>
    <w:rsid w:val="0058693D"/>
    <w:rsid w:val="00586ACB"/>
    <w:rsid w:val="00586E61"/>
    <w:rsid w:val="00586F26"/>
    <w:rsid w:val="00587122"/>
    <w:rsid w:val="00587E8E"/>
    <w:rsid w:val="00590248"/>
    <w:rsid w:val="005903FA"/>
    <w:rsid w:val="005906DF"/>
    <w:rsid w:val="0059077C"/>
    <w:rsid w:val="00590885"/>
    <w:rsid w:val="00591000"/>
    <w:rsid w:val="0059119C"/>
    <w:rsid w:val="005911E2"/>
    <w:rsid w:val="005916D5"/>
    <w:rsid w:val="005918AF"/>
    <w:rsid w:val="00591940"/>
    <w:rsid w:val="0059197A"/>
    <w:rsid w:val="00591C6E"/>
    <w:rsid w:val="00591CC1"/>
    <w:rsid w:val="00591EF0"/>
    <w:rsid w:val="005926E2"/>
    <w:rsid w:val="00592851"/>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39"/>
    <w:rsid w:val="005A0C46"/>
    <w:rsid w:val="005A0D27"/>
    <w:rsid w:val="005A127B"/>
    <w:rsid w:val="005A12CE"/>
    <w:rsid w:val="005A14C5"/>
    <w:rsid w:val="005A16D2"/>
    <w:rsid w:val="005A1867"/>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977"/>
    <w:rsid w:val="005A4A3A"/>
    <w:rsid w:val="005A4ECB"/>
    <w:rsid w:val="005A513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772"/>
    <w:rsid w:val="005B08D3"/>
    <w:rsid w:val="005B0963"/>
    <w:rsid w:val="005B0BE8"/>
    <w:rsid w:val="005B0C83"/>
    <w:rsid w:val="005B10C2"/>
    <w:rsid w:val="005B1338"/>
    <w:rsid w:val="005B141E"/>
    <w:rsid w:val="005B18B3"/>
    <w:rsid w:val="005B1AB3"/>
    <w:rsid w:val="005B1F12"/>
    <w:rsid w:val="005B20C7"/>
    <w:rsid w:val="005B215A"/>
    <w:rsid w:val="005B251B"/>
    <w:rsid w:val="005B25EC"/>
    <w:rsid w:val="005B2820"/>
    <w:rsid w:val="005B2CBF"/>
    <w:rsid w:val="005B31C8"/>
    <w:rsid w:val="005B3204"/>
    <w:rsid w:val="005B32A0"/>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0EA7"/>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209"/>
    <w:rsid w:val="005D450C"/>
    <w:rsid w:val="005D4937"/>
    <w:rsid w:val="005D4997"/>
    <w:rsid w:val="005D51F0"/>
    <w:rsid w:val="005D5298"/>
    <w:rsid w:val="005D52A1"/>
    <w:rsid w:val="005D532B"/>
    <w:rsid w:val="005D5392"/>
    <w:rsid w:val="005D54EF"/>
    <w:rsid w:val="005D5533"/>
    <w:rsid w:val="005D55A7"/>
    <w:rsid w:val="005D55D2"/>
    <w:rsid w:val="005D56BC"/>
    <w:rsid w:val="005D5866"/>
    <w:rsid w:val="005D5C1F"/>
    <w:rsid w:val="005D603E"/>
    <w:rsid w:val="005D60C9"/>
    <w:rsid w:val="005D6198"/>
    <w:rsid w:val="005D660C"/>
    <w:rsid w:val="005D678B"/>
    <w:rsid w:val="005D6A7A"/>
    <w:rsid w:val="005D6C8E"/>
    <w:rsid w:val="005D73A6"/>
    <w:rsid w:val="005D7574"/>
    <w:rsid w:val="005D77C7"/>
    <w:rsid w:val="005D790D"/>
    <w:rsid w:val="005D7951"/>
    <w:rsid w:val="005E018B"/>
    <w:rsid w:val="005E0524"/>
    <w:rsid w:val="005E0660"/>
    <w:rsid w:val="005E0815"/>
    <w:rsid w:val="005E0A1F"/>
    <w:rsid w:val="005E0D4F"/>
    <w:rsid w:val="005E0E6C"/>
    <w:rsid w:val="005E1480"/>
    <w:rsid w:val="005E1512"/>
    <w:rsid w:val="005E15E3"/>
    <w:rsid w:val="005E1A55"/>
    <w:rsid w:val="005E1BEE"/>
    <w:rsid w:val="005E1E55"/>
    <w:rsid w:val="005E2005"/>
    <w:rsid w:val="005E224F"/>
    <w:rsid w:val="005E2460"/>
    <w:rsid w:val="005E262C"/>
    <w:rsid w:val="005E2A6D"/>
    <w:rsid w:val="005E2B22"/>
    <w:rsid w:val="005E2C61"/>
    <w:rsid w:val="005E2CA4"/>
    <w:rsid w:val="005E2CC8"/>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066"/>
    <w:rsid w:val="005F21C9"/>
    <w:rsid w:val="005F241F"/>
    <w:rsid w:val="005F247D"/>
    <w:rsid w:val="005F26B1"/>
    <w:rsid w:val="005F2EF6"/>
    <w:rsid w:val="005F2FB4"/>
    <w:rsid w:val="005F30BF"/>
    <w:rsid w:val="005F372C"/>
    <w:rsid w:val="005F3739"/>
    <w:rsid w:val="005F3E71"/>
    <w:rsid w:val="005F3FB8"/>
    <w:rsid w:val="005F4312"/>
    <w:rsid w:val="005F44DE"/>
    <w:rsid w:val="005F4523"/>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4A3"/>
    <w:rsid w:val="006026AC"/>
    <w:rsid w:val="006026E6"/>
    <w:rsid w:val="00602BEF"/>
    <w:rsid w:val="00602E57"/>
    <w:rsid w:val="00603012"/>
    <w:rsid w:val="006030BB"/>
    <w:rsid w:val="006030BD"/>
    <w:rsid w:val="00603808"/>
    <w:rsid w:val="00603C02"/>
    <w:rsid w:val="00603C48"/>
    <w:rsid w:val="006047B1"/>
    <w:rsid w:val="006047D4"/>
    <w:rsid w:val="006049BF"/>
    <w:rsid w:val="00604C70"/>
    <w:rsid w:val="00604DE8"/>
    <w:rsid w:val="00605261"/>
    <w:rsid w:val="0060548A"/>
    <w:rsid w:val="006054D2"/>
    <w:rsid w:val="006055B8"/>
    <w:rsid w:val="0060563D"/>
    <w:rsid w:val="00605BE0"/>
    <w:rsid w:val="00605BE6"/>
    <w:rsid w:val="00605FAA"/>
    <w:rsid w:val="00606608"/>
    <w:rsid w:val="0060683B"/>
    <w:rsid w:val="00606BA1"/>
    <w:rsid w:val="00606C4D"/>
    <w:rsid w:val="00606D98"/>
    <w:rsid w:val="00606FA7"/>
    <w:rsid w:val="0060719F"/>
    <w:rsid w:val="0060722B"/>
    <w:rsid w:val="006076E6"/>
    <w:rsid w:val="00607856"/>
    <w:rsid w:val="006079D1"/>
    <w:rsid w:val="00607B6C"/>
    <w:rsid w:val="00607BD8"/>
    <w:rsid w:val="00607C4F"/>
    <w:rsid w:val="00607CC4"/>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2F0"/>
    <w:rsid w:val="006124F6"/>
    <w:rsid w:val="0061286F"/>
    <w:rsid w:val="00612A4F"/>
    <w:rsid w:val="00612B0B"/>
    <w:rsid w:val="0061317B"/>
    <w:rsid w:val="006131C5"/>
    <w:rsid w:val="00613528"/>
    <w:rsid w:val="00613534"/>
    <w:rsid w:val="0061373D"/>
    <w:rsid w:val="0061388C"/>
    <w:rsid w:val="006139BA"/>
    <w:rsid w:val="00613A9B"/>
    <w:rsid w:val="00613B66"/>
    <w:rsid w:val="00613CCA"/>
    <w:rsid w:val="00614424"/>
    <w:rsid w:val="006148CD"/>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C86"/>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46"/>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7E0"/>
    <w:rsid w:val="00635823"/>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163"/>
    <w:rsid w:val="00641298"/>
    <w:rsid w:val="0064145C"/>
    <w:rsid w:val="00641721"/>
    <w:rsid w:val="00641F41"/>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5D6D"/>
    <w:rsid w:val="00646231"/>
    <w:rsid w:val="00646235"/>
    <w:rsid w:val="00646259"/>
    <w:rsid w:val="0064625A"/>
    <w:rsid w:val="006469BA"/>
    <w:rsid w:val="00646E88"/>
    <w:rsid w:val="00646EE8"/>
    <w:rsid w:val="00646FE0"/>
    <w:rsid w:val="0064706F"/>
    <w:rsid w:val="0064732A"/>
    <w:rsid w:val="006474B3"/>
    <w:rsid w:val="006474F2"/>
    <w:rsid w:val="00647EB2"/>
    <w:rsid w:val="00647FD7"/>
    <w:rsid w:val="0065008E"/>
    <w:rsid w:val="00650092"/>
    <w:rsid w:val="006501F9"/>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6F"/>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ACC"/>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EC9"/>
    <w:rsid w:val="00657F70"/>
    <w:rsid w:val="00657FC6"/>
    <w:rsid w:val="00660110"/>
    <w:rsid w:val="0066015F"/>
    <w:rsid w:val="00660361"/>
    <w:rsid w:val="006604B7"/>
    <w:rsid w:val="006605BE"/>
    <w:rsid w:val="00660675"/>
    <w:rsid w:val="00660BE4"/>
    <w:rsid w:val="00660D14"/>
    <w:rsid w:val="00660E89"/>
    <w:rsid w:val="00660EFE"/>
    <w:rsid w:val="006619C8"/>
    <w:rsid w:val="00661BC4"/>
    <w:rsid w:val="006621A6"/>
    <w:rsid w:val="0066224E"/>
    <w:rsid w:val="006622B3"/>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53F"/>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DC"/>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D60"/>
    <w:rsid w:val="00684EEF"/>
    <w:rsid w:val="006851A5"/>
    <w:rsid w:val="006851A7"/>
    <w:rsid w:val="00685266"/>
    <w:rsid w:val="00685571"/>
    <w:rsid w:val="00685698"/>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392"/>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4AB"/>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28F"/>
    <w:rsid w:val="006B0992"/>
    <w:rsid w:val="006B09D4"/>
    <w:rsid w:val="006B0C5B"/>
    <w:rsid w:val="006B0DB4"/>
    <w:rsid w:val="006B130E"/>
    <w:rsid w:val="006B1587"/>
    <w:rsid w:val="006B1766"/>
    <w:rsid w:val="006B1AD0"/>
    <w:rsid w:val="006B1B12"/>
    <w:rsid w:val="006B1ED2"/>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A17"/>
    <w:rsid w:val="006C2C38"/>
    <w:rsid w:val="006C2C45"/>
    <w:rsid w:val="006C2C8F"/>
    <w:rsid w:val="006C2E24"/>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E0C"/>
    <w:rsid w:val="006C5F68"/>
    <w:rsid w:val="006C61F8"/>
    <w:rsid w:val="006C64D5"/>
    <w:rsid w:val="006C67DA"/>
    <w:rsid w:val="006C6D0C"/>
    <w:rsid w:val="006C6E6D"/>
    <w:rsid w:val="006C7242"/>
    <w:rsid w:val="006C74DD"/>
    <w:rsid w:val="006C78A9"/>
    <w:rsid w:val="006C79A8"/>
    <w:rsid w:val="006C7AE2"/>
    <w:rsid w:val="006C7CB0"/>
    <w:rsid w:val="006C7CC7"/>
    <w:rsid w:val="006D077B"/>
    <w:rsid w:val="006D096B"/>
    <w:rsid w:val="006D0974"/>
    <w:rsid w:val="006D09D2"/>
    <w:rsid w:val="006D0A72"/>
    <w:rsid w:val="006D0C8A"/>
    <w:rsid w:val="006D0D92"/>
    <w:rsid w:val="006D121E"/>
    <w:rsid w:val="006D13F9"/>
    <w:rsid w:val="006D176E"/>
    <w:rsid w:val="006D1BD4"/>
    <w:rsid w:val="006D1C17"/>
    <w:rsid w:val="006D1EE5"/>
    <w:rsid w:val="006D2145"/>
    <w:rsid w:val="006D2ED4"/>
    <w:rsid w:val="006D2FF8"/>
    <w:rsid w:val="006D302A"/>
    <w:rsid w:val="006D30B2"/>
    <w:rsid w:val="006D35FD"/>
    <w:rsid w:val="006D3811"/>
    <w:rsid w:val="006D3872"/>
    <w:rsid w:val="006D3F34"/>
    <w:rsid w:val="006D40E7"/>
    <w:rsid w:val="006D429C"/>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0C"/>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58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69D"/>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02E"/>
    <w:rsid w:val="006F5608"/>
    <w:rsid w:val="006F560B"/>
    <w:rsid w:val="006F604B"/>
    <w:rsid w:val="006F6337"/>
    <w:rsid w:val="006F6502"/>
    <w:rsid w:val="006F6847"/>
    <w:rsid w:val="006F6F0F"/>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75F"/>
    <w:rsid w:val="00701D18"/>
    <w:rsid w:val="00701F44"/>
    <w:rsid w:val="007027F8"/>
    <w:rsid w:val="00702AAC"/>
    <w:rsid w:val="00702C97"/>
    <w:rsid w:val="00702D7E"/>
    <w:rsid w:val="00702E1B"/>
    <w:rsid w:val="00702F50"/>
    <w:rsid w:val="007030C7"/>
    <w:rsid w:val="0070343A"/>
    <w:rsid w:val="007035D6"/>
    <w:rsid w:val="007035E8"/>
    <w:rsid w:val="007039BA"/>
    <w:rsid w:val="00703AFB"/>
    <w:rsid w:val="00703EFD"/>
    <w:rsid w:val="00703F9F"/>
    <w:rsid w:val="007040E6"/>
    <w:rsid w:val="007044BB"/>
    <w:rsid w:val="007049A9"/>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1B6"/>
    <w:rsid w:val="007155A6"/>
    <w:rsid w:val="00715797"/>
    <w:rsid w:val="00715A9A"/>
    <w:rsid w:val="00715B97"/>
    <w:rsid w:val="00716314"/>
    <w:rsid w:val="007166A6"/>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27F76"/>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01E"/>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2D9"/>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597"/>
    <w:rsid w:val="007468D5"/>
    <w:rsid w:val="00746F46"/>
    <w:rsid w:val="007471F8"/>
    <w:rsid w:val="00747516"/>
    <w:rsid w:val="0074755D"/>
    <w:rsid w:val="007476F0"/>
    <w:rsid w:val="00747949"/>
    <w:rsid w:val="00747BB2"/>
    <w:rsid w:val="00747E51"/>
    <w:rsid w:val="00750897"/>
    <w:rsid w:val="00750981"/>
    <w:rsid w:val="00750AB1"/>
    <w:rsid w:val="00750C2F"/>
    <w:rsid w:val="00750CAB"/>
    <w:rsid w:val="00750D2E"/>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83D"/>
    <w:rsid w:val="00754F4E"/>
    <w:rsid w:val="00754F9F"/>
    <w:rsid w:val="00755089"/>
    <w:rsid w:val="00755223"/>
    <w:rsid w:val="00755262"/>
    <w:rsid w:val="007555BA"/>
    <w:rsid w:val="007555DD"/>
    <w:rsid w:val="007555F5"/>
    <w:rsid w:val="00755851"/>
    <w:rsid w:val="00755C64"/>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4D5"/>
    <w:rsid w:val="007604FB"/>
    <w:rsid w:val="007606EE"/>
    <w:rsid w:val="00760711"/>
    <w:rsid w:val="00760715"/>
    <w:rsid w:val="00760F11"/>
    <w:rsid w:val="0076101C"/>
    <w:rsid w:val="007611A5"/>
    <w:rsid w:val="0076146C"/>
    <w:rsid w:val="00761660"/>
    <w:rsid w:val="00761894"/>
    <w:rsid w:val="00761949"/>
    <w:rsid w:val="00761AB1"/>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400"/>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A64"/>
    <w:rsid w:val="00773FF9"/>
    <w:rsid w:val="00774581"/>
    <w:rsid w:val="00774779"/>
    <w:rsid w:val="00774A0D"/>
    <w:rsid w:val="00774AAA"/>
    <w:rsid w:val="00774FCC"/>
    <w:rsid w:val="0077510C"/>
    <w:rsid w:val="00775284"/>
    <w:rsid w:val="00775886"/>
    <w:rsid w:val="00775934"/>
    <w:rsid w:val="00775974"/>
    <w:rsid w:val="00775CBC"/>
    <w:rsid w:val="00775F0A"/>
    <w:rsid w:val="00776209"/>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95C"/>
    <w:rsid w:val="00781BEF"/>
    <w:rsid w:val="00781C13"/>
    <w:rsid w:val="00781C96"/>
    <w:rsid w:val="00781EA9"/>
    <w:rsid w:val="007820BF"/>
    <w:rsid w:val="00782305"/>
    <w:rsid w:val="00782599"/>
    <w:rsid w:val="0078262A"/>
    <w:rsid w:val="00782A7E"/>
    <w:rsid w:val="00782D4D"/>
    <w:rsid w:val="00782D7F"/>
    <w:rsid w:val="00782DA2"/>
    <w:rsid w:val="00782EE3"/>
    <w:rsid w:val="00783197"/>
    <w:rsid w:val="007834F3"/>
    <w:rsid w:val="00783A1E"/>
    <w:rsid w:val="00783B53"/>
    <w:rsid w:val="00784389"/>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B12"/>
    <w:rsid w:val="00786CE9"/>
    <w:rsid w:val="00786D0E"/>
    <w:rsid w:val="00786D77"/>
    <w:rsid w:val="00787634"/>
    <w:rsid w:val="00787778"/>
    <w:rsid w:val="0078784E"/>
    <w:rsid w:val="00787999"/>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9F5"/>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9A0"/>
    <w:rsid w:val="007A0C8F"/>
    <w:rsid w:val="007A0D76"/>
    <w:rsid w:val="007A111B"/>
    <w:rsid w:val="007A1381"/>
    <w:rsid w:val="007A16F4"/>
    <w:rsid w:val="007A194E"/>
    <w:rsid w:val="007A19B2"/>
    <w:rsid w:val="007A19E0"/>
    <w:rsid w:val="007A1D46"/>
    <w:rsid w:val="007A2072"/>
    <w:rsid w:val="007A215F"/>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B94"/>
    <w:rsid w:val="007A6ED6"/>
    <w:rsid w:val="007A71D7"/>
    <w:rsid w:val="007A7600"/>
    <w:rsid w:val="007A7960"/>
    <w:rsid w:val="007B0002"/>
    <w:rsid w:val="007B017D"/>
    <w:rsid w:val="007B01AF"/>
    <w:rsid w:val="007B075C"/>
    <w:rsid w:val="007B083D"/>
    <w:rsid w:val="007B09B4"/>
    <w:rsid w:val="007B09D1"/>
    <w:rsid w:val="007B1265"/>
    <w:rsid w:val="007B1A21"/>
    <w:rsid w:val="007B1ACD"/>
    <w:rsid w:val="007B21B1"/>
    <w:rsid w:val="007B234D"/>
    <w:rsid w:val="007B2840"/>
    <w:rsid w:val="007B28B4"/>
    <w:rsid w:val="007B2E6D"/>
    <w:rsid w:val="007B2E7A"/>
    <w:rsid w:val="007B2FDF"/>
    <w:rsid w:val="007B30EA"/>
    <w:rsid w:val="007B33D2"/>
    <w:rsid w:val="007B354B"/>
    <w:rsid w:val="007B3A86"/>
    <w:rsid w:val="007B3DE7"/>
    <w:rsid w:val="007B4246"/>
    <w:rsid w:val="007B43A1"/>
    <w:rsid w:val="007B4499"/>
    <w:rsid w:val="007B46B1"/>
    <w:rsid w:val="007B473D"/>
    <w:rsid w:val="007B4BFD"/>
    <w:rsid w:val="007B5366"/>
    <w:rsid w:val="007B5419"/>
    <w:rsid w:val="007B544B"/>
    <w:rsid w:val="007B55D0"/>
    <w:rsid w:val="007B58B3"/>
    <w:rsid w:val="007B5B06"/>
    <w:rsid w:val="007B5E6F"/>
    <w:rsid w:val="007B5F7A"/>
    <w:rsid w:val="007B6168"/>
    <w:rsid w:val="007B6199"/>
    <w:rsid w:val="007B63AE"/>
    <w:rsid w:val="007B65FD"/>
    <w:rsid w:val="007B677E"/>
    <w:rsid w:val="007B690E"/>
    <w:rsid w:val="007B6AAE"/>
    <w:rsid w:val="007B6C4C"/>
    <w:rsid w:val="007B6F26"/>
    <w:rsid w:val="007B7279"/>
    <w:rsid w:val="007B7837"/>
    <w:rsid w:val="007B7A69"/>
    <w:rsid w:val="007B7DF3"/>
    <w:rsid w:val="007B7E46"/>
    <w:rsid w:val="007B7F1B"/>
    <w:rsid w:val="007C056D"/>
    <w:rsid w:val="007C05EB"/>
    <w:rsid w:val="007C0A22"/>
    <w:rsid w:val="007C0F4F"/>
    <w:rsid w:val="007C106B"/>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3C72"/>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945"/>
    <w:rsid w:val="007D1A42"/>
    <w:rsid w:val="007D1A5A"/>
    <w:rsid w:val="007D1AFC"/>
    <w:rsid w:val="007D1DE9"/>
    <w:rsid w:val="007D221D"/>
    <w:rsid w:val="007D269C"/>
    <w:rsid w:val="007D26D0"/>
    <w:rsid w:val="007D2B58"/>
    <w:rsid w:val="007D2B94"/>
    <w:rsid w:val="007D2CAF"/>
    <w:rsid w:val="007D31A0"/>
    <w:rsid w:val="007D34B9"/>
    <w:rsid w:val="007D3548"/>
    <w:rsid w:val="007D35B2"/>
    <w:rsid w:val="007D3AEC"/>
    <w:rsid w:val="007D3BA8"/>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72D"/>
    <w:rsid w:val="007E1915"/>
    <w:rsid w:val="007E2202"/>
    <w:rsid w:val="007E2457"/>
    <w:rsid w:val="007E2459"/>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5F71"/>
    <w:rsid w:val="007E6043"/>
    <w:rsid w:val="007E619E"/>
    <w:rsid w:val="007E6254"/>
    <w:rsid w:val="007E62B4"/>
    <w:rsid w:val="007E656D"/>
    <w:rsid w:val="007E65DD"/>
    <w:rsid w:val="007E66E2"/>
    <w:rsid w:val="007E67FB"/>
    <w:rsid w:val="007E6AAB"/>
    <w:rsid w:val="007E6FAA"/>
    <w:rsid w:val="007E7501"/>
    <w:rsid w:val="007E756C"/>
    <w:rsid w:val="007E7A03"/>
    <w:rsid w:val="007E7B9F"/>
    <w:rsid w:val="007E7D0D"/>
    <w:rsid w:val="007E7E1C"/>
    <w:rsid w:val="007F0776"/>
    <w:rsid w:val="007F07F4"/>
    <w:rsid w:val="007F07FD"/>
    <w:rsid w:val="007F0BF6"/>
    <w:rsid w:val="007F0CB8"/>
    <w:rsid w:val="007F0FD2"/>
    <w:rsid w:val="007F10FC"/>
    <w:rsid w:val="007F142B"/>
    <w:rsid w:val="007F190C"/>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45D"/>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4FE"/>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40"/>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932"/>
    <w:rsid w:val="00806B10"/>
    <w:rsid w:val="00806BF8"/>
    <w:rsid w:val="00807252"/>
    <w:rsid w:val="00807383"/>
    <w:rsid w:val="00807419"/>
    <w:rsid w:val="008076A5"/>
    <w:rsid w:val="008077B2"/>
    <w:rsid w:val="0080780B"/>
    <w:rsid w:val="008078B7"/>
    <w:rsid w:val="00807CE2"/>
    <w:rsid w:val="00807CE5"/>
    <w:rsid w:val="008111F2"/>
    <w:rsid w:val="0081147E"/>
    <w:rsid w:val="00812128"/>
    <w:rsid w:val="00812176"/>
    <w:rsid w:val="00812AF2"/>
    <w:rsid w:val="00812D5C"/>
    <w:rsid w:val="00812E06"/>
    <w:rsid w:val="00813274"/>
    <w:rsid w:val="00813288"/>
    <w:rsid w:val="00813315"/>
    <w:rsid w:val="008133B2"/>
    <w:rsid w:val="00813614"/>
    <w:rsid w:val="008136B2"/>
    <w:rsid w:val="00813804"/>
    <w:rsid w:val="00813855"/>
    <w:rsid w:val="00813888"/>
    <w:rsid w:val="00813AAC"/>
    <w:rsid w:val="008141D2"/>
    <w:rsid w:val="0081445E"/>
    <w:rsid w:val="0081457A"/>
    <w:rsid w:val="008145BC"/>
    <w:rsid w:val="00814855"/>
    <w:rsid w:val="00814AC5"/>
    <w:rsid w:val="00814AF0"/>
    <w:rsid w:val="00814D42"/>
    <w:rsid w:val="00814F0E"/>
    <w:rsid w:val="00815556"/>
    <w:rsid w:val="00815A27"/>
    <w:rsid w:val="00816205"/>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190"/>
    <w:rsid w:val="008242B4"/>
    <w:rsid w:val="008245F9"/>
    <w:rsid w:val="00824671"/>
    <w:rsid w:val="008246B9"/>
    <w:rsid w:val="00824861"/>
    <w:rsid w:val="00824A4A"/>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2E3"/>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4BE"/>
    <w:rsid w:val="00836715"/>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5F61"/>
    <w:rsid w:val="00846069"/>
    <w:rsid w:val="008460AE"/>
    <w:rsid w:val="008462C7"/>
    <w:rsid w:val="0084644F"/>
    <w:rsid w:val="008464D2"/>
    <w:rsid w:val="008465E6"/>
    <w:rsid w:val="00846809"/>
    <w:rsid w:val="00846905"/>
    <w:rsid w:val="00846A7E"/>
    <w:rsid w:val="00847223"/>
    <w:rsid w:val="00847379"/>
    <w:rsid w:val="00847536"/>
    <w:rsid w:val="008476AA"/>
    <w:rsid w:val="008477BD"/>
    <w:rsid w:val="0084781B"/>
    <w:rsid w:val="0084791B"/>
    <w:rsid w:val="0084796D"/>
    <w:rsid w:val="00847B3A"/>
    <w:rsid w:val="00847C3B"/>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3E1"/>
    <w:rsid w:val="00852728"/>
    <w:rsid w:val="0085294E"/>
    <w:rsid w:val="00852A01"/>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AC2"/>
    <w:rsid w:val="00854BC0"/>
    <w:rsid w:val="00854C05"/>
    <w:rsid w:val="008558EF"/>
    <w:rsid w:val="008559A4"/>
    <w:rsid w:val="008559FD"/>
    <w:rsid w:val="00855C66"/>
    <w:rsid w:val="00855D46"/>
    <w:rsid w:val="008560CE"/>
    <w:rsid w:val="008561F9"/>
    <w:rsid w:val="00856992"/>
    <w:rsid w:val="00856A09"/>
    <w:rsid w:val="00856AA3"/>
    <w:rsid w:val="00857DEE"/>
    <w:rsid w:val="00857DF4"/>
    <w:rsid w:val="00860670"/>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379"/>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6D0"/>
    <w:rsid w:val="00870722"/>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34"/>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5"/>
    <w:rsid w:val="0088051A"/>
    <w:rsid w:val="00880834"/>
    <w:rsid w:val="00880CBB"/>
    <w:rsid w:val="00880FD7"/>
    <w:rsid w:val="0088127C"/>
    <w:rsid w:val="0088159C"/>
    <w:rsid w:val="00881887"/>
    <w:rsid w:val="008818E4"/>
    <w:rsid w:val="008819B2"/>
    <w:rsid w:val="00881FA5"/>
    <w:rsid w:val="008822D5"/>
    <w:rsid w:val="00882364"/>
    <w:rsid w:val="008823A3"/>
    <w:rsid w:val="008824F9"/>
    <w:rsid w:val="008825F4"/>
    <w:rsid w:val="008826DC"/>
    <w:rsid w:val="00882967"/>
    <w:rsid w:val="00882BE0"/>
    <w:rsid w:val="00882C14"/>
    <w:rsid w:val="00882E4B"/>
    <w:rsid w:val="00883483"/>
    <w:rsid w:val="008839E4"/>
    <w:rsid w:val="00883CA2"/>
    <w:rsid w:val="00883D38"/>
    <w:rsid w:val="00883E17"/>
    <w:rsid w:val="00884163"/>
    <w:rsid w:val="008842DF"/>
    <w:rsid w:val="00884419"/>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AF3"/>
    <w:rsid w:val="00895D58"/>
    <w:rsid w:val="00895E0F"/>
    <w:rsid w:val="00895F87"/>
    <w:rsid w:val="00895F93"/>
    <w:rsid w:val="008961A7"/>
    <w:rsid w:val="008962CD"/>
    <w:rsid w:val="008963A5"/>
    <w:rsid w:val="00896575"/>
    <w:rsid w:val="00896612"/>
    <w:rsid w:val="008968D9"/>
    <w:rsid w:val="0089690E"/>
    <w:rsid w:val="00896A26"/>
    <w:rsid w:val="00896BC5"/>
    <w:rsid w:val="00896ED7"/>
    <w:rsid w:val="00897A0E"/>
    <w:rsid w:val="00897ED1"/>
    <w:rsid w:val="00897F20"/>
    <w:rsid w:val="008A0453"/>
    <w:rsid w:val="008A061D"/>
    <w:rsid w:val="008A07CE"/>
    <w:rsid w:val="008A07F0"/>
    <w:rsid w:val="008A0C6F"/>
    <w:rsid w:val="008A0CD8"/>
    <w:rsid w:val="008A1392"/>
    <w:rsid w:val="008A1609"/>
    <w:rsid w:val="008A18B1"/>
    <w:rsid w:val="008A1BAA"/>
    <w:rsid w:val="008A1BC1"/>
    <w:rsid w:val="008A1E72"/>
    <w:rsid w:val="008A2413"/>
    <w:rsid w:val="008A25A6"/>
    <w:rsid w:val="008A2904"/>
    <w:rsid w:val="008A291F"/>
    <w:rsid w:val="008A2E0C"/>
    <w:rsid w:val="008A34E0"/>
    <w:rsid w:val="008A368E"/>
    <w:rsid w:val="008A36F0"/>
    <w:rsid w:val="008A37E5"/>
    <w:rsid w:val="008A3F9E"/>
    <w:rsid w:val="008A401D"/>
    <w:rsid w:val="008A4256"/>
    <w:rsid w:val="008A451C"/>
    <w:rsid w:val="008A4744"/>
    <w:rsid w:val="008A47DC"/>
    <w:rsid w:val="008A4824"/>
    <w:rsid w:val="008A49B1"/>
    <w:rsid w:val="008A4F1E"/>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61F"/>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626"/>
    <w:rsid w:val="008B47CA"/>
    <w:rsid w:val="008B48B7"/>
    <w:rsid w:val="008B4976"/>
    <w:rsid w:val="008B4A2A"/>
    <w:rsid w:val="008B4FC7"/>
    <w:rsid w:val="008B5102"/>
    <w:rsid w:val="008B548D"/>
    <w:rsid w:val="008B58E7"/>
    <w:rsid w:val="008B5E20"/>
    <w:rsid w:val="008B615E"/>
    <w:rsid w:val="008B63D6"/>
    <w:rsid w:val="008B67BC"/>
    <w:rsid w:val="008B6E48"/>
    <w:rsid w:val="008B6FC0"/>
    <w:rsid w:val="008B7102"/>
    <w:rsid w:val="008B723D"/>
    <w:rsid w:val="008B76EE"/>
    <w:rsid w:val="008B7721"/>
    <w:rsid w:val="008B77E9"/>
    <w:rsid w:val="008B781A"/>
    <w:rsid w:val="008B7CB2"/>
    <w:rsid w:val="008C0597"/>
    <w:rsid w:val="008C081E"/>
    <w:rsid w:val="008C0BCD"/>
    <w:rsid w:val="008C0E6B"/>
    <w:rsid w:val="008C0E7D"/>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3B37"/>
    <w:rsid w:val="008C4352"/>
    <w:rsid w:val="008C4456"/>
    <w:rsid w:val="008C47FA"/>
    <w:rsid w:val="008C497B"/>
    <w:rsid w:val="008C4C86"/>
    <w:rsid w:val="008C4CC1"/>
    <w:rsid w:val="008C4DF2"/>
    <w:rsid w:val="008C4F20"/>
    <w:rsid w:val="008C5008"/>
    <w:rsid w:val="008C525B"/>
    <w:rsid w:val="008C55F1"/>
    <w:rsid w:val="008C5B5B"/>
    <w:rsid w:val="008C5E64"/>
    <w:rsid w:val="008C65CC"/>
    <w:rsid w:val="008C6796"/>
    <w:rsid w:val="008C6D97"/>
    <w:rsid w:val="008C6FA4"/>
    <w:rsid w:val="008C7006"/>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304"/>
    <w:rsid w:val="008D2521"/>
    <w:rsid w:val="008D2C41"/>
    <w:rsid w:val="008D3301"/>
    <w:rsid w:val="008D3347"/>
    <w:rsid w:val="008D394B"/>
    <w:rsid w:val="008D3AC8"/>
    <w:rsid w:val="008D48E9"/>
    <w:rsid w:val="008D4E81"/>
    <w:rsid w:val="008D4F44"/>
    <w:rsid w:val="008D5053"/>
    <w:rsid w:val="008D51EC"/>
    <w:rsid w:val="008D5326"/>
    <w:rsid w:val="008D53DC"/>
    <w:rsid w:val="008D5517"/>
    <w:rsid w:val="008D5530"/>
    <w:rsid w:val="008D582A"/>
    <w:rsid w:val="008D5960"/>
    <w:rsid w:val="008D5A82"/>
    <w:rsid w:val="008D5C2B"/>
    <w:rsid w:val="008D5F54"/>
    <w:rsid w:val="008D6132"/>
    <w:rsid w:val="008D6163"/>
    <w:rsid w:val="008D64F3"/>
    <w:rsid w:val="008D6627"/>
    <w:rsid w:val="008D684F"/>
    <w:rsid w:val="008D69DE"/>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AA2"/>
    <w:rsid w:val="008E1CA0"/>
    <w:rsid w:val="008E2A23"/>
    <w:rsid w:val="008E2ABF"/>
    <w:rsid w:val="008E2C87"/>
    <w:rsid w:val="008E370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1B"/>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A02"/>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726"/>
    <w:rsid w:val="0090280E"/>
    <w:rsid w:val="0090287A"/>
    <w:rsid w:val="00902E36"/>
    <w:rsid w:val="00902E73"/>
    <w:rsid w:val="00902FFC"/>
    <w:rsid w:val="009030C4"/>
    <w:rsid w:val="00903532"/>
    <w:rsid w:val="00903906"/>
    <w:rsid w:val="00903914"/>
    <w:rsid w:val="00903B72"/>
    <w:rsid w:val="00903BF8"/>
    <w:rsid w:val="009040B5"/>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3F"/>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264"/>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476"/>
    <w:rsid w:val="009168D4"/>
    <w:rsid w:val="00916CF7"/>
    <w:rsid w:val="00916EB2"/>
    <w:rsid w:val="00917175"/>
    <w:rsid w:val="0091762D"/>
    <w:rsid w:val="009177D8"/>
    <w:rsid w:val="00917A4F"/>
    <w:rsid w:val="00917B90"/>
    <w:rsid w:val="0092005C"/>
    <w:rsid w:val="00920066"/>
    <w:rsid w:val="009201DB"/>
    <w:rsid w:val="00920209"/>
    <w:rsid w:val="0092033B"/>
    <w:rsid w:val="009204C4"/>
    <w:rsid w:val="009205C1"/>
    <w:rsid w:val="0092067F"/>
    <w:rsid w:val="00920923"/>
    <w:rsid w:val="00920ADB"/>
    <w:rsid w:val="00920BF1"/>
    <w:rsid w:val="00920C92"/>
    <w:rsid w:val="00920CBF"/>
    <w:rsid w:val="00920D77"/>
    <w:rsid w:val="00920E6A"/>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58"/>
    <w:rsid w:val="00927C80"/>
    <w:rsid w:val="00927F58"/>
    <w:rsid w:val="00930063"/>
    <w:rsid w:val="0093012C"/>
    <w:rsid w:val="009305F1"/>
    <w:rsid w:val="0093065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F85"/>
    <w:rsid w:val="00936658"/>
    <w:rsid w:val="00936CCE"/>
    <w:rsid w:val="00936CF4"/>
    <w:rsid w:val="00936E80"/>
    <w:rsid w:val="009370A1"/>
    <w:rsid w:val="00937175"/>
    <w:rsid w:val="00937760"/>
    <w:rsid w:val="009377E4"/>
    <w:rsid w:val="00937BB5"/>
    <w:rsid w:val="0094008E"/>
    <w:rsid w:val="00940266"/>
    <w:rsid w:val="00940537"/>
    <w:rsid w:val="009406DE"/>
    <w:rsid w:val="009407CC"/>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724"/>
    <w:rsid w:val="009519DA"/>
    <w:rsid w:val="00951B64"/>
    <w:rsid w:val="00951F5C"/>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A9E"/>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885"/>
    <w:rsid w:val="00963AC8"/>
    <w:rsid w:val="00963EC6"/>
    <w:rsid w:val="0096417C"/>
    <w:rsid w:val="009645D2"/>
    <w:rsid w:val="00964834"/>
    <w:rsid w:val="00964EA4"/>
    <w:rsid w:val="00964F50"/>
    <w:rsid w:val="009653A7"/>
    <w:rsid w:val="00965875"/>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D22"/>
    <w:rsid w:val="00971E6E"/>
    <w:rsid w:val="00971FDE"/>
    <w:rsid w:val="00972316"/>
    <w:rsid w:val="0097242F"/>
    <w:rsid w:val="00972E0C"/>
    <w:rsid w:val="00972F5B"/>
    <w:rsid w:val="00972F96"/>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19A"/>
    <w:rsid w:val="009753D0"/>
    <w:rsid w:val="00975444"/>
    <w:rsid w:val="00975594"/>
    <w:rsid w:val="0097578E"/>
    <w:rsid w:val="00975933"/>
    <w:rsid w:val="00975965"/>
    <w:rsid w:val="00975977"/>
    <w:rsid w:val="00975C44"/>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8C8"/>
    <w:rsid w:val="009839A7"/>
    <w:rsid w:val="00983B10"/>
    <w:rsid w:val="00983DC3"/>
    <w:rsid w:val="0098408A"/>
    <w:rsid w:val="00984240"/>
    <w:rsid w:val="00984369"/>
    <w:rsid w:val="0098449E"/>
    <w:rsid w:val="0098464F"/>
    <w:rsid w:val="0098480B"/>
    <w:rsid w:val="00984CB0"/>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0FD8"/>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3BD"/>
    <w:rsid w:val="009B57EC"/>
    <w:rsid w:val="009B5BA4"/>
    <w:rsid w:val="009B5E8D"/>
    <w:rsid w:val="009B5F42"/>
    <w:rsid w:val="009B5FC2"/>
    <w:rsid w:val="009B610B"/>
    <w:rsid w:val="009B61B8"/>
    <w:rsid w:val="009B6596"/>
    <w:rsid w:val="009B65AD"/>
    <w:rsid w:val="009B6B3D"/>
    <w:rsid w:val="009B6DA1"/>
    <w:rsid w:val="009B6F81"/>
    <w:rsid w:val="009B7003"/>
    <w:rsid w:val="009B730E"/>
    <w:rsid w:val="009B782C"/>
    <w:rsid w:val="009B7E72"/>
    <w:rsid w:val="009B7EC9"/>
    <w:rsid w:val="009B7FBC"/>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35B"/>
    <w:rsid w:val="009C28FD"/>
    <w:rsid w:val="009C2E33"/>
    <w:rsid w:val="009C2F12"/>
    <w:rsid w:val="009C3222"/>
    <w:rsid w:val="009C33D9"/>
    <w:rsid w:val="009C34D0"/>
    <w:rsid w:val="009C3526"/>
    <w:rsid w:val="009C3623"/>
    <w:rsid w:val="009C3A20"/>
    <w:rsid w:val="009C3CD6"/>
    <w:rsid w:val="009C3E2F"/>
    <w:rsid w:val="009C3E87"/>
    <w:rsid w:val="009C40AA"/>
    <w:rsid w:val="009C40EF"/>
    <w:rsid w:val="009C46AC"/>
    <w:rsid w:val="009C4B49"/>
    <w:rsid w:val="009C4BBB"/>
    <w:rsid w:val="009C4C6C"/>
    <w:rsid w:val="009C5039"/>
    <w:rsid w:val="009C5067"/>
    <w:rsid w:val="009C50A7"/>
    <w:rsid w:val="009C520E"/>
    <w:rsid w:val="009C55B8"/>
    <w:rsid w:val="009C5634"/>
    <w:rsid w:val="009C565D"/>
    <w:rsid w:val="009C56E0"/>
    <w:rsid w:val="009C57B3"/>
    <w:rsid w:val="009C5864"/>
    <w:rsid w:val="009C5D3E"/>
    <w:rsid w:val="009C5D7A"/>
    <w:rsid w:val="009C5F69"/>
    <w:rsid w:val="009C5FD2"/>
    <w:rsid w:val="009C6193"/>
    <w:rsid w:val="009C6265"/>
    <w:rsid w:val="009C626B"/>
    <w:rsid w:val="009C683C"/>
    <w:rsid w:val="009C6BDC"/>
    <w:rsid w:val="009C6F03"/>
    <w:rsid w:val="009C7016"/>
    <w:rsid w:val="009C704D"/>
    <w:rsid w:val="009C7070"/>
    <w:rsid w:val="009C717A"/>
    <w:rsid w:val="009C7289"/>
    <w:rsid w:val="009C72D9"/>
    <w:rsid w:val="009C7315"/>
    <w:rsid w:val="009C7770"/>
    <w:rsid w:val="009C7C5D"/>
    <w:rsid w:val="009C7D03"/>
    <w:rsid w:val="009D011E"/>
    <w:rsid w:val="009D0161"/>
    <w:rsid w:val="009D019B"/>
    <w:rsid w:val="009D05BF"/>
    <w:rsid w:val="009D08F6"/>
    <w:rsid w:val="009D09B5"/>
    <w:rsid w:val="009D0CCA"/>
    <w:rsid w:val="009D0DF0"/>
    <w:rsid w:val="009D15AE"/>
    <w:rsid w:val="009D17EA"/>
    <w:rsid w:val="009D17FA"/>
    <w:rsid w:val="009D18AC"/>
    <w:rsid w:val="009D1A01"/>
    <w:rsid w:val="009D1F0C"/>
    <w:rsid w:val="009D1F29"/>
    <w:rsid w:val="009D203F"/>
    <w:rsid w:val="009D268F"/>
    <w:rsid w:val="009D2740"/>
    <w:rsid w:val="009D281A"/>
    <w:rsid w:val="009D2B9C"/>
    <w:rsid w:val="009D2BD0"/>
    <w:rsid w:val="009D2DE3"/>
    <w:rsid w:val="009D38C0"/>
    <w:rsid w:val="009D3A3D"/>
    <w:rsid w:val="009D3B39"/>
    <w:rsid w:val="009D3C12"/>
    <w:rsid w:val="009D3D89"/>
    <w:rsid w:val="009D4016"/>
    <w:rsid w:val="009D4291"/>
    <w:rsid w:val="009D4778"/>
    <w:rsid w:val="009D4B17"/>
    <w:rsid w:val="009D51AA"/>
    <w:rsid w:val="009D5417"/>
    <w:rsid w:val="009D569C"/>
    <w:rsid w:val="009D579A"/>
    <w:rsid w:val="009D58F8"/>
    <w:rsid w:val="009D5941"/>
    <w:rsid w:val="009D5C71"/>
    <w:rsid w:val="009D5E2A"/>
    <w:rsid w:val="009D6277"/>
    <w:rsid w:val="009D6357"/>
    <w:rsid w:val="009D676E"/>
    <w:rsid w:val="009D691F"/>
    <w:rsid w:val="009D69AC"/>
    <w:rsid w:val="009D6A99"/>
    <w:rsid w:val="009D6DDE"/>
    <w:rsid w:val="009D704A"/>
    <w:rsid w:val="009D7112"/>
    <w:rsid w:val="009D72DF"/>
    <w:rsid w:val="009D755F"/>
    <w:rsid w:val="009D7797"/>
    <w:rsid w:val="009D7B15"/>
    <w:rsid w:val="009D7E7F"/>
    <w:rsid w:val="009D7E90"/>
    <w:rsid w:val="009E0625"/>
    <w:rsid w:val="009E0768"/>
    <w:rsid w:val="009E07CF"/>
    <w:rsid w:val="009E0978"/>
    <w:rsid w:val="009E0AD2"/>
    <w:rsid w:val="009E0B18"/>
    <w:rsid w:val="009E1439"/>
    <w:rsid w:val="009E149D"/>
    <w:rsid w:val="009E175C"/>
    <w:rsid w:val="009E175E"/>
    <w:rsid w:val="009E185F"/>
    <w:rsid w:val="009E187B"/>
    <w:rsid w:val="009E19FF"/>
    <w:rsid w:val="009E1AB9"/>
    <w:rsid w:val="009E1CA3"/>
    <w:rsid w:val="009E1D65"/>
    <w:rsid w:val="009E1DD1"/>
    <w:rsid w:val="009E1E6F"/>
    <w:rsid w:val="009E216E"/>
    <w:rsid w:val="009E2245"/>
    <w:rsid w:val="009E22DA"/>
    <w:rsid w:val="009E276A"/>
    <w:rsid w:val="009E27E3"/>
    <w:rsid w:val="009E28A2"/>
    <w:rsid w:val="009E29A1"/>
    <w:rsid w:val="009E2D74"/>
    <w:rsid w:val="009E2FE1"/>
    <w:rsid w:val="009E2FF2"/>
    <w:rsid w:val="009E3297"/>
    <w:rsid w:val="009E3461"/>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2D8"/>
    <w:rsid w:val="009E734D"/>
    <w:rsid w:val="009E7364"/>
    <w:rsid w:val="009E74F7"/>
    <w:rsid w:val="009E76F9"/>
    <w:rsid w:val="009E7733"/>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B83"/>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6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961"/>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16"/>
    <w:rsid w:val="00A148BF"/>
    <w:rsid w:val="00A14A24"/>
    <w:rsid w:val="00A15108"/>
    <w:rsid w:val="00A1521B"/>
    <w:rsid w:val="00A15C50"/>
    <w:rsid w:val="00A15CF5"/>
    <w:rsid w:val="00A15F89"/>
    <w:rsid w:val="00A1649C"/>
    <w:rsid w:val="00A1660F"/>
    <w:rsid w:val="00A16616"/>
    <w:rsid w:val="00A16B1D"/>
    <w:rsid w:val="00A16C9D"/>
    <w:rsid w:val="00A16EBB"/>
    <w:rsid w:val="00A1735A"/>
    <w:rsid w:val="00A1785B"/>
    <w:rsid w:val="00A178CF"/>
    <w:rsid w:val="00A17926"/>
    <w:rsid w:val="00A179AC"/>
    <w:rsid w:val="00A17DAE"/>
    <w:rsid w:val="00A203C1"/>
    <w:rsid w:val="00A203E2"/>
    <w:rsid w:val="00A20603"/>
    <w:rsid w:val="00A20A4E"/>
    <w:rsid w:val="00A20C1B"/>
    <w:rsid w:val="00A21277"/>
    <w:rsid w:val="00A212EF"/>
    <w:rsid w:val="00A21569"/>
    <w:rsid w:val="00A217EC"/>
    <w:rsid w:val="00A21AE9"/>
    <w:rsid w:val="00A21B58"/>
    <w:rsid w:val="00A2222A"/>
    <w:rsid w:val="00A224EB"/>
    <w:rsid w:val="00A225CB"/>
    <w:rsid w:val="00A226DF"/>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5DDB"/>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130"/>
    <w:rsid w:val="00A3320F"/>
    <w:rsid w:val="00A33220"/>
    <w:rsid w:val="00A33364"/>
    <w:rsid w:val="00A33432"/>
    <w:rsid w:val="00A335A9"/>
    <w:rsid w:val="00A3360C"/>
    <w:rsid w:val="00A33618"/>
    <w:rsid w:val="00A336C5"/>
    <w:rsid w:val="00A3376A"/>
    <w:rsid w:val="00A33804"/>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0E36"/>
    <w:rsid w:val="00A41102"/>
    <w:rsid w:val="00A41371"/>
    <w:rsid w:val="00A41400"/>
    <w:rsid w:val="00A41797"/>
    <w:rsid w:val="00A41DD3"/>
    <w:rsid w:val="00A41F51"/>
    <w:rsid w:val="00A42067"/>
    <w:rsid w:val="00A42165"/>
    <w:rsid w:val="00A42213"/>
    <w:rsid w:val="00A42463"/>
    <w:rsid w:val="00A42559"/>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99D"/>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42"/>
    <w:rsid w:val="00A671FA"/>
    <w:rsid w:val="00A67383"/>
    <w:rsid w:val="00A67710"/>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4B"/>
    <w:rsid w:val="00AA0AC1"/>
    <w:rsid w:val="00AA0B79"/>
    <w:rsid w:val="00AA0FDB"/>
    <w:rsid w:val="00AA1092"/>
    <w:rsid w:val="00AA13DA"/>
    <w:rsid w:val="00AA1532"/>
    <w:rsid w:val="00AA181B"/>
    <w:rsid w:val="00AA1907"/>
    <w:rsid w:val="00AA1B55"/>
    <w:rsid w:val="00AA2221"/>
    <w:rsid w:val="00AA2801"/>
    <w:rsid w:val="00AA29BD"/>
    <w:rsid w:val="00AA2AE0"/>
    <w:rsid w:val="00AA2BDF"/>
    <w:rsid w:val="00AA2BE2"/>
    <w:rsid w:val="00AA3671"/>
    <w:rsid w:val="00AA3A33"/>
    <w:rsid w:val="00AA3AFC"/>
    <w:rsid w:val="00AA3CC0"/>
    <w:rsid w:val="00AA3EF2"/>
    <w:rsid w:val="00AA3F94"/>
    <w:rsid w:val="00AA42AC"/>
    <w:rsid w:val="00AA450F"/>
    <w:rsid w:val="00AA4510"/>
    <w:rsid w:val="00AA467D"/>
    <w:rsid w:val="00AA47BA"/>
    <w:rsid w:val="00AA4802"/>
    <w:rsid w:val="00AA4BF2"/>
    <w:rsid w:val="00AA4C11"/>
    <w:rsid w:val="00AA4C22"/>
    <w:rsid w:val="00AA4D65"/>
    <w:rsid w:val="00AA4DF6"/>
    <w:rsid w:val="00AA5118"/>
    <w:rsid w:val="00AA54C6"/>
    <w:rsid w:val="00AA56B0"/>
    <w:rsid w:val="00AA575C"/>
    <w:rsid w:val="00AA5A3C"/>
    <w:rsid w:val="00AA5AF3"/>
    <w:rsid w:val="00AA5BC6"/>
    <w:rsid w:val="00AA5D47"/>
    <w:rsid w:val="00AA6163"/>
    <w:rsid w:val="00AA61F2"/>
    <w:rsid w:val="00AA6616"/>
    <w:rsid w:val="00AA667E"/>
    <w:rsid w:val="00AA6716"/>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12"/>
    <w:rsid w:val="00AC0AB1"/>
    <w:rsid w:val="00AC1217"/>
    <w:rsid w:val="00AC1346"/>
    <w:rsid w:val="00AC18D9"/>
    <w:rsid w:val="00AC1912"/>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527B"/>
    <w:rsid w:val="00AC53F6"/>
    <w:rsid w:val="00AC542C"/>
    <w:rsid w:val="00AC59A7"/>
    <w:rsid w:val="00AC5B6C"/>
    <w:rsid w:val="00AC5BE8"/>
    <w:rsid w:val="00AC5C06"/>
    <w:rsid w:val="00AC5E8C"/>
    <w:rsid w:val="00AC5EFE"/>
    <w:rsid w:val="00AC68C8"/>
    <w:rsid w:val="00AC6955"/>
    <w:rsid w:val="00AC6AFA"/>
    <w:rsid w:val="00AC6F35"/>
    <w:rsid w:val="00AC717A"/>
    <w:rsid w:val="00AC77CB"/>
    <w:rsid w:val="00AC782D"/>
    <w:rsid w:val="00AC79A0"/>
    <w:rsid w:val="00AC7A16"/>
    <w:rsid w:val="00AC7C5A"/>
    <w:rsid w:val="00AC7D60"/>
    <w:rsid w:val="00AC7E54"/>
    <w:rsid w:val="00AD0009"/>
    <w:rsid w:val="00AD012E"/>
    <w:rsid w:val="00AD0447"/>
    <w:rsid w:val="00AD069D"/>
    <w:rsid w:val="00AD081B"/>
    <w:rsid w:val="00AD084B"/>
    <w:rsid w:val="00AD0A55"/>
    <w:rsid w:val="00AD101C"/>
    <w:rsid w:val="00AD1295"/>
    <w:rsid w:val="00AD14C1"/>
    <w:rsid w:val="00AD16F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1197"/>
    <w:rsid w:val="00AE1315"/>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A2D"/>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2D2"/>
    <w:rsid w:val="00AF237F"/>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6FE1"/>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37"/>
    <w:rsid w:val="00B11B5F"/>
    <w:rsid w:val="00B11BD3"/>
    <w:rsid w:val="00B11F81"/>
    <w:rsid w:val="00B121CA"/>
    <w:rsid w:val="00B12319"/>
    <w:rsid w:val="00B1265F"/>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706"/>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72C"/>
    <w:rsid w:val="00B24CD7"/>
    <w:rsid w:val="00B24F22"/>
    <w:rsid w:val="00B24F96"/>
    <w:rsid w:val="00B25579"/>
    <w:rsid w:val="00B25994"/>
    <w:rsid w:val="00B259BD"/>
    <w:rsid w:val="00B259CD"/>
    <w:rsid w:val="00B25F06"/>
    <w:rsid w:val="00B25F50"/>
    <w:rsid w:val="00B25F52"/>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4CA"/>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630"/>
    <w:rsid w:val="00B34AF9"/>
    <w:rsid w:val="00B34F0D"/>
    <w:rsid w:val="00B34F20"/>
    <w:rsid w:val="00B352C0"/>
    <w:rsid w:val="00B3533D"/>
    <w:rsid w:val="00B35523"/>
    <w:rsid w:val="00B35996"/>
    <w:rsid w:val="00B35BF4"/>
    <w:rsid w:val="00B35E70"/>
    <w:rsid w:val="00B3614B"/>
    <w:rsid w:val="00B36749"/>
    <w:rsid w:val="00B36803"/>
    <w:rsid w:val="00B36921"/>
    <w:rsid w:val="00B36DE3"/>
    <w:rsid w:val="00B37757"/>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80"/>
    <w:rsid w:val="00B46CC1"/>
    <w:rsid w:val="00B46DBE"/>
    <w:rsid w:val="00B470EA"/>
    <w:rsid w:val="00B47394"/>
    <w:rsid w:val="00B475A9"/>
    <w:rsid w:val="00B4799D"/>
    <w:rsid w:val="00B47A89"/>
    <w:rsid w:val="00B47B51"/>
    <w:rsid w:val="00B47D66"/>
    <w:rsid w:val="00B47E4F"/>
    <w:rsid w:val="00B47F0C"/>
    <w:rsid w:val="00B50331"/>
    <w:rsid w:val="00B50334"/>
    <w:rsid w:val="00B50C5A"/>
    <w:rsid w:val="00B50D1D"/>
    <w:rsid w:val="00B50DBD"/>
    <w:rsid w:val="00B50EB7"/>
    <w:rsid w:val="00B50EBE"/>
    <w:rsid w:val="00B50F67"/>
    <w:rsid w:val="00B50FFB"/>
    <w:rsid w:val="00B5135D"/>
    <w:rsid w:val="00B5160C"/>
    <w:rsid w:val="00B51A16"/>
    <w:rsid w:val="00B51BFA"/>
    <w:rsid w:val="00B51E10"/>
    <w:rsid w:val="00B51E46"/>
    <w:rsid w:val="00B51EB4"/>
    <w:rsid w:val="00B52323"/>
    <w:rsid w:val="00B5274E"/>
    <w:rsid w:val="00B52892"/>
    <w:rsid w:val="00B52B71"/>
    <w:rsid w:val="00B52B80"/>
    <w:rsid w:val="00B52CCA"/>
    <w:rsid w:val="00B52D3E"/>
    <w:rsid w:val="00B52DCB"/>
    <w:rsid w:val="00B52E0E"/>
    <w:rsid w:val="00B530DC"/>
    <w:rsid w:val="00B5313E"/>
    <w:rsid w:val="00B53267"/>
    <w:rsid w:val="00B53387"/>
    <w:rsid w:val="00B534F0"/>
    <w:rsid w:val="00B53AEF"/>
    <w:rsid w:val="00B53BC9"/>
    <w:rsid w:val="00B53D03"/>
    <w:rsid w:val="00B53E86"/>
    <w:rsid w:val="00B5417C"/>
    <w:rsid w:val="00B546E2"/>
    <w:rsid w:val="00B55126"/>
    <w:rsid w:val="00B55390"/>
    <w:rsid w:val="00B5548E"/>
    <w:rsid w:val="00B55AC6"/>
    <w:rsid w:val="00B55D56"/>
    <w:rsid w:val="00B55F9E"/>
    <w:rsid w:val="00B55FBA"/>
    <w:rsid w:val="00B560F0"/>
    <w:rsid w:val="00B56134"/>
    <w:rsid w:val="00B566BA"/>
    <w:rsid w:val="00B569A4"/>
    <w:rsid w:val="00B569B8"/>
    <w:rsid w:val="00B570F1"/>
    <w:rsid w:val="00B5760A"/>
    <w:rsid w:val="00B57DC9"/>
    <w:rsid w:val="00B57E2F"/>
    <w:rsid w:val="00B6050E"/>
    <w:rsid w:val="00B60670"/>
    <w:rsid w:val="00B60689"/>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78D"/>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6F"/>
    <w:rsid w:val="00B739B0"/>
    <w:rsid w:val="00B73A00"/>
    <w:rsid w:val="00B73AAF"/>
    <w:rsid w:val="00B73D41"/>
    <w:rsid w:val="00B73DE6"/>
    <w:rsid w:val="00B73DF3"/>
    <w:rsid w:val="00B73F25"/>
    <w:rsid w:val="00B741AF"/>
    <w:rsid w:val="00B7439A"/>
    <w:rsid w:val="00B74454"/>
    <w:rsid w:val="00B7465C"/>
    <w:rsid w:val="00B74750"/>
    <w:rsid w:val="00B748CC"/>
    <w:rsid w:val="00B74A97"/>
    <w:rsid w:val="00B74B49"/>
    <w:rsid w:val="00B74B4A"/>
    <w:rsid w:val="00B74B7D"/>
    <w:rsid w:val="00B74FAA"/>
    <w:rsid w:val="00B75285"/>
    <w:rsid w:val="00B75485"/>
    <w:rsid w:val="00B75488"/>
    <w:rsid w:val="00B7555F"/>
    <w:rsid w:val="00B757AA"/>
    <w:rsid w:val="00B75824"/>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94"/>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184"/>
    <w:rsid w:val="00B843B6"/>
    <w:rsid w:val="00B84689"/>
    <w:rsid w:val="00B849C9"/>
    <w:rsid w:val="00B84A62"/>
    <w:rsid w:val="00B84ED3"/>
    <w:rsid w:val="00B84F34"/>
    <w:rsid w:val="00B84F7F"/>
    <w:rsid w:val="00B853C7"/>
    <w:rsid w:val="00B85414"/>
    <w:rsid w:val="00B85465"/>
    <w:rsid w:val="00B85747"/>
    <w:rsid w:val="00B8645C"/>
    <w:rsid w:val="00B86801"/>
    <w:rsid w:val="00B86933"/>
    <w:rsid w:val="00B86BB1"/>
    <w:rsid w:val="00B86C48"/>
    <w:rsid w:val="00B87258"/>
    <w:rsid w:val="00B87688"/>
    <w:rsid w:val="00B8777E"/>
    <w:rsid w:val="00B87B2F"/>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2652"/>
    <w:rsid w:val="00BA2914"/>
    <w:rsid w:val="00BA2B6F"/>
    <w:rsid w:val="00BA2DD7"/>
    <w:rsid w:val="00BA3072"/>
    <w:rsid w:val="00BA30C7"/>
    <w:rsid w:val="00BA35C5"/>
    <w:rsid w:val="00BA3857"/>
    <w:rsid w:val="00BA3A00"/>
    <w:rsid w:val="00BA3CB8"/>
    <w:rsid w:val="00BA3CD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0EA"/>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C0B"/>
    <w:rsid w:val="00BB3F05"/>
    <w:rsid w:val="00BB4035"/>
    <w:rsid w:val="00BB434B"/>
    <w:rsid w:val="00BB4485"/>
    <w:rsid w:val="00BB4AEA"/>
    <w:rsid w:val="00BB4B7E"/>
    <w:rsid w:val="00BB4F35"/>
    <w:rsid w:val="00BB5673"/>
    <w:rsid w:val="00BB5AAA"/>
    <w:rsid w:val="00BB5B80"/>
    <w:rsid w:val="00BB5EEC"/>
    <w:rsid w:val="00BB617F"/>
    <w:rsid w:val="00BB641B"/>
    <w:rsid w:val="00BB67F4"/>
    <w:rsid w:val="00BB68FD"/>
    <w:rsid w:val="00BB6C69"/>
    <w:rsid w:val="00BB70C8"/>
    <w:rsid w:val="00BB7218"/>
    <w:rsid w:val="00BB7227"/>
    <w:rsid w:val="00BB7410"/>
    <w:rsid w:val="00BB761A"/>
    <w:rsid w:val="00BB788E"/>
    <w:rsid w:val="00BB78D1"/>
    <w:rsid w:val="00BB7BB5"/>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618C"/>
    <w:rsid w:val="00BD64BE"/>
    <w:rsid w:val="00BD6593"/>
    <w:rsid w:val="00BD6630"/>
    <w:rsid w:val="00BD6BBE"/>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3D6"/>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C"/>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32"/>
    <w:rsid w:val="00BF273C"/>
    <w:rsid w:val="00BF27F2"/>
    <w:rsid w:val="00BF2B0D"/>
    <w:rsid w:val="00BF2C55"/>
    <w:rsid w:val="00BF3073"/>
    <w:rsid w:val="00BF322D"/>
    <w:rsid w:val="00BF325C"/>
    <w:rsid w:val="00BF32B7"/>
    <w:rsid w:val="00BF330A"/>
    <w:rsid w:val="00BF3715"/>
    <w:rsid w:val="00BF38CD"/>
    <w:rsid w:val="00BF39E7"/>
    <w:rsid w:val="00BF3B82"/>
    <w:rsid w:val="00BF3E3F"/>
    <w:rsid w:val="00BF4775"/>
    <w:rsid w:val="00BF4860"/>
    <w:rsid w:val="00BF48E2"/>
    <w:rsid w:val="00BF4BF3"/>
    <w:rsid w:val="00BF4CAB"/>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02B"/>
    <w:rsid w:val="00C01169"/>
    <w:rsid w:val="00C012AF"/>
    <w:rsid w:val="00C01844"/>
    <w:rsid w:val="00C01876"/>
    <w:rsid w:val="00C018AE"/>
    <w:rsid w:val="00C018B1"/>
    <w:rsid w:val="00C01B16"/>
    <w:rsid w:val="00C024A0"/>
    <w:rsid w:val="00C0297F"/>
    <w:rsid w:val="00C029D7"/>
    <w:rsid w:val="00C02BD0"/>
    <w:rsid w:val="00C02D1E"/>
    <w:rsid w:val="00C030FE"/>
    <w:rsid w:val="00C03530"/>
    <w:rsid w:val="00C036B9"/>
    <w:rsid w:val="00C0370B"/>
    <w:rsid w:val="00C03F43"/>
    <w:rsid w:val="00C03F48"/>
    <w:rsid w:val="00C03FD8"/>
    <w:rsid w:val="00C04513"/>
    <w:rsid w:val="00C04557"/>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80"/>
    <w:rsid w:val="00C06BCE"/>
    <w:rsid w:val="00C06DB4"/>
    <w:rsid w:val="00C06F28"/>
    <w:rsid w:val="00C06FD0"/>
    <w:rsid w:val="00C0707C"/>
    <w:rsid w:val="00C07267"/>
    <w:rsid w:val="00C0747B"/>
    <w:rsid w:val="00C076C2"/>
    <w:rsid w:val="00C07972"/>
    <w:rsid w:val="00C07E81"/>
    <w:rsid w:val="00C07ED2"/>
    <w:rsid w:val="00C10448"/>
    <w:rsid w:val="00C105C2"/>
    <w:rsid w:val="00C10978"/>
    <w:rsid w:val="00C109CB"/>
    <w:rsid w:val="00C10C9B"/>
    <w:rsid w:val="00C10CC1"/>
    <w:rsid w:val="00C10F6E"/>
    <w:rsid w:val="00C10F78"/>
    <w:rsid w:val="00C11561"/>
    <w:rsid w:val="00C117BA"/>
    <w:rsid w:val="00C11F2A"/>
    <w:rsid w:val="00C1200C"/>
    <w:rsid w:val="00C1249E"/>
    <w:rsid w:val="00C124C9"/>
    <w:rsid w:val="00C12554"/>
    <w:rsid w:val="00C1256A"/>
    <w:rsid w:val="00C127B6"/>
    <w:rsid w:val="00C12A64"/>
    <w:rsid w:val="00C12DD6"/>
    <w:rsid w:val="00C131E0"/>
    <w:rsid w:val="00C138AF"/>
    <w:rsid w:val="00C13C42"/>
    <w:rsid w:val="00C14C63"/>
    <w:rsid w:val="00C14F48"/>
    <w:rsid w:val="00C15021"/>
    <w:rsid w:val="00C151E3"/>
    <w:rsid w:val="00C152E3"/>
    <w:rsid w:val="00C154CD"/>
    <w:rsid w:val="00C15507"/>
    <w:rsid w:val="00C15671"/>
    <w:rsid w:val="00C158D3"/>
    <w:rsid w:val="00C158DA"/>
    <w:rsid w:val="00C160CD"/>
    <w:rsid w:val="00C165B2"/>
    <w:rsid w:val="00C16703"/>
    <w:rsid w:val="00C16AB2"/>
    <w:rsid w:val="00C16C05"/>
    <w:rsid w:val="00C17036"/>
    <w:rsid w:val="00C17188"/>
    <w:rsid w:val="00C17215"/>
    <w:rsid w:val="00C173AD"/>
    <w:rsid w:val="00C1758F"/>
    <w:rsid w:val="00C176AD"/>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40BF"/>
    <w:rsid w:val="00C24245"/>
    <w:rsid w:val="00C2479D"/>
    <w:rsid w:val="00C247BF"/>
    <w:rsid w:val="00C24BE2"/>
    <w:rsid w:val="00C24ED1"/>
    <w:rsid w:val="00C24F1D"/>
    <w:rsid w:val="00C24F6C"/>
    <w:rsid w:val="00C25159"/>
    <w:rsid w:val="00C253E2"/>
    <w:rsid w:val="00C25D5F"/>
    <w:rsid w:val="00C25EDE"/>
    <w:rsid w:val="00C26040"/>
    <w:rsid w:val="00C2662E"/>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11"/>
    <w:rsid w:val="00C33DAD"/>
    <w:rsid w:val="00C348C9"/>
    <w:rsid w:val="00C34A49"/>
    <w:rsid w:val="00C34BAA"/>
    <w:rsid w:val="00C34F1C"/>
    <w:rsid w:val="00C35415"/>
    <w:rsid w:val="00C354E3"/>
    <w:rsid w:val="00C355EB"/>
    <w:rsid w:val="00C35967"/>
    <w:rsid w:val="00C35D6A"/>
    <w:rsid w:val="00C35E06"/>
    <w:rsid w:val="00C35FB5"/>
    <w:rsid w:val="00C36132"/>
    <w:rsid w:val="00C36168"/>
    <w:rsid w:val="00C362BB"/>
    <w:rsid w:val="00C36535"/>
    <w:rsid w:val="00C3665A"/>
    <w:rsid w:val="00C36775"/>
    <w:rsid w:val="00C367B2"/>
    <w:rsid w:val="00C36B06"/>
    <w:rsid w:val="00C36C89"/>
    <w:rsid w:val="00C36FA9"/>
    <w:rsid w:val="00C3708F"/>
    <w:rsid w:val="00C3728B"/>
    <w:rsid w:val="00C373CB"/>
    <w:rsid w:val="00C37705"/>
    <w:rsid w:val="00C378EA"/>
    <w:rsid w:val="00C37BC1"/>
    <w:rsid w:val="00C37C88"/>
    <w:rsid w:val="00C37DE9"/>
    <w:rsid w:val="00C37FB8"/>
    <w:rsid w:val="00C401D1"/>
    <w:rsid w:val="00C40483"/>
    <w:rsid w:val="00C407AB"/>
    <w:rsid w:val="00C40AAF"/>
    <w:rsid w:val="00C40C50"/>
    <w:rsid w:val="00C40CDB"/>
    <w:rsid w:val="00C40F89"/>
    <w:rsid w:val="00C41695"/>
    <w:rsid w:val="00C41798"/>
    <w:rsid w:val="00C41B04"/>
    <w:rsid w:val="00C41D3E"/>
    <w:rsid w:val="00C41D69"/>
    <w:rsid w:val="00C41F7A"/>
    <w:rsid w:val="00C42042"/>
    <w:rsid w:val="00C4265D"/>
    <w:rsid w:val="00C42674"/>
    <w:rsid w:val="00C428A6"/>
    <w:rsid w:val="00C42D3F"/>
    <w:rsid w:val="00C43719"/>
    <w:rsid w:val="00C43908"/>
    <w:rsid w:val="00C43B4A"/>
    <w:rsid w:val="00C43C91"/>
    <w:rsid w:val="00C43CEA"/>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4C7"/>
    <w:rsid w:val="00C4751E"/>
    <w:rsid w:val="00C4751F"/>
    <w:rsid w:val="00C47594"/>
    <w:rsid w:val="00C47A2C"/>
    <w:rsid w:val="00C47AA1"/>
    <w:rsid w:val="00C47C2D"/>
    <w:rsid w:val="00C50676"/>
    <w:rsid w:val="00C50A03"/>
    <w:rsid w:val="00C50D39"/>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5F7E"/>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12E0"/>
    <w:rsid w:val="00C61516"/>
    <w:rsid w:val="00C61646"/>
    <w:rsid w:val="00C616E3"/>
    <w:rsid w:val="00C61834"/>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0FD"/>
    <w:rsid w:val="00C641E9"/>
    <w:rsid w:val="00C646E0"/>
    <w:rsid w:val="00C646F0"/>
    <w:rsid w:val="00C647CC"/>
    <w:rsid w:val="00C648E2"/>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555"/>
    <w:rsid w:val="00C66878"/>
    <w:rsid w:val="00C66ABC"/>
    <w:rsid w:val="00C66B3A"/>
    <w:rsid w:val="00C66C0D"/>
    <w:rsid w:val="00C66C81"/>
    <w:rsid w:val="00C66F28"/>
    <w:rsid w:val="00C67001"/>
    <w:rsid w:val="00C67495"/>
    <w:rsid w:val="00C67507"/>
    <w:rsid w:val="00C6787B"/>
    <w:rsid w:val="00C70017"/>
    <w:rsid w:val="00C7026C"/>
    <w:rsid w:val="00C7031D"/>
    <w:rsid w:val="00C704C0"/>
    <w:rsid w:val="00C704C9"/>
    <w:rsid w:val="00C70640"/>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110D"/>
    <w:rsid w:val="00C81331"/>
    <w:rsid w:val="00C81975"/>
    <w:rsid w:val="00C81BF0"/>
    <w:rsid w:val="00C82166"/>
    <w:rsid w:val="00C82540"/>
    <w:rsid w:val="00C82624"/>
    <w:rsid w:val="00C82EBF"/>
    <w:rsid w:val="00C82ED3"/>
    <w:rsid w:val="00C82FB5"/>
    <w:rsid w:val="00C83405"/>
    <w:rsid w:val="00C834C9"/>
    <w:rsid w:val="00C83613"/>
    <w:rsid w:val="00C83958"/>
    <w:rsid w:val="00C83F9A"/>
    <w:rsid w:val="00C83FEA"/>
    <w:rsid w:val="00C84324"/>
    <w:rsid w:val="00C8434D"/>
    <w:rsid w:val="00C84898"/>
    <w:rsid w:val="00C848A0"/>
    <w:rsid w:val="00C84A98"/>
    <w:rsid w:val="00C84AE5"/>
    <w:rsid w:val="00C84D61"/>
    <w:rsid w:val="00C84D9A"/>
    <w:rsid w:val="00C850F8"/>
    <w:rsid w:val="00C85145"/>
    <w:rsid w:val="00C85608"/>
    <w:rsid w:val="00C859B5"/>
    <w:rsid w:val="00C85B6F"/>
    <w:rsid w:val="00C86183"/>
    <w:rsid w:val="00C86245"/>
    <w:rsid w:val="00C86370"/>
    <w:rsid w:val="00C867AE"/>
    <w:rsid w:val="00C867E1"/>
    <w:rsid w:val="00C86D7B"/>
    <w:rsid w:val="00C86EEC"/>
    <w:rsid w:val="00C87296"/>
    <w:rsid w:val="00C87318"/>
    <w:rsid w:val="00C875F0"/>
    <w:rsid w:val="00C8771A"/>
    <w:rsid w:val="00C87A85"/>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1F"/>
    <w:rsid w:val="00C95083"/>
    <w:rsid w:val="00C953CB"/>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88C"/>
    <w:rsid w:val="00CA3AD1"/>
    <w:rsid w:val="00CA3B14"/>
    <w:rsid w:val="00CA3CDD"/>
    <w:rsid w:val="00CA3DCC"/>
    <w:rsid w:val="00CA404F"/>
    <w:rsid w:val="00CA41FD"/>
    <w:rsid w:val="00CA463C"/>
    <w:rsid w:val="00CA474B"/>
    <w:rsid w:val="00CA4760"/>
    <w:rsid w:val="00CA4863"/>
    <w:rsid w:val="00CA4C2D"/>
    <w:rsid w:val="00CA4C6A"/>
    <w:rsid w:val="00CA51C3"/>
    <w:rsid w:val="00CA5B28"/>
    <w:rsid w:val="00CA5CEA"/>
    <w:rsid w:val="00CA5D19"/>
    <w:rsid w:val="00CA633D"/>
    <w:rsid w:val="00CA63D9"/>
    <w:rsid w:val="00CA66C2"/>
    <w:rsid w:val="00CA6759"/>
    <w:rsid w:val="00CA6CB0"/>
    <w:rsid w:val="00CA76F9"/>
    <w:rsid w:val="00CA7700"/>
    <w:rsid w:val="00CA7755"/>
    <w:rsid w:val="00CA776B"/>
    <w:rsid w:val="00CA7A40"/>
    <w:rsid w:val="00CA7AA0"/>
    <w:rsid w:val="00CA7BAC"/>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0885"/>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3E3A"/>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9"/>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436D"/>
    <w:rsid w:val="00CE44A8"/>
    <w:rsid w:val="00CE48FA"/>
    <w:rsid w:val="00CE495C"/>
    <w:rsid w:val="00CE5216"/>
    <w:rsid w:val="00CE52E3"/>
    <w:rsid w:val="00CE5986"/>
    <w:rsid w:val="00CE5DD1"/>
    <w:rsid w:val="00CE5E30"/>
    <w:rsid w:val="00CE5E68"/>
    <w:rsid w:val="00CE5E85"/>
    <w:rsid w:val="00CE5FAA"/>
    <w:rsid w:val="00CE63FA"/>
    <w:rsid w:val="00CE6EC3"/>
    <w:rsid w:val="00CE6EEE"/>
    <w:rsid w:val="00CE6F8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2A0"/>
    <w:rsid w:val="00CF2348"/>
    <w:rsid w:val="00CF2501"/>
    <w:rsid w:val="00CF255C"/>
    <w:rsid w:val="00CF2631"/>
    <w:rsid w:val="00CF27A9"/>
    <w:rsid w:val="00CF27DB"/>
    <w:rsid w:val="00CF29EB"/>
    <w:rsid w:val="00CF2D06"/>
    <w:rsid w:val="00CF3014"/>
    <w:rsid w:val="00CF36BD"/>
    <w:rsid w:val="00CF3769"/>
    <w:rsid w:val="00CF3C30"/>
    <w:rsid w:val="00CF547E"/>
    <w:rsid w:val="00CF5895"/>
    <w:rsid w:val="00CF5954"/>
    <w:rsid w:val="00CF5A41"/>
    <w:rsid w:val="00CF5B65"/>
    <w:rsid w:val="00CF5BD9"/>
    <w:rsid w:val="00CF5D8A"/>
    <w:rsid w:val="00CF5D99"/>
    <w:rsid w:val="00CF5F23"/>
    <w:rsid w:val="00CF6013"/>
    <w:rsid w:val="00CF62EA"/>
    <w:rsid w:val="00CF64BB"/>
    <w:rsid w:val="00CF650A"/>
    <w:rsid w:val="00CF66FF"/>
    <w:rsid w:val="00CF6BE8"/>
    <w:rsid w:val="00CF6D16"/>
    <w:rsid w:val="00CF6DBF"/>
    <w:rsid w:val="00CF6E1E"/>
    <w:rsid w:val="00CF6F7C"/>
    <w:rsid w:val="00CF6FF5"/>
    <w:rsid w:val="00CF703E"/>
    <w:rsid w:val="00CF7345"/>
    <w:rsid w:val="00CF741D"/>
    <w:rsid w:val="00CF7AB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05"/>
    <w:rsid w:val="00D01E2C"/>
    <w:rsid w:val="00D01E2D"/>
    <w:rsid w:val="00D01E95"/>
    <w:rsid w:val="00D01F9A"/>
    <w:rsid w:val="00D02198"/>
    <w:rsid w:val="00D0238E"/>
    <w:rsid w:val="00D0239F"/>
    <w:rsid w:val="00D027AB"/>
    <w:rsid w:val="00D0325B"/>
    <w:rsid w:val="00D03C56"/>
    <w:rsid w:val="00D03E40"/>
    <w:rsid w:val="00D04064"/>
    <w:rsid w:val="00D04154"/>
    <w:rsid w:val="00D04509"/>
    <w:rsid w:val="00D04AAA"/>
    <w:rsid w:val="00D04ABA"/>
    <w:rsid w:val="00D04AEC"/>
    <w:rsid w:val="00D04DC5"/>
    <w:rsid w:val="00D04E7B"/>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8B9"/>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583"/>
    <w:rsid w:val="00D12697"/>
    <w:rsid w:val="00D127AE"/>
    <w:rsid w:val="00D12B64"/>
    <w:rsid w:val="00D12B78"/>
    <w:rsid w:val="00D12F15"/>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EF2"/>
    <w:rsid w:val="00D24F74"/>
    <w:rsid w:val="00D25094"/>
    <w:rsid w:val="00D250D2"/>
    <w:rsid w:val="00D250E9"/>
    <w:rsid w:val="00D250EF"/>
    <w:rsid w:val="00D25168"/>
    <w:rsid w:val="00D256E6"/>
    <w:rsid w:val="00D25773"/>
    <w:rsid w:val="00D257D5"/>
    <w:rsid w:val="00D257DF"/>
    <w:rsid w:val="00D25CBB"/>
    <w:rsid w:val="00D25CCA"/>
    <w:rsid w:val="00D26150"/>
    <w:rsid w:val="00D265C6"/>
    <w:rsid w:val="00D268BE"/>
    <w:rsid w:val="00D268CD"/>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991"/>
    <w:rsid w:val="00D31BDD"/>
    <w:rsid w:val="00D32151"/>
    <w:rsid w:val="00D322A0"/>
    <w:rsid w:val="00D324FC"/>
    <w:rsid w:val="00D32558"/>
    <w:rsid w:val="00D32912"/>
    <w:rsid w:val="00D32A27"/>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5B0"/>
    <w:rsid w:val="00D376ED"/>
    <w:rsid w:val="00D37715"/>
    <w:rsid w:val="00D37B46"/>
    <w:rsid w:val="00D400B0"/>
    <w:rsid w:val="00D403C0"/>
    <w:rsid w:val="00D4075C"/>
    <w:rsid w:val="00D40CD6"/>
    <w:rsid w:val="00D40CE6"/>
    <w:rsid w:val="00D40E31"/>
    <w:rsid w:val="00D40F7B"/>
    <w:rsid w:val="00D410B3"/>
    <w:rsid w:val="00D412B0"/>
    <w:rsid w:val="00D417F7"/>
    <w:rsid w:val="00D41A0D"/>
    <w:rsid w:val="00D41BC7"/>
    <w:rsid w:val="00D41BE4"/>
    <w:rsid w:val="00D41C06"/>
    <w:rsid w:val="00D41C33"/>
    <w:rsid w:val="00D41D0D"/>
    <w:rsid w:val="00D41FF4"/>
    <w:rsid w:val="00D42531"/>
    <w:rsid w:val="00D42928"/>
    <w:rsid w:val="00D42AB7"/>
    <w:rsid w:val="00D42C49"/>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7A"/>
    <w:rsid w:val="00D460EB"/>
    <w:rsid w:val="00D463E2"/>
    <w:rsid w:val="00D4659C"/>
    <w:rsid w:val="00D46635"/>
    <w:rsid w:val="00D468D0"/>
    <w:rsid w:val="00D46AE2"/>
    <w:rsid w:val="00D46C8F"/>
    <w:rsid w:val="00D47073"/>
    <w:rsid w:val="00D479E4"/>
    <w:rsid w:val="00D47AEB"/>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4C6"/>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034"/>
    <w:rsid w:val="00D634A7"/>
    <w:rsid w:val="00D634E9"/>
    <w:rsid w:val="00D6361B"/>
    <w:rsid w:val="00D636AA"/>
    <w:rsid w:val="00D63CDA"/>
    <w:rsid w:val="00D643C5"/>
    <w:rsid w:val="00D64791"/>
    <w:rsid w:val="00D64A46"/>
    <w:rsid w:val="00D64B5A"/>
    <w:rsid w:val="00D64CE8"/>
    <w:rsid w:val="00D64F53"/>
    <w:rsid w:val="00D6505D"/>
    <w:rsid w:val="00D65064"/>
    <w:rsid w:val="00D6542C"/>
    <w:rsid w:val="00D6563A"/>
    <w:rsid w:val="00D656B9"/>
    <w:rsid w:val="00D65BA6"/>
    <w:rsid w:val="00D65E4D"/>
    <w:rsid w:val="00D66132"/>
    <w:rsid w:val="00D66287"/>
    <w:rsid w:val="00D662C9"/>
    <w:rsid w:val="00D664C6"/>
    <w:rsid w:val="00D665A3"/>
    <w:rsid w:val="00D66CDA"/>
    <w:rsid w:val="00D66CDB"/>
    <w:rsid w:val="00D66EFF"/>
    <w:rsid w:val="00D66F39"/>
    <w:rsid w:val="00D67710"/>
    <w:rsid w:val="00D677CA"/>
    <w:rsid w:val="00D67BAB"/>
    <w:rsid w:val="00D67C18"/>
    <w:rsid w:val="00D70039"/>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6F6"/>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19"/>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4F"/>
    <w:rsid w:val="00D81DDD"/>
    <w:rsid w:val="00D81DF1"/>
    <w:rsid w:val="00D820EF"/>
    <w:rsid w:val="00D8231D"/>
    <w:rsid w:val="00D82569"/>
    <w:rsid w:val="00D825DD"/>
    <w:rsid w:val="00D82658"/>
    <w:rsid w:val="00D8297C"/>
    <w:rsid w:val="00D82A80"/>
    <w:rsid w:val="00D82E08"/>
    <w:rsid w:val="00D831DD"/>
    <w:rsid w:val="00D832A1"/>
    <w:rsid w:val="00D832D6"/>
    <w:rsid w:val="00D83420"/>
    <w:rsid w:val="00D834ED"/>
    <w:rsid w:val="00D83753"/>
    <w:rsid w:val="00D83BC6"/>
    <w:rsid w:val="00D84463"/>
    <w:rsid w:val="00D8455B"/>
    <w:rsid w:val="00D845B3"/>
    <w:rsid w:val="00D849DC"/>
    <w:rsid w:val="00D84A7E"/>
    <w:rsid w:val="00D84C1F"/>
    <w:rsid w:val="00D84E7E"/>
    <w:rsid w:val="00D84E81"/>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6E"/>
    <w:rsid w:val="00D87EAA"/>
    <w:rsid w:val="00D900EF"/>
    <w:rsid w:val="00D90555"/>
    <w:rsid w:val="00D907B3"/>
    <w:rsid w:val="00D9089A"/>
    <w:rsid w:val="00D90932"/>
    <w:rsid w:val="00D90C91"/>
    <w:rsid w:val="00D90CD2"/>
    <w:rsid w:val="00D912E6"/>
    <w:rsid w:val="00D913F5"/>
    <w:rsid w:val="00D915EE"/>
    <w:rsid w:val="00D91D74"/>
    <w:rsid w:val="00D91E68"/>
    <w:rsid w:val="00D9201D"/>
    <w:rsid w:val="00D924F3"/>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639"/>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774"/>
    <w:rsid w:val="00DA2838"/>
    <w:rsid w:val="00DA2885"/>
    <w:rsid w:val="00DA3167"/>
    <w:rsid w:val="00DA3182"/>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73B"/>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0E21"/>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3C99"/>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5E68"/>
    <w:rsid w:val="00DD60CD"/>
    <w:rsid w:val="00DD6C24"/>
    <w:rsid w:val="00DD70F4"/>
    <w:rsid w:val="00DD7740"/>
    <w:rsid w:val="00DD786C"/>
    <w:rsid w:val="00DE0556"/>
    <w:rsid w:val="00DE074F"/>
    <w:rsid w:val="00DE0B91"/>
    <w:rsid w:val="00DE0CD8"/>
    <w:rsid w:val="00DE0EA8"/>
    <w:rsid w:val="00DE110E"/>
    <w:rsid w:val="00DE12F3"/>
    <w:rsid w:val="00DE1911"/>
    <w:rsid w:val="00DE1B4F"/>
    <w:rsid w:val="00DE1D2D"/>
    <w:rsid w:val="00DE1D7C"/>
    <w:rsid w:val="00DE1FCA"/>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163"/>
    <w:rsid w:val="00DE4462"/>
    <w:rsid w:val="00DE4561"/>
    <w:rsid w:val="00DE4976"/>
    <w:rsid w:val="00DE4C64"/>
    <w:rsid w:val="00DE4ED8"/>
    <w:rsid w:val="00DE5337"/>
    <w:rsid w:val="00DE534B"/>
    <w:rsid w:val="00DE5DAE"/>
    <w:rsid w:val="00DE5F9A"/>
    <w:rsid w:val="00DE61F0"/>
    <w:rsid w:val="00DE6364"/>
    <w:rsid w:val="00DE63B4"/>
    <w:rsid w:val="00DE6412"/>
    <w:rsid w:val="00DE66A3"/>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332"/>
    <w:rsid w:val="00DF554D"/>
    <w:rsid w:val="00DF576F"/>
    <w:rsid w:val="00DF58BC"/>
    <w:rsid w:val="00DF5BE3"/>
    <w:rsid w:val="00DF5D06"/>
    <w:rsid w:val="00DF5F70"/>
    <w:rsid w:val="00DF6122"/>
    <w:rsid w:val="00DF62DB"/>
    <w:rsid w:val="00DF6667"/>
    <w:rsid w:val="00DF66B7"/>
    <w:rsid w:val="00DF68C4"/>
    <w:rsid w:val="00DF6C35"/>
    <w:rsid w:val="00DF6DD9"/>
    <w:rsid w:val="00DF6E3A"/>
    <w:rsid w:val="00DF7124"/>
    <w:rsid w:val="00DF7320"/>
    <w:rsid w:val="00DF7433"/>
    <w:rsid w:val="00DF7465"/>
    <w:rsid w:val="00DF7560"/>
    <w:rsid w:val="00DF7682"/>
    <w:rsid w:val="00DF78DE"/>
    <w:rsid w:val="00DF78F2"/>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05A"/>
    <w:rsid w:val="00E063E2"/>
    <w:rsid w:val="00E06454"/>
    <w:rsid w:val="00E06E26"/>
    <w:rsid w:val="00E0712A"/>
    <w:rsid w:val="00E07179"/>
    <w:rsid w:val="00E07511"/>
    <w:rsid w:val="00E07955"/>
    <w:rsid w:val="00E07B62"/>
    <w:rsid w:val="00E07DD8"/>
    <w:rsid w:val="00E07E9C"/>
    <w:rsid w:val="00E07EB8"/>
    <w:rsid w:val="00E07F78"/>
    <w:rsid w:val="00E1015B"/>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9D3"/>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766"/>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EA"/>
    <w:rsid w:val="00E318E0"/>
    <w:rsid w:val="00E31AF4"/>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A71"/>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C4D"/>
    <w:rsid w:val="00E45D0B"/>
    <w:rsid w:val="00E45DD3"/>
    <w:rsid w:val="00E45E50"/>
    <w:rsid w:val="00E460D5"/>
    <w:rsid w:val="00E46116"/>
    <w:rsid w:val="00E46235"/>
    <w:rsid w:val="00E4656D"/>
    <w:rsid w:val="00E46676"/>
    <w:rsid w:val="00E466FE"/>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A1A"/>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FEC"/>
    <w:rsid w:val="00E64107"/>
    <w:rsid w:val="00E64315"/>
    <w:rsid w:val="00E6462F"/>
    <w:rsid w:val="00E64C05"/>
    <w:rsid w:val="00E64EF3"/>
    <w:rsid w:val="00E64F2A"/>
    <w:rsid w:val="00E65083"/>
    <w:rsid w:val="00E653A1"/>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1F54"/>
    <w:rsid w:val="00E7206D"/>
    <w:rsid w:val="00E720FB"/>
    <w:rsid w:val="00E72697"/>
    <w:rsid w:val="00E72926"/>
    <w:rsid w:val="00E72C50"/>
    <w:rsid w:val="00E72ECE"/>
    <w:rsid w:val="00E72F7C"/>
    <w:rsid w:val="00E7315C"/>
    <w:rsid w:val="00E7337C"/>
    <w:rsid w:val="00E73745"/>
    <w:rsid w:val="00E73865"/>
    <w:rsid w:val="00E739B6"/>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3EA"/>
    <w:rsid w:val="00E82471"/>
    <w:rsid w:val="00E8265B"/>
    <w:rsid w:val="00E826FB"/>
    <w:rsid w:val="00E8271A"/>
    <w:rsid w:val="00E8286F"/>
    <w:rsid w:val="00E8293D"/>
    <w:rsid w:val="00E82979"/>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0DC"/>
    <w:rsid w:val="00E8639A"/>
    <w:rsid w:val="00E86577"/>
    <w:rsid w:val="00E86799"/>
    <w:rsid w:val="00E86D66"/>
    <w:rsid w:val="00E86E68"/>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77"/>
    <w:rsid w:val="00E95BFB"/>
    <w:rsid w:val="00E95C9A"/>
    <w:rsid w:val="00E95CBA"/>
    <w:rsid w:val="00E95D68"/>
    <w:rsid w:val="00E95E51"/>
    <w:rsid w:val="00E95EC2"/>
    <w:rsid w:val="00E95F2C"/>
    <w:rsid w:val="00E95FB8"/>
    <w:rsid w:val="00E96035"/>
    <w:rsid w:val="00E96287"/>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903"/>
    <w:rsid w:val="00EA298F"/>
    <w:rsid w:val="00EA2B7A"/>
    <w:rsid w:val="00EA2F75"/>
    <w:rsid w:val="00EA3018"/>
    <w:rsid w:val="00EA3324"/>
    <w:rsid w:val="00EA33A6"/>
    <w:rsid w:val="00EA3E2B"/>
    <w:rsid w:val="00EA4240"/>
    <w:rsid w:val="00EA42F1"/>
    <w:rsid w:val="00EA4682"/>
    <w:rsid w:val="00EA4794"/>
    <w:rsid w:val="00EA487F"/>
    <w:rsid w:val="00EA4954"/>
    <w:rsid w:val="00EA49CD"/>
    <w:rsid w:val="00EA4A6D"/>
    <w:rsid w:val="00EA4EA4"/>
    <w:rsid w:val="00EA4EA8"/>
    <w:rsid w:val="00EA50D8"/>
    <w:rsid w:val="00EA522B"/>
    <w:rsid w:val="00EA5340"/>
    <w:rsid w:val="00EA5A22"/>
    <w:rsid w:val="00EA5A4F"/>
    <w:rsid w:val="00EA5AFA"/>
    <w:rsid w:val="00EA5B6F"/>
    <w:rsid w:val="00EA6602"/>
    <w:rsid w:val="00EA6ECA"/>
    <w:rsid w:val="00EA7007"/>
    <w:rsid w:val="00EA73A2"/>
    <w:rsid w:val="00EA75DC"/>
    <w:rsid w:val="00EA7828"/>
    <w:rsid w:val="00EA7A72"/>
    <w:rsid w:val="00EA7C4C"/>
    <w:rsid w:val="00EB0340"/>
    <w:rsid w:val="00EB077B"/>
    <w:rsid w:val="00EB0B6C"/>
    <w:rsid w:val="00EB0EB9"/>
    <w:rsid w:val="00EB0EEC"/>
    <w:rsid w:val="00EB18E4"/>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D71"/>
    <w:rsid w:val="00EC6FDA"/>
    <w:rsid w:val="00EC7056"/>
    <w:rsid w:val="00EC705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5D51"/>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DD"/>
    <w:rsid w:val="00EE5D24"/>
    <w:rsid w:val="00EE5F0D"/>
    <w:rsid w:val="00EE623A"/>
    <w:rsid w:val="00EE664D"/>
    <w:rsid w:val="00EE67DD"/>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4F8E"/>
    <w:rsid w:val="00EF526B"/>
    <w:rsid w:val="00EF5C68"/>
    <w:rsid w:val="00EF60FE"/>
    <w:rsid w:val="00EF6281"/>
    <w:rsid w:val="00EF6321"/>
    <w:rsid w:val="00EF6489"/>
    <w:rsid w:val="00EF661D"/>
    <w:rsid w:val="00EF66FF"/>
    <w:rsid w:val="00EF695C"/>
    <w:rsid w:val="00EF6DCF"/>
    <w:rsid w:val="00EF6DD2"/>
    <w:rsid w:val="00EF6EF5"/>
    <w:rsid w:val="00EF7072"/>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45"/>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830"/>
    <w:rsid w:val="00F06A6B"/>
    <w:rsid w:val="00F06D2A"/>
    <w:rsid w:val="00F06E36"/>
    <w:rsid w:val="00F07501"/>
    <w:rsid w:val="00F07789"/>
    <w:rsid w:val="00F0794F"/>
    <w:rsid w:val="00F102C5"/>
    <w:rsid w:val="00F104E1"/>
    <w:rsid w:val="00F10541"/>
    <w:rsid w:val="00F108F3"/>
    <w:rsid w:val="00F109AA"/>
    <w:rsid w:val="00F110EE"/>
    <w:rsid w:val="00F11159"/>
    <w:rsid w:val="00F11195"/>
    <w:rsid w:val="00F11230"/>
    <w:rsid w:val="00F11A18"/>
    <w:rsid w:val="00F11C38"/>
    <w:rsid w:val="00F11F62"/>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3E2"/>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4"/>
    <w:rsid w:val="00F24A48"/>
    <w:rsid w:val="00F24A59"/>
    <w:rsid w:val="00F25012"/>
    <w:rsid w:val="00F25485"/>
    <w:rsid w:val="00F25A7B"/>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2F"/>
    <w:rsid w:val="00F33B7B"/>
    <w:rsid w:val="00F33BD4"/>
    <w:rsid w:val="00F34561"/>
    <w:rsid w:val="00F34AA8"/>
    <w:rsid w:val="00F34ADB"/>
    <w:rsid w:val="00F35160"/>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C56"/>
    <w:rsid w:val="00F37EB0"/>
    <w:rsid w:val="00F4010B"/>
    <w:rsid w:val="00F40286"/>
    <w:rsid w:val="00F4089B"/>
    <w:rsid w:val="00F40ABB"/>
    <w:rsid w:val="00F40ADA"/>
    <w:rsid w:val="00F40AED"/>
    <w:rsid w:val="00F40B8A"/>
    <w:rsid w:val="00F40F7E"/>
    <w:rsid w:val="00F40FE0"/>
    <w:rsid w:val="00F4126D"/>
    <w:rsid w:val="00F412CE"/>
    <w:rsid w:val="00F41608"/>
    <w:rsid w:val="00F41658"/>
    <w:rsid w:val="00F416BA"/>
    <w:rsid w:val="00F41724"/>
    <w:rsid w:val="00F41895"/>
    <w:rsid w:val="00F418EC"/>
    <w:rsid w:val="00F41971"/>
    <w:rsid w:val="00F419A1"/>
    <w:rsid w:val="00F419BB"/>
    <w:rsid w:val="00F41A96"/>
    <w:rsid w:val="00F41C3B"/>
    <w:rsid w:val="00F41C8E"/>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4FC2"/>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0D"/>
    <w:rsid w:val="00F50051"/>
    <w:rsid w:val="00F5061E"/>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57EF5"/>
    <w:rsid w:val="00F60108"/>
    <w:rsid w:val="00F60127"/>
    <w:rsid w:val="00F603BA"/>
    <w:rsid w:val="00F61505"/>
    <w:rsid w:val="00F619A9"/>
    <w:rsid w:val="00F61CC0"/>
    <w:rsid w:val="00F61DDA"/>
    <w:rsid w:val="00F6204B"/>
    <w:rsid w:val="00F62114"/>
    <w:rsid w:val="00F623A6"/>
    <w:rsid w:val="00F623D5"/>
    <w:rsid w:val="00F624BA"/>
    <w:rsid w:val="00F62577"/>
    <w:rsid w:val="00F62583"/>
    <w:rsid w:val="00F626BB"/>
    <w:rsid w:val="00F62986"/>
    <w:rsid w:val="00F62991"/>
    <w:rsid w:val="00F62A35"/>
    <w:rsid w:val="00F62CC8"/>
    <w:rsid w:val="00F63311"/>
    <w:rsid w:val="00F63851"/>
    <w:rsid w:val="00F63A58"/>
    <w:rsid w:val="00F63E86"/>
    <w:rsid w:val="00F64115"/>
    <w:rsid w:val="00F6434A"/>
    <w:rsid w:val="00F646F5"/>
    <w:rsid w:val="00F64751"/>
    <w:rsid w:val="00F64E90"/>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0D2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779"/>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3B02"/>
    <w:rsid w:val="00F9418D"/>
    <w:rsid w:val="00F94395"/>
    <w:rsid w:val="00F945E0"/>
    <w:rsid w:val="00F94837"/>
    <w:rsid w:val="00F9484E"/>
    <w:rsid w:val="00F94B32"/>
    <w:rsid w:val="00F94BDC"/>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24B3"/>
    <w:rsid w:val="00FA2708"/>
    <w:rsid w:val="00FA2727"/>
    <w:rsid w:val="00FA2771"/>
    <w:rsid w:val="00FA2A3D"/>
    <w:rsid w:val="00FA2B96"/>
    <w:rsid w:val="00FA2E23"/>
    <w:rsid w:val="00FA3146"/>
    <w:rsid w:val="00FA31E3"/>
    <w:rsid w:val="00FA35E8"/>
    <w:rsid w:val="00FA3A0A"/>
    <w:rsid w:val="00FA4329"/>
    <w:rsid w:val="00FA446D"/>
    <w:rsid w:val="00FA47DA"/>
    <w:rsid w:val="00FA4906"/>
    <w:rsid w:val="00FA4C39"/>
    <w:rsid w:val="00FA4F7A"/>
    <w:rsid w:val="00FA5078"/>
    <w:rsid w:val="00FA5244"/>
    <w:rsid w:val="00FA55DB"/>
    <w:rsid w:val="00FA583B"/>
    <w:rsid w:val="00FA624C"/>
    <w:rsid w:val="00FA6446"/>
    <w:rsid w:val="00FA6515"/>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7D"/>
    <w:rsid w:val="00FB07E8"/>
    <w:rsid w:val="00FB0C9E"/>
    <w:rsid w:val="00FB0F08"/>
    <w:rsid w:val="00FB0F10"/>
    <w:rsid w:val="00FB140B"/>
    <w:rsid w:val="00FB1859"/>
    <w:rsid w:val="00FB1935"/>
    <w:rsid w:val="00FB1A41"/>
    <w:rsid w:val="00FB1ABB"/>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0C6"/>
    <w:rsid w:val="00FB5182"/>
    <w:rsid w:val="00FB53E3"/>
    <w:rsid w:val="00FB566D"/>
    <w:rsid w:val="00FB587D"/>
    <w:rsid w:val="00FB5880"/>
    <w:rsid w:val="00FB5B40"/>
    <w:rsid w:val="00FB5BBE"/>
    <w:rsid w:val="00FB5D16"/>
    <w:rsid w:val="00FB5E9C"/>
    <w:rsid w:val="00FB5F51"/>
    <w:rsid w:val="00FB60DF"/>
    <w:rsid w:val="00FB6449"/>
    <w:rsid w:val="00FB6504"/>
    <w:rsid w:val="00FB6773"/>
    <w:rsid w:val="00FB69CF"/>
    <w:rsid w:val="00FB6B07"/>
    <w:rsid w:val="00FB6BA1"/>
    <w:rsid w:val="00FB6C90"/>
    <w:rsid w:val="00FB6CB2"/>
    <w:rsid w:val="00FB6D4D"/>
    <w:rsid w:val="00FB6F4F"/>
    <w:rsid w:val="00FB7222"/>
    <w:rsid w:val="00FB7396"/>
    <w:rsid w:val="00FB741A"/>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90B"/>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528"/>
    <w:rsid w:val="00FC48FE"/>
    <w:rsid w:val="00FC4D41"/>
    <w:rsid w:val="00FC4FC9"/>
    <w:rsid w:val="00FC52FB"/>
    <w:rsid w:val="00FC592E"/>
    <w:rsid w:val="00FC5937"/>
    <w:rsid w:val="00FC5D4F"/>
    <w:rsid w:val="00FC5FD2"/>
    <w:rsid w:val="00FC608D"/>
    <w:rsid w:val="00FC60A5"/>
    <w:rsid w:val="00FC617F"/>
    <w:rsid w:val="00FC6372"/>
    <w:rsid w:val="00FC63C2"/>
    <w:rsid w:val="00FC64F6"/>
    <w:rsid w:val="00FC656F"/>
    <w:rsid w:val="00FC672F"/>
    <w:rsid w:val="00FC6C6D"/>
    <w:rsid w:val="00FC6C8E"/>
    <w:rsid w:val="00FC6CCF"/>
    <w:rsid w:val="00FC720C"/>
    <w:rsid w:val="00FC73EB"/>
    <w:rsid w:val="00FD0BB7"/>
    <w:rsid w:val="00FD0CD2"/>
    <w:rsid w:val="00FD0E43"/>
    <w:rsid w:val="00FD0F39"/>
    <w:rsid w:val="00FD1555"/>
    <w:rsid w:val="00FD15B5"/>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A79"/>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1077"/>
    <w:rsid w:val="00FE1136"/>
    <w:rsid w:val="00FE12BF"/>
    <w:rsid w:val="00FE1773"/>
    <w:rsid w:val="00FE1813"/>
    <w:rsid w:val="00FE1AEA"/>
    <w:rsid w:val="00FE1F1C"/>
    <w:rsid w:val="00FE21BD"/>
    <w:rsid w:val="00FE2839"/>
    <w:rsid w:val="00FE2AD3"/>
    <w:rsid w:val="00FE2BDA"/>
    <w:rsid w:val="00FE2D06"/>
    <w:rsid w:val="00FE313D"/>
    <w:rsid w:val="00FE315A"/>
    <w:rsid w:val="00FE32E0"/>
    <w:rsid w:val="00FE35A4"/>
    <w:rsid w:val="00FE39B7"/>
    <w:rsid w:val="00FE3A18"/>
    <w:rsid w:val="00FE3E10"/>
    <w:rsid w:val="00FE4123"/>
    <w:rsid w:val="00FE413C"/>
    <w:rsid w:val="00FE4734"/>
    <w:rsid w:val="00FE486D"/>
    <w:rsid w:val="00FE4A75"/>
    <w:rsid w:val="00FE4C2A"/>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E3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42"/>
    <w:rsid w:val="00FF2953"/>
    <w:rsid w:val="00FF30F1"/>
    <w:rsid w:val="00FF3130"/>
    <w:rsid w:val="00FF313B"/>
    <w:rsid w:val="00FF3150"/>
    <w:rsid w:val="00FF31F7"/>
    <w:rsid w:val="00FF359D"/>
    <w:rsid w:val="00FF3C3C"/>
    <w:rsid w:val="00FF3DF5"/>
    <w:rsid w:val="00FF3F55"/>
    <w:rsid w:val="00FF4044"/>
    <w:rsid w:val="00FF43F0"/>
    <w:rsid w:val="00FF4B3F"/>
    <w:rsid w:val="00FF4B8F"/>
    <w:rsid w:val="00FF4D84"/>
    <w:rsid w:val="00FF524E"/>
    <w:rsid w:val="00FF52B6"/>
    <w:rsid w:val="00FF562A"/>
    <w:rsid w:val="00FF57D9"/>
    <w:rsid w:val="00FF585E"/>
    <w:rsid w:val="00FF5975"/>
    <w:rsid w:val="00FF5B6B"/>
    <w:rsid w:val="00FF5C2A"/>
    <w:rsid w:val="00FF5EEB"/>
    <w:rsid w:val="00FF6037"/>
    <w:rsid w:val="00FF615B"/>
    <w:rsid w:val="00FF6664"/>
    <w:rsid w:val="00FF6832"/>
    <w:rsid w:val="00FF6A9D"/>
    <w:rsid w:val="00FF6BB9"/>
    <w:rsid w:val="00FF6F78"/>
    <w:rsid w:val="00FF6FBA"/>
    <w:rsid w:val="00FF72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qFormat="1"/>
    <w:lsdException w:name="footnote reference" w:qFormat="1"/>
    <w:lsdException w:name="endnote text" w:uiPriority="99"/>
    <w:lsdException w:name="List Bullet" w:uiPriority="99"/>
    <w:lsdException w:name="List Bullet 2"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240"/>
      <w:jc w:val="both"/>
    </w:pPr>
    <w:rPr>
      <w:rFonts w:ascii="Courier New" w:hAnsi="Courier New"/>
      <w:sz w:val="24"/>
      <w:lang w:val="en-GB"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uiPriority w:val="99"/>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lang w:val="en-GB" w:eastAsia="en-GB"/>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lang w:val="en-GB" w:eastAsia="en-GB"/>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uiPriority w:val="99"/>
    <w:rsid w:val="00EA16CF"/>
    <w:rPr>
      <w:rFonts w:ascii="Courier New" w:hAnsi="Courier New"/>
      <w:sz w:val="24"/>
      <w:lang w:val="en-GB" w:eastAsia="en-GB"/>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lang w:val="en-GB" w:eastAsia="en-GB"/>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uiPriority w:val="99"/>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lang w:val="en-GB" w:eastAsia="en-GB"/>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Issue Action POC"/>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lang w:val="en-GB" w:eastAsia="en-GB"/>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val="en-GB"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val="en-GB"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val="en-GB"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numbering" w:customStyle="1" w:styleId="ImportedStyle1">
    <w:name w:val="Imported Style 1"/>
    <w:rsid w:val="003E3B62"/>
    <w:pPr>
      <w:numPr>
        <w:numId w:val="23"/>
      </w:numPr>
    </w:p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sid w:val="00F93B02"/>
    <w:rPr>
      <w:rFonts w:ascii="Calibri" w:eastAsia="Calibri" w:hAnsi="Calibri"/>
      <w:sz w:val="22"/>
      <w:szCs w:val="22"/>
      <w:lang w:val="en-US" w:eastAsia="en-US"/>
    </w:rPr>
  </w:style>
  <w:style w:type="paragraph" w:customStyle="1" w:styleId="Body">
    <w:name w:val="Body"/>
    <w:rsid w:val="004461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GB"/>
    </w:rPr>
  </w:style>
  <w:style w:type="numbering" w:customStyle="1" w:styleId="ImportedStyle2">
    <w:name w:val="Imported Style 2"/>
    <w:rsid w:val="004461F6"/>
    <w:pPr>
      <w:numPr>
        <w:numId w:val="24"/>
      </w:numPr>
    </w:pPr>
  </w:style>
  <w:style w:type="character" w:customStyle="1" w:styleId="Hyperlink0">
    <w:name w:val="Hyperlink.0"/>
    <w:rsid w:val="004461F6"/>
    <w:rPr>
      <w:color w:val="0000FF"/>
      <w:u w:val="single" w:color="0000FF"/>
      <w:lang w:val="en-US"/>
    </w:rPr>
  </w:style>
  <w:style w:type="paragraph" w:customStyle="1" w:styleId="Standard">
    <w:name w:val="Standard"/>
    <w:rsid w:val="003A657A"/>
    <w:pPr>
      <w:suppressAutoHyphens/>
      <w:autoSpaceDN w:val="0"/>
      <w:spacing w:after="200" w:line="276" w:lineRule="auto"/>
      <w:textAlignment w:val="baseline"/>
    </w:pPr>
    <w:rPr>
      <w:rFonts w:ascii="Calibri" w:eastAsia="SimSun" w:hAnsi="Calibri" w:cs="Calibri"/>
      <w:kern w:val="3"/>
      <w:sz w:val="22"/>
      <w:szCs w:val="22"/>
      <w:lang w:val="en-GB" w:eastAsia="en-US"/>
    </w:rPr>
  </w:style>
  <w:style w:type="numbering" w:customStyle="1" w:styleId="WWNum1">
    <w:name w:val="WWNum1"/>
    <w:basedOn w:val="NoList"/>
    <w:rsid w:val="003A657A"/>
    <w:pPr>
      <w:numPr>
        <w:numId w:val="2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xt1">
    <w:name w:val="111111"/>
    <w:pPr>
      <w:numPr>
        <w:numId w:val="21"/>
      </w:numPr>
    </w:pPr>
  </w:style>
  <w:style w:type="numbering" w:customStyle="1" w:styleId="Text2">
    <w:name w:val="ImportedStyle1"/>
    <w:pPr>
      <w:numPr>
        <w:numId w:val="23"/>
      </w:numPr>
    </w:pPr>
  </w:style>
  <w:style w:type="numbering" w:customStyle="1" w:styleId="Text3">
    <w:name w:val="WWNum1"/>
    <w:pPr>
      <w:numPr>
        <w:numId w:val="25"/>
      </w:numPr>
    </w:pPr>
  </w:style>
  <w:style w:type="numbering" w:customStyle="1" w:styleId="Text4">
    <w:name w:val="ImportedStyle2"/>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92797">
      <w:bodyDiv w:val="1"/>
      <w:marLeft w:val="0"/>
      <w:marRight w:val="0"/>
      <w:marTop w:val="0"/>
      <w:marBottom w:val="0"/>
      <w:divBdr>
        <w:top w:val="none" w:sz="0" w:space="0" w:color="auto"/>
        <w:left w:val="none" w:sz="0" w:space="0" w:color="auto"/>
        <w:bottom w:val="none" w:sz="0" w:space="0" w:color="auto"/>
        <w:right w:val="none" w:sz="0" w:space="0" w:color="auto"/>
      </w:divBdr>
    </w:div>
    <w:div w:id="227765913">
      <w:bodyDiv w:val="1"/>
      <w:marLeft w:val="0"/>
      <w:marRight w:val="0"/>
      <w:marTop w:val="0"/>
      <w:marBottom w:val="0"/>
      <w:divBdr>
        <w:top w:val="none" w:sz="0" w:space="0" w:color="auto"/>
        <w:left w:val="none" w:sz="0" w:space="0" w:color="auto"/>
        <w:bottom w:val="none" w:sz="0" w:space="0" w:color="auto"/>
        <w:right w:val="none" w:sz="0" w:space="0" w:color="auto"/>
      </w:divBdr>
    </w:div>
    <w:div w:id="700864888">
      <w:bodyDiv w:val="1"/>
      <w:marLeft w:val="0"/>
      <w:marRight w:val="0"/>
      <w:marTop w:val="0"/>
      <w:marBottom w:val="0"/>
      <w:divBdr>
        <w:top w:val="none" w:sz="0" w:space="0" w:color="auto"/>
        <w:left w:val="none" w:sz="0" w:space="0" w:color="auto"/>
        <w:bottom w:val="none" w:sz="0" w:space="0" w:color="auto"/>
        <w:right w:val="none" w:sz="0" w:space="0" w:color="auto"/>
      </w:divBdr>
    </w:div>
    <w:div w:id="783037046">
      <w:bodyDiv w:val="1"/>
      <w:marLeft w:val="0"/>
      <w:marRight w:val="0"/>
      <w:marTop w:val="0"/>
      <w:marBottom w:val="0"/>
      <w:divBdr>
        <w:top w:val="none" w:sz="0" w:space="0" w:color="auto"/>
        <w:left w:val="none" w:sz="0" w:space="0" w:color="auto"/>
        <w:bottom w:val="none" w:sz="0" w:space="0" w:color="auto"/>
        <w:right w:val="none" w:sz="0" w:space="0" w:color="auto"/>
      </w:divBdr>
    </w:div>
    <w:div w:id="819807736">
      <w:bodyDiv w:val="1"/>
      <w:marLeft w:val="0"/>
      <w:marRight w:val="0"/>
      <w:marTop w:val="0"/>
      <w:marBottom w:val="0"/>
      <w:divBdr>
        <w:top w:val="none" w:sz="0" w:space="0" w:color="auto"/>
        <w:left w:val="none" w:sz="0" w:space="0" w:color="auto"/>
        <w:bottom w:val="none" w:sz="0" w:space="0" w:color="auto"/>
        <w:right w:val="none" w:sz="0" w:space="0" w:color="auto"/>
      </w:divBdr>
    </w:div>
    <w:div w:id="959847831">
      <w:bodyDiv w:val="1"/>
      <w:marLeft w:val="0"/>
      <w:marRight w:val="0"/>
      <w:marTop w:val="0"/>
      <w:marBottom w:val="0"/>
      <w:divBdr>
        <w:top w:val="none" w:sz="0" w:space="0" w:color="auto"/>
        <w:left w:val="none" w:sz="0" w:space="0" w:color="auto"/>
        <w:bottom w:val="none" w:sz="0" w:space="0" w:color="auto"/>
        <w:right w:val="none" w:sz="0" w:space="0" w:color="auto"/>
      </w:divBdr>
    </w:div>
    <w:div w:id="961494136">
      <w:bodyDiv w:val="1"/>
      <w:marLeft w:val="0"/>
      <w:marRight w:val="0"/>
      <w:marTop w:val="0"/>
      <w:marBottom w:val="0"/>
      <w:divBdr>
        <w:top w:val="none" w:sz="0" w:space="0" w:color="auto"/>
        <w:left w:val="none" w:sz="0" w:space="0" w:color="auto"/>
        <w:bottom w:val="none" w:sz="0" w:space="0" w:color="auto"/>
        <w:right w:val="none" w:sz="0" w:space="0" w:color="auto"/>
      </w:divBdr>
    </w:div>
    <w:div w:id="131271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56A87-F268-4702-8922-F43FA1E1F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TEL.DOTM</Template>
  <TotalTime>2</TotalTime>
  <Pages>4</Pages>
  <Words>1851</Words>
  <Characters>10557</Characters>
  <Application>Microsoft Office Word</Application>
  <DocSecurity>0</DocSecurity>
  <PresentationFormat>Microsoft Word 8.0b</PresentationFormat>
  <Lines>87</Lines>
  <Paragraphs>24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12384</CharactersWithSpaces>
  <SharedDoc>false</SharedDoc>
  <HLinks>
    <vt:vector size="240" baseType="variant">
      <vt:variant>
        <vt:i4>5636142</vt:i4>
      </vt:variant>
      <vt:variant>
        <vt:i4>9</vt:i4>
      </vt:variant>
      <vt:variant>
        <vt:i4>0</vt:i4>
      </vt:variant>
      <vt:variant>
        <vt:i4>5</vt:i4>
      </vt:variant>
      <vt:variant>
        <vt:lpwstr>http://ec.europa.eu/newsroom/document.cfm?doc_id=44515</vt:lpwstr>
      </vt:variant>
      <vt:variant>
        <vt:lpwstr/>
      </vt:variant>
      <vt:variant>
        <vt:i4>2228328</vt:i4>
      </vt:variant>
      <vt:variant>
        <vt:i4>6</vt:i4>
      </vt:variant>
      <vt:variant>
        <vt:i4>0</vt:i4>
      </vt:variant>
      <vt:variant>
        <vt:i4>5</vt:i4>
      </vt:variant>
      <vt:variant>
        <vt:lpwstr>http://ec.europa.eu/trade/policy/in-focus/eu-japan-free-trade-agreement/meetings-and-documents/</vt:lpwstr>
      </vt:variant>
      <vt:variant>
        <vt:lpwstr/>
      </vt:variant>
      <vt:variant>
        <vt:i4>851998</vt:i4>
      </vt:variant>
      <vt:variant>
        <vt:i4>3</vt:i4>
      </vt:variant>
      <vt:variant>
        <vt:i4>0</vt:i4>
      </vt:variant>
      <vt:variant>
        <vt:i4>5</vt:i4>
      </vt:variant>
      <vt:variant>
        <vt:lpwstr>http://www.europarl.europa.eu/sides/getDoc.do?type=REPORT&amp;mode=XML&amp;reference=A8-2017-0266&amp;language=FR</vt:lpwstr>
      </vt:variant>
      <vt:variant>
        <vt:lpwstr/>
      </vt:variant>
      <vt:variant>
        <vt:i4>851998</vt:i4>
      </vt:variant>
      <vt:variant>
        <vt:i4>0</vt:i4>
      </vt:variant>
      <vt:variant>
        <vt:i4>0</vt:i4>
      </vt:variant>
      <vt:variant>
        <vt:i4>5</vt:i4>
      </vt:variant>
      <vt:variant>
        <vt:lpwstr>http://www.europarl.europa.eu/sides/getDoc.do?type=REPORT&amp;mode=XML&amp;reference=A8-2017-0266&amp;language=FR</vt:lpwstr>
      </vt:variant>
      <vt:variant>
        <vt:lpwstr/>
      </vt:variant>
      <vt:variant>
        <vt:i4>1835105</vt:i4>
      </vt:variant>
      <vt:variant>
        <vt:i4>105</vt:i4>
      </vt:variant>
      <vt:variant>
        <vt:i4>0</vt:i4>
      </vt:variant>
      <vt:variant>
        <vt:i4>5</vt:i4>
      </vt:variant>
      <vt:variant>
        <vt:lpwstr>https://ec.europa.eu/commission/sites/beta-political/files/reflection-paper-eu-finances_en.pdf</vt:lpwstr>
      </vt:variant>
      <vt:variant>
        <vt:lpwstr/>
      </vt:variant>
      <vt:variant>
        <vt:i4>1900561</vt:i4>
      </vt:variant>
      <vt:variant>
        <vt:i4>102</vt:i4>
      </vt:variant>
      <vt:variant>
        <vt:i4>0</vt:i4>
      </vt:variant>
      <vt:variant>
        <vt:i4>5</vt:i4>
      </vt:variant>
      <vt:variant>
        <vt:lpwstr>https://ec.europa.eu/digital-single-market/en/digital-skills-initiatives</vt:lpwstr>
      </vt:variant>
      <vt:variant>
        <vt:lpwstr/>
      </vt:variant>
      <vt:variant>
        <vt:i4>4</vt:i4>
      </vt:variant>
      <vt:variant>
        <vt:i4>99</vt:i4>
      </vt:variant>
      <vt:variant>
        <vt:i4>0</vt:i4>
      </vt:variant>
      <vt:variant>
        <vt:i4>5</vt:i4>
      </vt:variant>
      <vt:variant>
        <vt:lpwstr>https://ec.europa.eu/digital-single-market/en/news/shared-concept-national-digital-skills-strategies</vt:lpwstr>
      </vt:variant>
      <vt:variant>
        <vt:lpwstr/>
      </vt:variant>
      <vt:variant>
        <vt:i4>3670052</vt:i4>
      </vt:variant>
      <vt:variant>
        <vt:i4>96</vt:i4>
      </vt:variant>
      <vt:variant>
        <vt:i4>0</vt:i4>
      </vt:variant>
      <vt:variant>
        <vt:i4>5</vt:i4>
      </vt:variant>
      <vt:variant>
        <vt:lpwstr>https://ec.europa.eu/digital-single-market/en/national-local-coalitions</vt:lpwstr>
      </vt:variant>
      <vt:variant>
        <vt:lpwstr/>
      </vt:variant>
      <vt:variant>
        <vt:i4>6881389</vt:i4>
      </vt:variant>
      <vt:variant>
        <vt:i4>93</vt:i4>
      </vt:variant>
      <vt:variant>
        <vt:i4>0</vt:i4>
      </vt:variant>
      <vt:variant>
        <vt:i4>5</vt:i4>
      </vt:variant>
      <vt:variant>
        <vt:lpwstr>http://ec.europa.eu/social/main.jsp?catId=1223</vt:lpwstr>
      </vt:variant>
      <vt:variant>
        <vt:lpwstr/>
      </vt:variant>
      <vt:variant>
        <vt:i4>5242936</vt:i4>
      </vt:variant>
      <vt:variant>
        <vt:i4>90</vt:i4>
      </vt:variant>
      <vt:variant>
        <vt:i4>0</vt:i4>
      </vt:variant>
      <vt:variant>
        <vt:i4>5</vt:i4>
      </vt:variant>
      <vt:variant>
        <vt:lpwstr>https://ec.europa.eu/commission/sites/beta-political/files/communication-strengthening-european-identity-education-culture_en.pdf</vt:lpwstr>
      </vt:variant>
      <vt:variant>
        <vt:lpwstr/>
      </vt:variant>
      <vt:variant>
        <vt:i4>5373977</vt:i4>
      </vt:variant>
      <vt:variant>
        <vt:i4>87</vt:i4>
      </vt:variant>
      <vt:variant>
        <vt:i4>0</vt:i4>
      </vt:variant>
      <vt:variant>
        <vt:i4>5</vt:i4>
      </vt:variant>
      <vt:variant>
        <vt:lpwstr>http://eur-lex.europa.eu/LexUriServ/LexUriServ.do?uri=OJ:C:2012:398:0001:0005:EN:PDF</vt:lpwstr>
      </vt:variant>
      <vt:variant>
        <vt:lpwstr/>
      </vt:variant>
      <vt:variant>
        <vt:i4>7209040</vt:i4>
      </vt:variant>
      <vt:variant>
        <vt:i4>84</vt:i4>
      </vt:variant>
      <vt:variant>
        <vt:i4>0</vt:i4>
      </vt:variant>
      <vt:variant>
        <vt:i4>5</vt:i4>
      </vt:variant>
      <vt:variant>
        <vt:lpwstr>http://trade.ec.europa.eu/doclib/docs/2015/october/tradoc_153846.pdf</vt:lpwstr>
      </vt:variant>
      <vt:variant>
        <vt:lpwstr/>
      </vt:variant>
      <vt:variant>
        <vt:i4>4980752</vt:i4>
      </vt:variant>
      <vt:variant>
        <vt:i4>81</vt:i4>
      </vt:variant>
      <vt:variant>
        <vt:i4>0</vt:i4>
      </vt:variant>
      <vt:variant>
        <vt:i4>5</vt:i4>
      </vt:variant>
      <vt:variant>
        <vt:lpwstr>http://ec.europa.eu/research/evaluations/pdf/archive/other_reports_studies_and_documents/hlg_2017_report.pdf</vt:lpwstr>
      </vt:variant>
      <vt:variant>
        <vt:lpwstr>view=fit&amp;pagemode=none</vt:lpwstr>
      </vt:variant>
      <vt:variant>
        <vt:i4>6881290</vt:i4>
      </vt:variant>
      <vt:variant>
        <vt:i4>78</vt:i4>
      </vt:variant>
      <vt:variant>
        <vt:i4>0</vt:i4>
      </vt:variant>
      <vt:variant>
        <vt:i4>5</vt:i4>
      </vt:variant>
      <vt:variant>
        <vt:lpwstr>https://ec.europa.eu/education/sites/education/files/he-com-2017-247_en.pdf</vt:lpwstr>
      </vt:variant>
      <vt:variant>
        <vt:lpwstr/>
      </vt:variant>
      <vt:variant>
        <vt:i4>4390953</vt:i4>
      </vt:variant>
      <vt:variant>
        <vt:i4>75</vt:i4>
      </vt:variant>
      <vt:variant>
        <vt:i4>0</vt:i4>
      </vt:variant>
      <vt:variant>
        <vt:i4>5</vt:i4>
      </vt:variant>
      <vt:variant>
        <vt:lpwstr>https://ec.europa.eu/info/better-regulation-guidelines-and-toolbox_en</vt:lpwstr>
      </vt:variant>
      <vt:variant>
        <vt:lpwstr/>
      </vt:variant>
      <vt:variant>
        <vt:i4>1441802</vt:i4>
      </vt:variant>
      <vt:variant>
        <vt:i4>72</vt:i4>
      </vt:variant>
      <vt:variant>
        <vt:i4>0</vt:i4>
      </vt:variant>
      <vt:variant>
        <vt:i4>5</vt:i4>
      </vt:variant>
      <vt:variant>
        <vt:lpwstr>http://www.basel.int/Implementation/StrategicFramework/Decisions/tabid/3808/Default.aspx</vt:lpwstr>
      </vt:variant>
      <vt:variant>
        <vt:lpwstr/>
      </vt:variant>
      <vt:variant>
        <vt:i4>393309</vt:i4>
      </vt:variant>
      <vt:variant>
        <vt:i4>69</vt:i4>
      </vt:variant>
      <vt:variant>
        <vt:i4>0</vt:i4>
      </vt:variant>
      <vt:variant>
        <vt:i4>5</vt:i4>
      </vt:variant>
      <vt:variant>
        <vt:lpwstr>http://trade.ec.europa.eu/doclib/events/index.cfm?id=1647</vt:lpwstr>
      </vt:variant>
      <vt:variant>
        <vt:lpwstr/>
      </vt:variant>
      <vt:variant>
        <vt:i4>8060932</vt:i4>
      </vt:variant>
      <vt:variant>
        <vt:i4>66</vt:i4>
      </vt:variant>
      <vt:variant>
        <vt:i4>0</vt:i4>
      </vt:variant>
      <vt:variant>
        <vt:i4>5</vt:i4>
      </vt:variant>
      <vt:variant>
        <vt:lpwstr>https://e-justice.europa.eu/content_crossborder_family_mediation-372-en.do</vt:lpwstr>
      </vt:variant>
      <vt:variant>
        <vt:lpwstr/>
      </vt:variant>
      <vt:variant>
        <vt:i4>3932184</vt:i4>
      </vt:variant>
      <vt:variant>
        <vt:i4>63</vt:i4>
      </vt:variant>
      <vt:variant>
        <vt:i4>0</vt:i4>
      </vt:variant>
      <vt:variant>
        <vt:i4>5</vt:i4>
      </vt:variant>
      <vt:variant>
        <vt:lpwstr>https://ec.europa.eu/info/consultations/finance-2017-investment-protection-mediation_en</vt:lpwstr>
      </vt:variant>
      <vt:variant>
        <vt:lpwstr/>
      </vt:variant>
      <vt:variant>
        <vt:i4>8257565</vt:i4>
      </vt:variant>
      <vt:variant>
        <vt:i4>60</vt:i4>
      </vt:variant>
      <vt:variant>
        <vt:i4>0</vt:i4>
      </vt:variant>
      <vt:variant>
        <vt:i4>5</vt:i4>
      </vt:variant>
      <vt:variant>
        <vt:lpwstr>http://ec.europa.eu/eurostat/statistics-explained/index.php/Tertiary_education_statistics</vt:lpwstr>
      </vt:variant>
      <vt:variant>
        <vt:lpwstr>Gender_distribution_of_participation</vt:lpwstr>
      </vt:variant>
      <vt:variant>
        <vt:i4>655453</vt:i4>
      </vt:variant>
      <vt:variant>
        <vt:i4>57</vt:i4>
      </vt:variant>
      <vt:variant>
        <vt:i4>0</vt:i4>
      </vt:variant>
      <vt:variant>
        <vt:i4>5</vt:i4>
      </vt:variant>
      <vt:variant>
        <vt:lpwstr>https://oerknowledgecloud.org/sites/oerknowledgecloud.org/files/282-1432-2-PB.pdf</vt:lpwstr>
      </vt:variant>
      <vt:variant>
        <vt:lpwstr/>
      </vt:variant>
      <vt:variant>
        <vt:i4>2424844</vt:i4>
      </vt:variant>
      <vt:variant>
        <vt:i4>54</vt:i4>
      </vt:variant>
      <vt:variant>
        <vt:i4>0</vt:i4>
      </vt:variant>
      <vt:variant>
        <vt:i4>5</vt:i4>
      </vt:variant>
      <vt:variant>
        <vt:lpwstr>http://ec.europa.eu/education/policy/strategic-framework/expert-groups/digital-skills-competences_en</vt:lpwstr>
      </vt:variant>
      <vt:variant>
        <vt:lpwstr/>
      </vt:variant>
      <vt:variant>
        <vt:i4>8192096</vt:i4>
      </vt:variant>
      <vt:variant>
        <vt:i4>51</vt:i4>
      </vt:variant>
      <vt:variant>
        <vt:i4>0</vt:i4>
      </vt:variant>
      <vt:variant>
        <vt:i4>5</vt:i4>
      </vt:variant>
      <vt:variant>
        <vt:lpwstr>http://eur-lex.europa.eu/legal-content/EN/TXT/?uri=CELEX%3A52013DC0654</vt:lpwstr>
      </vt:variant>
      <vt:variant>
        <vt:lpwstr/>
      </vt:variant>
      <vt:variant>
        <vt:i4>7995500</vt:i4>
      </vt:variant>
      <vt:variant>
        <vt:i4>48</vt:i4>
      </vt:variant>
      <vt:variant>
        <vt:i4>0</vt:i4>
      </vt:variant>
      <vt:variant>
        <vt:i4>5</vt:i4>
      </vt:variant>
      <vt:variant>
        <vt:lpwstr>http://eur-lex.europa.eu/legal-content/EN/TXT/?uri=CELEX%3A52015DC0192</vt:lpwstr>
      </vt:variant>
      <vt:variant>
        <vt:lpwstr/>
      </vt:variant>
      <vt:variant>
        <vt:i4>2621465</vt:i4>
      </vt:variant>
      <vt:variant>
        <vt:i4>45</vt:i4>
      </vt:variant>
      <vt:variant>
        <vt:i4>0</vt:i4>
      </vt:variant>
      <vt:variant>
        <vt:i4>5</vt:i4>
      </vt:variant>
      <vt:variant>
        <vt:lpwstr>https://ec.europa.eu/commission/sites/beta-political/files/white_paper_on_the_future_of_europe_en.pdf</vt:lpwstr>
      </vt:variant>
      <vt:variant>
        <vt:lpwstr/>
      </vt:variant>
      <vt:variant>
        <vt:i4>7995407</vt:i4>
      </vt:variant>
      <vt:variant>
        <vt:i4>42</vt:i4>
      </vt:variant>
      <vt:variant>
        <vt:i4>0</vt:i4>
      </vt:variant>
      <vt:variant>
        <vt:i4>5</vt:i4>
      </vt:variant>
      <vt:variant>
        <vt:lpwstr>https://ec.europa.eu/education/sites/education/files/school-com-2017-248_en.pdf</vt:lpwstr>
      </vt:variant>
      <vt:variant>
        <vt:lpwstr/>
      </vt:variant>
      <vt:variant>
        <vt:i4>6881290</vt:i4>
      </vt:variant>
      <vt:variant>
        <vt:i4>39</vt:i4>
      </vt:variant>
      <vt:variant>
        <vt:i4>0</vt:i4>
      </vt:variant>
      <vt:variant>
        <vt:i4>5</vt:i4>
      </vt:variant>
      <vt:variant>
        <vt:lpwstr>https://ec.europa.eu/education/sites/education/files/he-com-2017-247_en.pdf</vt:lpwstr>
      </vt:variant>
      <vt:variant>
        <vt:lpwstr/>
      </vt:variant>
      <vt:variant>
        <vt:i4>7274497</vt:i4>
      </vt:variant>
      <vt:variant>
        <vt:i4>36</vt:i4>
      </vt:variant>
      <vt:variant>
        <vt:i4>0</vt:i4>
      </vt:variant>
      <vt:variant>
        <vt:i4>5</vt:i4>
      </vt:variant>
      <vt:variant>
        <vt:lpwstr>http://ec.europa.eu/education/policy/strategic-framework_en</vt:lpwstr>
      </vt:variant>
      <vt:variant>
        <vt:lpwstr/>
      </vt:variant>
      <vt:variant>
        <vt:i4>6226001</vt:i4>
      </vt:variant>
      <vt:variant>
        <vt:i4>33</vt:i4>
      </vt:variant>
      <vt:variant>
        <vt:i4>0</vt:i4>
      </vt:variant>
      <vt:variant>
        <vt:i4>5</vt:i4>
      </vt:variant>
      <vt:variant>
        <vt:lpwstr>https://eadtu.eu/</vt:lpwstr>
      </vt:variant>
      <vt:variant>
        <vt:lpwstr/>
      </vt:variant>
      <vt:variant>
        <vt:i4>6553658</vt:i4>
      </vt:variant>
      <vt:variant>
        <vt:i4>30</vt:i4>
      </vt:variant>
      <vt:variant>
        <vt:i4>0</vt:i4>
      </vt:variant>
      <vt:variant>
        <vt:i4>5</vt:i4>
      </vt:variant>
      <vt:variant>
        <vt:lpwstr>http://www.enqa.eu/</vt:lpwstr>
      </vt:variant>
      <vt:variant>
        <vt:lpwstr/>
      </vt:variant>
      <vt:variant>
        <vt:i4>1900649</vt:i4>
      </vt:variant>
      <vt:variant>
        <vt:i4>27</vt:i4>
      </vt:variant>
      <vt:variant>
        <vt:i4>0</vt:i4>
      </vt:variant>
      <vt:variant>
        <vt:i4>5</vt:i4>
      </vt:variant>
      <vt:variant>
        <vt:lpwstr>https://ec.europa.eu/education/resources/national-academic-recognition-centres_en</vt:lpwstr>
      </vt:variant>
      <vt:variant>
        <vt:lpwstr/>
      </vt:variant>
      <vt:variant>
        <vt:i4>131112</vt:i4>
      </vt:variant>
      <vt:variant>
        <vt:i4>24</vt:i4>
      </vt:variant>
      <vt:variant>
        <vt:i4>0</vt:i4>
      </vt:variant>
      <vt:variant>
        <vt:i4>5</vt:i4>
      </vt:variant>
      <vt:variant>
        <vt:lpwstr>https://ec.europa.eu/epale/sites/epale/files/qa_vet_ds_0.pdf</vt:lpwstr>
      </vt:variant>
      <vt:variant>
        <vt:lpwstr/>
      </vt:variant>
      <vt:variant>
        <vt:i4>1310756</vt:i4>
      </vt:variant>
      <vt:variant>
        <vt:i4>21</vt:i4>
      </vt:variant>
      <vt:variant>
        <vt:i4>0</vt:i4>
      </vt:variant>
      <vt:variant>
        <vt:i4>5</vt:i4>
      </vt:variant>
      <vt:variant>
        <vt:lpwstr>http://www.enqa.eu/wp-content/uploads/2015/11/ESG_2015.pdf</vt:lpwstr>
      </vt:variant>
      <vt:variant>
        <vt:lpwstr/>
      </vt:variant>
      <vt:variant>
        <vt:i4>6946889</vt:i4>
      </vt:variant>
      <vt:variant>
        <vt:i4>18</vt:i4>
      </vt:variant>
      <vt:variant>
        <vt:i4>0</vt:i4>
      </vt:variant>
      <vt:variant>
        <vt:i4>5</vt:i4>
      </vt:variant>
      <vt:variant>
        <vt:lpwstr>https://ec.europa.eu/education/policy/vocational-policy/ecvet_en</vt:lpwstr>
      </vt:variant>
      <vt:variant>
        <vt:lpwstr/>
      </vt:variant>
      <vt:variant>
        <vt:i4>393245</vt:i4>
      </vt:variant>
      <vt:variant>
        <vt:i4>15</vt:i4>
      </vt:variant>
      <vt:variant>
        <vt:i4>0</vt:i4>
      </vt:variant>
      <vt:variant>
        <vt:i4>5</vt:i4>
      </vt:variant>
      <vt:variant>
        <vt:lpwstr>http://data.consilium.europa.eu/doc/document/ST-9620-2017-INIT/en/pdf</vt:lpwstr>
      </vt:variant>
      <vt:variant>
        <vt:lpwstr/>
      </vt:variant>
      <vt:variant>
        <vt:i4>4456449</vt:i4>
      </vt:variant>
      <vt:variant>
        <vt:i4>12</vt:i4>
      </vt:variant>
      <vt:variant>
        <vt:i4>0</vt:i4>
      </vt:variant>
      <vt:variant>
        <vt:i4>5</vt:i4>
      </vt:variant>
      <vt:variant>
        <vt:lpwstr>http://ec.europa.eu/dgs/education_culture/repository/education/policy/vocational-policy/doc/2015-riga-conclusions_en.pdf</vt:lpwstr>
      </vt:variant>
      <vt:variant>
        <vt:lpwstr/>
      </vt:variant>
      <vt:variant>
        <vt:i4>1638481</vt:i4>
      </vt:variant>
      <vt:variant>
        <vt:i4>9</vt:i4>
      </vt:variant>
      <vt:variant>
        <vt:i4>0</vt:i4>
      </vt:variant>
      <vt:variant>
        <vt:i4>5</vt:i4>
      </vt:variant>
      <vt:variant>
        <vt:lpwstr>http://eur-lex.europa.eu/legal-content/EN/TXT/?uri=celex%3A32006H0962</vt:lpwstr>
      </vt:variant>
      <vt:variant>
        <vt:lpwstr/>
      </vt:variant>
      <vt:variant>
        <vt:i4>6946912</vt:i4>
      </vt:variant>
      <vt:variant>
        <vt:i4>6</vt:i4>
      </vt:variant>
      <vt:variant>
        <vt:i4>0</vt:i4>
      </vt:variant>
      <vt:variant>
        <vt:i4>5</vt:i4>
      </vt:variant>
      <vt:variant>
        <vt:lpwstr>https://ec.europa.eu/digital-single-market/en/news/europes-digital-progress-report-2017</vt:lpwstr>
      </vt:variant>
      <vt:variant>
        <vt:lpwstr/>
      </vt:variant>
      <vt:variant>
        <vt:i4>4849733</vt:i4>
      </vt:variant>
      <vt:variant>
        <vt:i4>3</vt:i4>
      </vt:variant>
      <vt:variant>
        <vt:i4>0</vt:i4>
      </vt:variant>
      <vt:variant>
        <vt:i4>5</vt:i4>
      </vt:variant>
      <vt:variant>
        <vt:lpwstr>http://europa.eu/rapid/press-release_IP-16-2039_en.htm</vt:lpwstr>
      </vt:variant>
      <vt:variant>
        <vt:lpwstr/>
      </vt:variant>
      <vt:variant>
        <vt:i4>4915273</vt:i4>
      </vt:variant>
      <vt:variant>
        <vt:i4>0</vt:i4>
      </vt:variant>
      <vt:variant>
        <vt:i4>0</vt:i4>
      </vt:variant>
      <vt:variant>
        <vt:i4>5</vt:i4>
      </vt:variant>
      <vt:variant>
        <vt:lpwstr>http://europa.eu/rapid/press-release_IP-17-1401_en.htm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WERKER</dc:creator>
  <cp:keywords>EL4</cp:keywords>
  <cp:lastModifiedBy>STEPIEN Beata (SG)</cp:lastModifiedBy>
  <cp:revision>3</cp:revision>
  <cp:lastPrinted>2017-12-05T10:12:00Z</cp:lastPrinted>
  <dcterms:created xsi:type="dcterms:W3CDTF">2018-02-21T08:07:00Z</dcterms:created>
  <dcterms:modified xsi:type="dcterms:W3CDTF">2018-02-21T08:09:00Z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ies>
</file>