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43" w:rsidRPr="008A5C43" w:rsidRDefault="008A5C43" w:rsidP="008A5C43">
      <w:pPr>
        <w:spacing w:after="240" w:line="240" w:lineRule="auto"/>
        <w:jc w:val="center"/>
        <w:rPr>
          <w:szCs w:val="24"/>
          <w:lang w:val="fr-FR"/>
        </w:rPr>
      </w:pPr>
      <w:r w:rsidRPr="008A5C43">
        <w:rPr>
          <w:b/>
          <w:caps/>
          <w:lang w:val="fr-FR"/>
        </w:rPr>
        <w:t>Procédure</w:t>
      </w:r>
      <w:r w:rsidRPr="008A5C43">
        <w:rPr>
          <w:b/>
          <w:lang w:val="fr-FR"/>
        </w:rPr>
        <w:t xml:space="preserve"> LÉGISLATIVE ORDINAIRE – Première lecture</w:t>
      </w:r>
    </w:p>
    <w:p w:rsidR="008A5C43" w:rsidRPr="008A5C43" w:rsidRDefault="008A5C43" w:rsidP="008A5C43">
      <w:pPr>
        <w:spacing w:after="600"/>
        <w:jc w:val="center"/>
        <w:rPr>
          <w:b/>
          <w:bCs/>
          <w:szCs w:val="24"/>
          <w:lang w:val="fr-FR"/>
        </w:rPr>
      </w:pPr>
      <w:r w:rsidRPr="008A5C43">
        <w:rPr>
          <w:b/>
          <w:lang w:val="fr-FR"/>
        </w:rPr>
        <w:t>Suite donnée à la résolution législative du Parlement européen du 13 mars 2018 sur la proposition de directive du Parlement européen et du Conseil modifiant la directive 2003/59/CE relative à la qualification initiale et à la formation continue des conducteurs de certains véhicules routiers affectés aux transports de marchandises ou de voyageurs ainsi que la directive 2006/126/CE relative au permis de conduire</w:t>
      </w:r>
    </w:p>
    <w:p w:rsidR="008A5C43" w:rsidRPr="008A5C43" w:rsidRDefault="008A5C43" w:rsidP="008A5C43">
      <w:pPr>
        <w:spacing w:before="100" w:beforeAutospacing="1" w:after="600"/>
        <w:jc w:val="center"/>
        <w:rPr>
          <w:b/>
          <w:szCs w:val="24"/>
          <w:lang w:val="fr-FR"/>
        </w:rPr>
      </w:pPr>
      <w:r w:rsidRPr="008A5C43">
        <w:rPr>
          <w:b/>
          <w:lang w:val="fr-FR"/>
        </w:rPr>
        <w:t>2017/0015 (COD)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i/>
          <w:szCs w:val="20"/>
          <w:lang w:val="fr-FR"/>
        </w:rPr>
      </w:pPr>
      <w:r w:rsidRPr="008A5C43">
        <w:rPr>
          <w:b/>
          <w:lang w:val="fr-FR"/>
        </w:rPr>
        <w:t>1.</w:t>
      </w:r>
      <w:r w:rsidRPr="008A5C43">
        <w:rPr>
          <w:lang w:val="fr-FR"/>
        </w:rPr>
        <w:tab/>
      </w:r>
      <w:proofErr w:type="gramStart"/>
      <w:r w:rsidRPr="008A5C43">
        <w:rPr>
          <w:b/>
          <w:lang w:val="fr-FR"/>
        </w:rPr>
        <w:t>Rapporteur: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Peter LUNDGREN (EFDD/SE)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2.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Numéro de référence du </w:t>
      </w:r>
      <w:proofErr w:type="gramStart"/>
      <w:r w:rsidRPr="008A5C43">
        <w:rPr>
          <w:b/>
          <w:lang w:val="fr-FR"/>
        </w:rPr>
        <w:t>PE:</w:t>
      </w:r>
      <w:proofErr w:type="gramEnd"/>
      <w:r w:rsidRPr="008A5C43">
        <w:rPr>
          <w:lang w:val="fr-FR"/>
        </w:rPr>
        <w:t xml:space="preserve"> A8-0321/2017 / P8_TA-PROV(2018)0065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3.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Date d’adoption de la </w:t>
      </w:r>
      <w:proofErr w:type="gramStart"/>
      <w:r w:rsidRPr="008A5C43">
        <w:rPr>
          <w:b/>
          <w:lang w:val="fr-FR"/>
        </w:rPr>
        <w:t>résolution: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13 mars 2018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4.</w:t>
      </w:r>
      <w:r w:rsidRPr="008A5C43">
        <w:rPr>
          <w:lang w:val="fr-FR"/>
        </w:rPr>
        <w:tab/>
      </w:r>
      <w:proofErr w:type="gramStart"/>
      <w:r w:rsidRPr="008A5C43">
        <w:rPr>
          <w:b/>
          <w:lang w:val="fr-FR"/>
        </w:rPr>
        <w:t>Objet: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qualification initiale et formation continue des conducteurs de certains véhicules routiers et permis de conduire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5.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Numéro de référence </w:t>
      </w:r>
      <w:proofErr w:type="gramStart"/>
      <w:r w:rsidRPr="008A5C43">
        <w:rPr>
          <w:b/>
          <w:lang w:val="fr-FR"/>
        </w:rPr>
        <w:t>interinstitutionnel: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2017/0015 (COD)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6.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Base </w:t>
      </w:r>
      <w:proofErr w:type="gramStart"/>
      <w:r w:rsidRPr="008A5C43">
        <w:rPr>
          <w:b/>
          <w:lang w:val="fr-FR"/>
        </w:rPr>
        <w:t>juridique: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article 91 du traité sur le fonctionnement de l’Union européenne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i/>
          <w:lang w:val="fr-FR"/>
        </w:rPr>
      </w:pPr>
      <w:r w:rsidRPr="008A5C43">
        <w:rPr>
          <w:b/>
          <w:lang w:val="fr-FR"/>
        </w:rPr>
        <w:t>7.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Commission parlementaire </w:t>
      </w:r>
      <w:proofErr w:type="gramStart"/>
      <w:r w:rsidRPr="008A5C43">
        <w:rPr>
          <w:b/>
          <w:lang w:val="fr-FR"/>
        </w:rPr>
        <w:t>compétente: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commission des transports et du tourisme (TRAN)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8.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Position de la </w:t>
      </w:r>
      <w:proofErr w:type="gramStart"/>
      <w:r w:rsidRPr="008A5C43">
        <w:rPr>
          <w:b/>
          <w:lang w:val="fr-FR"/>
        </w:rPr>
        <w:t>Commission: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la Commission peut accepter tous les amendements.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9.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Prévisions quant à la modification de la </w:t>
      </w:r>
      <w:proofErr w:type="gramStart"/>
      <w:r w:rsidRPr="008A5C43">
        <w:rPr>
          <w:b/>
          <w:lang w:val="fr-FR"/>
        </w:rPr>
        <w:t>proposition: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une proposition modifiée officielle n’est pas nécessaire dans la mesure où un accord, approuvé par la Commission, existe déjà entre le Parlement européen et le Conseil.</w:t>
      </w:r>
    </w:p>
    <w:p w:rsidR="008A5C43" w:rsidRPr="008A5C43" w:rsidRDefault="008A5C43" w:rsidP="008A5C43">
      <w:pPr>
        <w:spacing w:after="240" w:line="240" w:lineRule="auto"/>
        <w:ind w:left="567" w:hanging="567"/>
        <w:jc w:val="both"/>
        <w:rPr>
          <w:lang w:val="fr-FR"/>
        </w:rPr>
      </w:pPr>
      <w:r w:rsidRPr="008A5C43">
        <w:rPr>
          <w:b/>
          <w:lang w:val="fr-FR"/>
        </w:rPr>
        <w:t>10.</w:t>
      </w:r>
      <w:r w:rsidRPr="008A5C43">
        <w:rPr>
          <w:lang w:val="fr-FR"/>
        </w:rPr>
        <w:tab/>
      </w:r>
      <w:r w:rsidRPr="008A5C43">
        <w:rPr>
          <w:b/>
          <w:lang w:val="fr-FR"/>
        </w:rPr>
        <w:t xml:space="preserve">Prévisions quant à l’adoption de la position du </w:t>
      </w:r>
      <w:proofErr w:type="gramStart"/>
      <w:r w:rsidRPr="008A5C43">
        <w:rPr>
          <w:b/>
          <w:lang w:val="fr-FR"/>
        </w:rPr>
        <w:t>Conseil:</w:t>
      </w:r>
      <w:proofErr w:type="gramEnd"/>
      <w:r w:rsidRPr="008A5C43">
        <w:rPr>
          <w:b/>
          <w:lang w:val="fr-FR"/>
        </w:rPr>
        <w:t xml:space="preserve"> </w:t>
      </w:r>
      <w:r w:rsidRPr="008A5C43">
        <w:rPr>
          <w:lang w:val="fr-FR"/>
        </w:rPr>
        <w:t>il a été convenu, dans un échange de lettres entre le Conseil et le Parlement européen, de la confirmation de l’accord en première lecture.</w:t>
      </w:r>
    </w:p>
    <w:p w:rsidR="008A5C43" w:rsidRPr="008A5C43" w:rsidRDefault="008A5C43" w:rsidP="008A5C43">
      <w:pPr>
        <w:spacing w:after="200" w:line="276" w:lineRule="auto"/>
        <w:rPr>
          <w:b/>
          <w:lang w:val="fr-FR"/>
        </w:rPr>
      </w:pPr>
      <w:r w:rsidRPr="008A5C43">
        <w:rPr>
          <w:lang w:val="fr-FR"/>
        </w:rPr>
        <w:br w:type="page"/>
      </w:r>
    </w:p>
    <w:p w:rsidR="00EA1173" w:rsidRPr="008A5C43" w:rsidRDefault="00EA1173">
      <w:pPr>
        <w:rPr>
          <w:lang w:val="fr-FR"/>
        </w:rPr>
      </w:pPr>
      <w:bookmarkStart w:id="0" w:name="_GoBack"/>
      <w:bookmarkEnd w:id="0"/>
    </w:p>
    <w:sectPr w:rsidR="00EA1173" w:rsidRPr="008A5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3"/>
    <w:rsid w:val="008A5C43"/>
    <w:rsid w:val="00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1C22-068B-49E0-8DD3-3C9E64EA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2F7E2E1D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European Parliament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2018-06-04T12:57:00Z</dcterms:created>
  <dcterms:modified xsi:type="dcterms:W3CDTF">2018-06-04T12:59:00Z</dcterms:modified>
</cp:coreProperties>
</file>