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16F4" w:rsidRDefault="00CC16F4" w:rsidP="00423CB5">
      <w:pPr>
        <w:pStyle w:val="Default"/>
        <w:jc w:val="center"/>
        <w:rPr>
          <w:b/>
        </w:rPr>
      </w:pPr>
      <w:r>
        <w:rPr>
          <w:b/>
        </w:rPr>
        <w:t>Suite donnée à la résolution non législative du Parlement européen du 1</w:t>
      </w:r>
      <w:r>
        <w:rPr>
          <w:b/>
          <w:vertAlign w:val="superscript"/>
        </w:rPr>
        <w:t>er</w:t>
      </w:r>
      <w:r>
        <w:rPr>
          <w:b/>
        </w:rPr>
        <w:t xml:space="preserve"> mars 2018 sur le projet de décision d’exécution de la Commission renouvelant l’autorisation de mise sur le marché de produits contenant du maïs génétiquement modifié 59122 (DAS-59122-7), consistant en ce maïs ou produits à partir de celui-ci, en application du règlement (CE) nº 1829/2003 du Parlement européen et du Conseil </w:t>
      </w:r>
      <w:bookmarkStart w:id="0" w:name="_GoBack"/>
      <w:bookmarkEnd w:id="0"/>
      <w:r>
        <w:rPr>
          <w:b/>
        </w:rPr>
        <w:t>concernant les denrées alimentaires et les aliments pour animaux génétiquement modifiés</w:t>
      </w:r>
    </w:p>
    <w:p w:rsidR="00CC16F4" w:rsidRPr="00136F0D" w:rsidRDefault="00CC16F4" w:rsidP="00CC16F4">
      <w:pPr>
        <w:pStyle w:val="Default"/>
        <w:spacing w:after="600"/>
        <w:jc w:val="center"/>
        <w:rPr>
          <w:b/>
          <w:highlight w:val="yellow"/>
        </w:rPr>
      </w:pPr>
      <w:r>
        <w:rPr>
          <w:b/>
        </w:rPr>
        <w:t>2018/2568 (RSP)</w:t>
      </w:r>
    </w:p>
    <w:p w:rsidR="00CC16F4" w:rsidRPr="00C5201B" w:rsidRDefault="00CC16F4" w:rsidP="00CC16F4">
      <w:pPr>
        <w:pStyle w:val="NormalWeb"/>
        <w:spacing w:before="0" w:beforeAutospacing="0" w:after="240" w:afterAutospacing="0"/>
        <w:ind w:left="567" w:hanging="567"/>
        <w:jc w:val="both"/>
        <w:rPr>
          <w:b/>
          <w:lang w:val="fr-BE"/>
        </w:rPr>
      </w:pPr>
      <w:r w:rsidRPr="00C5201B">
        <w:rPr>
          <w:b/>
          <w:lang w:val="fr-BE"/>
        </w:rPr>
        <w:t>1.</w:t>
      </w:r>
      <w:r w:rsidRPr="00C5201B">
        <w:rPr>
          <w:lang w:val="fr-BE"/>
        </w:rPr>
        <w:tab/>
      </w:r>
      <w:r w:rsidRPr="00C5201B">
        <w:rPr>
          <w:b/>
          <w:lang w:val="fr-BE"/>
        </w:rPr>
        <w:t>Résolution présentée, conformément à l’article 106, paragraphes 2 et 3, du règlement du Parlement européen, par la commission de l’environnement, de la santé publique et de la sécurité alimentaire (ENVI)</w:t>
      </w:r>
    </w:p>
    <w:p w:rsidR="00CC16F4" w:rsidRPr="00C5201B" w:rsidRDefault="00CC16F4" w:rsidP="00CC16F4">
      <w:pPr>
        <w:ind w:left="567" w:hanging="567"/>
        <w:outlineLvl w:val="0"/>
        <w:rPr>
          <w:rFonts w:ascii="Times New Roman" w:hAnsi="Times New Roman"/>
          <w:smallCaps/>
          <w:szCs w:val="24"/>
          <w:lang w:val="fr-BE"/>
        </w:rPr>
      </w:pPr>
      <w:r w:rsidRPr="00C5201B">
        <w:rPr>
          <w:rFonts w:ascii="Times New Roman" w:hAnsi="Times New Roman"/>
          <w:b/>
          <w:lang w:val="fr-BE"/>
        </w:rPr>
        <w:t>2.</w:t>
      </w:r>
      <w:r w:rsidRPr="00C5201B">
        <w:rPr>
          <w:lang w:val="fr-BE"/>
        </w:rPr>
        <w:tab/>
      </w:r>
      <w:r w:rsidRPr="00C5201B">
        <w:rPr>
          <w:rFonts w:ascii="Times New Roman" w:hAnsi="Times New Roman"/>
          <w:b/>
          <w:lang w:val="fr-BE"/>
        </w:rPr>
        <w:t xml:space="preserve">Numéro de référence du PE: </w:t>
      </w:r>
      <w:r w:rsidRPr="00C5201B">
        <w:rPr>
          <w:rFonts w:ascii="Times New Roman" w:hAnsi="Times New Roman"/>
          <w:smallCaps/>
          <w:lang w:val="fr-BE"/>
        </w:rPr>
        <w:t xml:space="preserve">B8-0122/2018 / </w:t>
      </w:r>
      <w:r w:rsidRPr="00C5201B">
        <w:rPr>
          <w:rFonts w:ascii="Times New Roman" w:hAnsi="Times New Roman"/>
          <w:lang w:val="fr-BE"/>
        </w:rPr>
        <w:t>P8_TA-</w:t>
      </w:r>
      <w:proofErr w:type="gramStart"/>
      <w:r w:rsidRPr="00C5201B">
        <w:rPr>
          <w:rFonts w:ascii="Times New Roman" w:hAnsi="Times New Roman"/>
          <w:lang w:val="fr-BE"/>
        </w:rPr>
        <w:t>PROV(</w:t>
      </w:r>
      <w:proofErr w:type="gramEnd"/>
      <w:r w:rsidRPr="00C5201B">
        <w:rPr>
          <w:rFonts w:ascii="Times New Roman" w:hAnsi="Times New Roman"/>
          <w:lang w:val="fr-BE"/>
        </w:rPr>
        <w:t>2018)0051</w:t>
      </w:r>
    </w:p>
    <w:p w:rsidR="00CC16F4" w:rsidRPr="00C5201B" w:rsidRDefault="00CC16F4" w:rsidP="00CC16F4">
      <w:pPr>
        <w:ind w:left="567" w:hanging="567"/>
        <w:outlineLvl w:val="0"/>
        <w:rPr>
          <w:rFonts w:ascii="Times New Roman" w:hAnsi="Times New Roman"/>
          <w:lang w:val="fr-BE"/>
        </w:rPr>
      </w:pPr>
      <w:r w:rsidRPr="00C5201B">
        <w:rPr>
          <w:rFonts w:ascii="Times New Roman" w:hAnsi="Times New Roman"/>
          <w:b/>
          <w:lang w:val="fr-BE"/>
        </w:rPr>
        <w:t>3.</w:t>
      </w:r>
      <w:r w:rsidRPr="00C5201B">
        <w:rPr>
          <w:lang w:val="fr-BE"/>
        </w:rPr>
        <w:tab/>
      </w:r>
      <w:r w:rsidRPr="00C5201B">
        <w:rPr>
          <w:rFonts w:ascii="Times New Roman" w:hAnsi="Times New Roman"/>
          <w:b/>
          <w:lang w:val="fr-BE"/>
        </w:rPr>
        <w:t xml:space="preserve">Date d’adoption de la résolution: </w:t>
      </w:r>
      <w:r w:rsidRPr="00C5201B">
        <w:rPr>
          <w:rFonts w:ascii="Times New Roman" w:hAnsi="Times New Roman"/>
          <w:lang w:val="fr-BE"/>
        </w:rPr>
        <w:t>1</w:t>
      </w:r>
      <w:r w:rsidRPr="00C5201B">
        <w:rPr>
          <w:rFonts w:ascii="Times New Roman" w:hAnsi="Times New Roman"/>
          <w:vertAlign w:val="superscript"/>
          <w:lang w:val="fr-BE"/>
        </w:rPr>
        <w:t>er</w:t>
      </w:r>
      <w:r w:rsidRPr="00C5201B">
        <w:rPr>
          <w:rFonts w:ascii="Times New Roman" w:hAnsi="Times New Roman"/>
          <w:lang w:val="fr-BE"/>
        </w:rPr>
        <w:t> mars 2018</w:t>
      </w:r>
    </w:p>
    <w:p w:rsidR="00CC16F4" w:rsidRPr="00C5201B" w:rsidRDefault="00CC16F4" w:rsidP="00CC16F4">
      <w:pPr>
        <w:ind w:left="567" w:hanging="567"/>
        <w:rPr>
          <w:rFonts w:ascii="Times New Roman" w:hAnsi="Times New Roman"/>
          <w:szCs w:val="24"/>
          <w:lang w:val="fr-BE"/>
        </w:rPr>
      </w:pPr>
      <w:r w:rsidRPr="00C5201B">
        <w:rPr>
          <w:rFonts w:ascii="Times New Roman" w:hAnsi="Times New Roman"/>
          <w:b/>
          <w:lang w:val="fr-BE"/>
        </w:rPr>
        <w:t>4.</w:t>
      </w:r>
      <w:r w:rsidRPr="00C5201B">
        <w:rPr>
          <w:lang w:val="fr-BE"/>
        </w:rPr>
        <w:tab/>
      </w:r>
      <w:r w:rsidRPr="00C5201B">
        <w:rPr>
          <w:rFonts w:ascii="Times New Roman" w:hAnsi="Times New Roman"/>
          <w:b/>
          <w:lang w:val="fr-BE"/>
        </w:rPr>
        <w:t>Objet:</w:t>
      </w:r>
      <w:r w:rsidRPr="00C5201B">
        <w:rPr>
          <w:rFonts w:ascii="Times New Roman" w:hAnsi="Times New Roman"/>
          <w:lang w:val="fr-BE"/>
        </w:rPr>
        <w:t xml:space="preserve"> renouvellement de l’autorisation de mise sur le marché de produits contenant du maïs génétiquement modifié 59122 en application du règlement (CE) nº 1829/2003 du Parlement européen et du Conseil</w:t>
      </w:r>
    </w:p>
    <w:p w:rsidR="00CC16F4" w:rsidRPr="00C5201B" w:rsidRDefault="00CC16F4" w:rsidP="00CC16F4">
      <w:pPr>
        <w:pStyle w:val="NormalWeb"/>
        <w:spacing w:before="0" w:beforeAutospacing="0" w:after="240" w:afterAutospacing="0"/>
        <w:ind w:left="567" w:hanging="567"/>
        <w:jc w:val="both"/>
        <w:rPr>
          <w:b/>
          <w:bCs/>
          <w:color w:val="000000"/>
          <w:lang w:val="fr-BE"/>
        </w:rPr>
      </w:pPr>
      <w:r w:rsidRPr="00C5201B">
        <w:rPr>
          <w:b/>
          <w:color w:val="000000"/>
          <w:lang w:val="fr-BE"/>
        </w:rPr>
        <w:t>5.</w:t>
      </w:r>
      <w:r w:rsidRPr="00C5201B">
        <w:rPr>
          <w:lang w:val="fr-BE"/>
        </w:rPr>
        <w:tab/>
      </w:r>
      <w:r w:rsidRPr="00C5201B">
        <w:rPr>
          <w:b/>
          <w:lang w:val="fr-BE"/>
        </w:rPr>
        <w:t>Commission parlementaire compétente:</w:t>
      </w:r>
      <w:r w:rsidRPr="00C5201B">
        <w:rPr>
          <w:lang w:val="fr-BE"/>
        </w:rPr>
        <w:t xml:space="preserve"> commission de l’environnement, de la santé publique et de la sécurité alimentaire (ENVI</w:t>
      </w:r>
      <w:r w:rsidRPr="00C5201B">
        <w:rPr>
          <w:color w:val="000000"/>
          <w:lang w:val="fr-BE"/>
        </w:rPr>
        <w:t>)</w:t>
      </w:r>
    </w:p>
    <w:p w:rsidR="00CC16F4" w:rsidRPr="00C5201B" w:rsidRDefault="00CC16F4" w:rsidP="00CC16F4">
      <w:pPr>
        <w:ind w:left="567" w:hanging="567"/>
        <w:rPr>
          <w:rFonts w:ascii="Times New Roman" w:hAnsi="Times New Roman"/>
          <w:b/>
          <w:color w:val="000000"/>
          <w:szCs w:val="24"/>
          <w:lang w:val="fr-BE"/>
        </w:rPr>
      </w:pPr>
      <w:r w:rsidRPr="00C5201B">
        <w:rPr>
          <w:rFonts w:ascii="Times New Roman" w:hAnsi="Times New Roman"/>
          <w:b/>
          <w:color w:val="000000"/>
          <w:lang w:val="fr-BE"/>
        </w:rPr>
        <w:t>6.</w:t>
      </w:r>
      <w:r w:rsidRPr="00C5201B">
        <w:rPr>
          <w:lang w:val="fr-BE"/>
        </w:rPr>
        <w:tab/>
      </w:r>
      <w:r w:rsidRPr="00C5201B">
        <w:rPr>
          <w:rFonts w:ascii="Times New Roman" w:hAnsi="Times New Roman"/>
          <w:b/>
          <w:color w:val="000000"/>
          <w:lang w:val="fr-BE"/>
        </w:rPr>
        <w:t>Analyse/évaluation succincte de la résolution et des demandes qu’elle contient:</w:t>
      </w:r>
    </w:p>
    <w:p w:rsidR="00CC16F4" w:rsidRPr="00C5201B" w:rsidRDefault="00CC16F4" w:rsidP="00CC16F4">
      <w:pPr>
        <w:spacing w:after="120"/>
        <w:rPr>
          <w:rFonts w:ascii="Times New Roman" w:hAnsi="Times New Roman"/>
          <w:szCs w:val="24"/>
          <w:highlight w:val="yellow"/>
          <w:lang w:val="fr-BE"/>
        </w:rPr>
      </w:pPr>
      <w:r w:rsidRPr="00C5201B">
        <w:rPr>
          <w:rFonts w:ascii="Times New Roman" w:hAnsi="Times New Roman"/>
          <w:lang w:val="fr-BE"/>
        </w:rPr>
        <w:t>Dans sa résolution, le Parlement demande le retrait du projet de décision d’exécution de la Commission (</w:t>
      </w:r>
      <w:r w:rsidRPr="00C5201B">
        <w:rPr>
          <w:rFonts w:ascii="Times New Roman" w:hAnsi="Times New Roman"/>
          <w:b/>
          <w:lang w:val="fr-BE"/>
        </w:rPr>
        <w:t>paragraphe 3</w:t>
      </w:r>
      <w:r w:rsidRPr="00C5201B">
        <w:rPr>
          <w:rFonts w:ascii="Times New Roman" w:hAnsi="Times New Roman"/>
          <w:lang w:val="fr-BE"/>
        </w:rPr>
        <w:t>), au motif que ce projet de décision d’exécution de la Commission excède les compétences d’exécution prévues dans le règlement (CE) nº 1829/2003 (</w:t>
      </w:r>
      <w:r w:rsidRPr="00C5201B">
        <w:rPr>
          <w:rFonts w:ascii="Times New Roman" w:hAnsi="Times New Roman"/>
          <w:b/>
          <w:lang w:val="fr-BE"/>
        </w:rPr>
        <w:t>paragraphe 1</w:t>
      </w:r>
      <w:r w:rsidRPr="00C5201B">
        <w:rPr>
          <w:rFonts w:ascii="Times New Roman" w:hAnsi="Times New Roman"/>
          <w:lang w:val="fr-BE"/>
        </w:rPr>
        <w:t>) et qu’il n’est pas compatible avec l’objectif du règlement (CE) nº 1829/2003 ni avec les principes généraux prévus dans le règlement (CE) nº 178/2002, à savoir la protection de la vie et de la santé des personnes, de la santé et du bien-être des animaux, de l’environnement et des intérêts des consommateurs (</w:t>
      </w:r>
      <w:r w:rsidRPr="00C5201B">
        <w:rPr>
          <w:rFonts w:ascii="Times New Roman" w:hAnsi="Times New Roman"/>
          <w:b/>
          <w:lang w:val="fr-BE"/>
        </w:rPr>
        <w:t>paragraphe 2</w:t>
      </w:r>
      <w:r w:rsidRPr="00C5201B">
        <w:rPr>
          <w:rFonts w:ascii="Times New Roman" w:hAnsi="Times New Roman"/>
          <w:lang w:val="fr-BE"/>
        </w:rPr>
        <w:t>). Par ailleurs, la résolution invite la Commission à suspendre toute décision d’exécution relative aux demandes d’autorisation d’organismes génétiquement modifiés jusqu’à ce que la procédure d’autorisation ait été révisée de manière à remédier aux lacunes de la procédure actuelle, qui s’est révélée inadéquate (</w:t>
      </w:r>
      <w:r w:rsidRPr="00C5201B">
        <w:rPr>
          <w:rFonts w:ascii="Times New Roman" w:hAnsi="Times New Roman"/>
          <w:b/>
          <w:lang w:val="fr-BE"/>
        </w:rPr>
        <w:t>paragraphe 4</w:t>
      </w:r>
      <w:r w:rsidRPr="00C5201B">
        <w:rPr>
          <w:rFonts w:ascii="Times New Roman" w:hAnsi="Times New Roman"/>
          <w:lang w:val="fr-BE"/>
        </w:rPr>
        <w:t>). Elle demande également aux législateurs compétents de s’attacher d’urgence à mener à bien les travaux sur la proposition de la Commission en vue de la modification du règlement (UE) nº 182/2011 et de garantir, entre autres, que si le comité permanent de la chaîne alimentaire et de la santé animale ne se prononce pas sur l’approbation d’organismes génétiquement modifiés (OGM), la Commission retirera sa proposition (</w:t>
      </w:r>
      <w:r w:rsidRPr="00C5201B">
        <w:rPr>
          <w:rFonts w:ascii="Times New Roman" w:hAnsi="Times New Roman"/>
          <w:b/>
          <w:lang w:val="fr-BE"/>
        </w:rPr>
        <w:t>paragraphe 5</w:t>
      </w:r>
      <w:r w:rsidRPr="00C5201B">
        <w:rPr>
          <w:rFonts w:ascii="Times New Roman" w:hAnsi="Times New Roman"/>
          <w:lang w:val="fr-BE"/>
        </w:rPr>
        <w:t>). En outre, la résolution prie la Commission de ne pas autoriser l’importation de plantes génétiquement modifiées destinées à l’alimentation humaine ou animale qui ont été rendues tolérantes à un herbicide complémentaire qui est interdit, ou qui sera interdit dans un avenir proche, sur le territoire de l’Union (</w:t>
      </w:r>
      <w:r w:rsidRPr="00C5201B">
        <w:rPr>
          <w:rFonts w:ascii="Times New Roman" w:hAnsi="Times New Roman"/>
          <w:b/>
          <w:lang w:val="fr-BE"/>
        </w:rPr>
        <w:t>paragraphe 6</w:t>
      </w:r>
      <w:r w:rsidRPr="00C5201B">
        <w:rPr>
          <w:rFonts w:ascii="Times New Roman" w:hAnsi="Times New Roman"/>
          <w:lang w:val="fr-BE"/>
        </w:rPr>
        <w:t>).</w:t>
      </w:r>
    </w:p>
    <w:p w:rsidR="00CC16F4" w:rsidRPr="00C5201B" w:rsidRDefault="00CC16F4" w:rsidP="00CC16F4">
      <w:pPr>
        <w:spacing w:after="120"/>
        <w:rPr>
          <w:rFonts w:ascii="Times New Roman" w:hAnsi="Times New Roman"/>
          <w:szCs w:val="24"/>
          <w:lang w:val="fr-BE"/>
        </w:rPr>
      </w:pPr>
      <w:r w:rsidRPr="00C5201B">
        <w:rPr>
          <w:rFonts w:ascii="Times New Roman" w:hAnsi="Times New Roman"/>
          <w:lang w:val="fr-BE"/>
        </w:rPr>
        <w:t>Dans sa résolution, le Parlement rappelle les résultats du vote sur le projet de décision d’exécution lors de la réunion du comité permanent (janvier 2018) (</w:t>
      </w:r>
      <w:r w:rsidRPr="00C5201B">
        <w:rPr>
          <w:rFonts w:ascii="Times New Roman" w:hAnsi="Times New Roman"/>
          <w:b/>
          <w:lang w:val="fr-BE"/>
        </w:rPr>
        <w:t>considérant O</w:t>
      </w:r>
      <w:r w:rsidRPr="00C5201B">
        <w:rPr>
          <w:rFonts w:ascii="Times New Roman" w:hAnsi="Times New Roman"/>
          <w:lang w:val="fr-BE"/>
        </w:rPr>
        <w:t>), et rappelle que le maïs génétiquement modifié est tolérant aux herbicides à base de glufosinate d’ammonium et exprime les protéines Cry34Ab1 et Cry35Ab1 qui confèrent une résistance aux insectes nuisibles de l’ordre des coléoptères (</w:t>
      </w:r>
      <w:r w:rsidRPr="00C5201B">
        <w:rPr>
          <w:rFonts w:ascii="Times New Roman" w:hAnsi="Times New Roman"/>
          <w:b/>
          <w:lang w:val="fr-BE"/>
        </w:rPr>
        <w:t>considérant D</w:t>
      </w:r>
      <w:r w:rsidRPr="00C5201B">
        <w:rPr>
          <w:rFonts w:ascii="Times New Roman" w:hAnsi="Times New Roman"/>
          <w:lang w:val="fr-BE"/>
        </w:rPr>
        <w:t xml:space="preserve">). En outre, la résolution </w:t>
      </w:r>
      <w:r w:rsidRPr="00C5201B">
        <w:rPr>
          <w:rFonts w:ascii="Times New Roman" w:hAnsi="Times New Roman"/>
          <w:lang w:val="fr-BE"/>
        </w:rPr>
        <w:lastRenderedPageBreak/>
        <w:t>rappelle que le glufosinate est classé comme toxique pour la reproduction et que l’autorisation relative à l’utilisation du glufosinate dans l’Union vient à échéance le 31 juillet 2018 (</w:t>
      </w:r>
      <w:r w:rsidRPr="00C5201B">
        <w:rPr>
          <w:rFonts w:ascii="Times New Roman" w:hAnsi="Times New Roman"/>
          <w:b/>
          <w:lang w:val="fr-BE"/>
        </w:rPr>
        <w:t>considérant K</w:t>
      </w:r>
      <w:r w:rsidRPr="00C5201B">
        <w:rPr>
          <w:rFonts w:ascii="Times New Roman" w:hAnsi="Times New Roman"/>
          <w:lang w:val="fr-BE"/>
        </w:rPr>
        <w:t>). En outre, la résolution indique qu’on peut s’attendre à ce que des résidus de la pulvérisation soient toujours présents dans les récoltes, en soient des composantes inévitables et ne soient pas évalués dans les avis de l’Autorité européenne de sécurité des aliments (EFSA), et que les cultures tolérantes aux herbicides entraînent une utilisation plus élevée des herbicides complémentaires par rapport à leurs homologues conventionnelles (</w:t>
      </w:r>
      <w:r w:rsidRPr="00C5201B">
        <w:rPr>
          <w:rFonts w:ascii="Times New Roman" w:hAnsi="Times New Roman"/>
          <w:b/>
          <w:lang w:val="fr-BE"/>
        </w:rPr>
        <w:t>considérants L et M</w:t>
      </w:r>
      <w:r w:rsidRPr="00C5201B">
        <w:rPr>
          <w:rFonts w:ascii="Times New Roman" w:hAnsi="Times New Roman"/>
          <w:lang w:val="fr-BE"/>
        </w:rPr>
        <w:t>). La résolution rappelle les observations des États membres concernant l’avis de l’EFSA sur l’autorisation originale ainsi que sur l’avis de l’EFSA concernant le renouvellement de l’autorisation (</w:t>
      </w:r>
      <w:r w:rsidRPr="00C5201B">
        <w:rPr>
          <w:rFonts w:ascii="Times New Roman" w:hAnsi="Times New Roman"/>
          <w:b/>
          <w:lang w:val="fr-BE"/>
        </w:rPr>
        <w:t>considérants F à J</w:t>
      </w:r>
      <w:r w:rsidRPr="00C5201B">
        <w:rPr>
          <w:rFonts w:ascii="Times New Roman" w:hAnsi="Times New Roman"/>
          <w:lang w:val="fr-BE"/>
        </w:rPr>
        <w:t>).</w:t>
      </w:r>
    </w:p>
    <w:p w:rsidR="00CC16F4" w:rsidRPr="00C5201B" w:rsidRDefault="00CC16F4" w:rsidP="00CC16F4">
      <w:pPr>
        <w:spacing w:after="120"/>
        <w:rPr>
          <w:rFonts w:ascii="Times New Roman" w:hAnsi="Times New Roman"/>
          <w:szCs w:val="24"/>
          <w:highlight w:val="yellow"/>
          <w:lang w:val="fr-BE"/>
        </w:rPr>
      </w:pPr>
      <w:r w:rsidRPr="00C5201B">
        <w:rPr>
          <w:rFonts w:ascii="Times New Roman" w:hAnsi="Times New Roman"/>
          <w:lang w:val="fr-BE"/>
        </w:rPr>
        <w:t>La résolution indique également que le renvoi des projets des décisions d’autorisation à la Commission pour décision finale, sans le soutien du comité permanent de la chaîne alimentaire et de la santé animale, est devenu la norme en matière de décision sur les autorisations des denrées alimentaires et des aliments pour animaux génétiquement modifiés et que cette pratique n’est pas démocratique (</w:t>
      </w:r>
      <w:r w:rsidRPr="00C5201B">
        <w:rPr>
          <w:rFonts w:ascii="Times New Roman" w:hAnsi="Times New Roman"/>
          <w:b/>
          <w:lang w:val="fr-BE"/>
        </w:rPr>
        <w:t>considérant P</w:t>
      </w:r>
      <w:r w:rsidRPr="00C5201B">
        <w:rPr>
          <w:rFonts w:ascii="Times New Roman" w:hAnsi="Times New Roman"/>
          <w:lang w:val="fr-BE"/>
        </w:rPr>
        <w:t>). Par ailleurs, la résolution rappelle le rejet par le Parlement de la proposition législative de la Commission du 22 avril 2015 modifiant le règlement (CE) nº 1829/2003 et l’invitation du Parlement à la Commission à la retirer et à en présenter une nouvelle (</w:t>
      </w:r>
      <w:r w:rsidRPr="00C5201B">
        <w:rPr>
          <w:rFonts w:ascii="Times New Roman" w:hAnsi="Times New Roman"/>
          <w:b/>
          <w:lang w:val="fr-BE"/>
        </w:rPr>
        <w:t>considérant R</w:t>
      </w:r>
      <w:r w:rsidRPr="00C5201B">
        <w:rPr>
          <w:rFonts w:ascii="Times New Roman" w:hAnsi="Times New Roman"/>
          <w:lang w:val="fr-BE"/>
        </w:rPr>
        <w:t>).</w:t>
      </w:r>
    </w:p>
    <w:p w:rsidR="00CC16F4" w:rsidRPr="00C5201B" w:rsidRDefault="00CC16F4" w:rsidP="00CC16F4">
      <w:pPr>
        <w:spacing w:after="120"/>
        <w:ind w:left="567" w:hanging="567"/>
        <w:rPr>
          <w:rFonts w:ascii="Times New Roman" w:hAnsi="Times New Roman"/>
          <w:b/>
          <w:color w:val="000000"/>
          <w:szCs w:val="24"/>
          <w:lang w:val="fr-BE"/>
        </w:rPr>
      </w:pPr>
      <w:r w:rsidRPr="00C5201B">
        <w:rPr>
          <w:rFonts w:ascii="Times New Roman" w:hAnsi="Times New Roman"/>
          <w:b/>
          <w:color w:val="000000"/>
          <w:lang w:val="fr-BE"/>
        </w:rPr>
        <w:t>7.</w:t>
      </w:r>
      <w:r w:rsidRPr="00C5201B">
        <w:rPr>
          <w:lang w:val="fr-BE"/>
        </w:rPr>
        <w:tab/>
      </w:r>
      <w:r w:rsidRPr="00C5201B">
        <w:rPr>
          <w:rFonts w:ascii="Times New Roman" w:hAnsi="Times New Roman"/>
          <w:b/>
          <w:color w:val="000000"/>
          <w:lang w:val="fr-BE"/>
        </w:rPr>
        <w:t>Réponses aux demandes du Parlement européen et aperçu des mesures que la Commission a prises ou envisage de prendre:</w:t>
      </w:r>
    </w:p>
    <w:p w:rsidR="00CC16F4" w:rsidRPr="00C5201B" w:rsidRDefault="00CC16F4" w:rsidP="00CC16F4">
      <w:pPr>
        <w:spacing w:after="120"/>
        <w:rPr>
          <w:rFonts w:ascii="Times New Roman" w:hAnsi="Times New Roman"/>
          <w:szCs w:val="24"/>
          <w:lang w:val="fr-BE"/>
        </w:rPr>
      </w:pPr>
      <w:r w:rsidRPr="00C5201B">
        <w:rPr>
          <w:rFonts w:ascii="Times New Roman" w:hAnsi="Times New Roman"/>
          <w:lang w:val="fr-BE"/>
        </w:rPr>
        <w:t xml:space="preserve">La Commission souhaite expliquer que le projet de décision d’exécution dont il est question autorise le renouvellement de l’autorisation de la mise sur le marché de produits contenant du maïs génétiquement modifié 59122, consistant en ce maïs ou produits à partir de celui-ci, en application du règlement (CE) nº 1829/2003. </w:t>
      </w:r>
    </w:p>
    <w:p w:rsidR="00CC16F4" w:rsidRPr="00C5201B" w:rsidRDefault="00CC16F4" w:rsidP="00CC16F4">
      <w:pPr>
        <w:spacing w:after="120"/>
        <w:rPr>
          <w:rFonts w:ascii="Times New Roman" w:hAnsi="Times New Roman"/>
          <w:szCs w:val="24"/>
          <w:lang w:val="fr-BE"/>
        </w:rPr>
      </w:pPr>
      <w:r w:rsidRPr="00C5201B">
        <w:rPr>
          <w:rFonts w:ascii="Times New Roman" w:hAnsi="Times New Roman"/>
          <w:lang w:val="fr-BE"/>
        </w:rPr>
        <w:t>En ce qui concerne les</w:t>
      </w:r>
      <w:r w:rsidRPr="00C5201B">
        <w:rPr>
          <w:rFonts w:ascii="Times New Roman" w:hAnsi="Times New Roman"/>
          <w:b/>
          <w:lang w:val="fr-BE"/>
        </w:rPr>
        <w:t xml:space="preserve"> paragraphes 1 à 4</w:t>
      </w:r>
      <w:r w:rsidRPr="00C5201B">
        <w:rPr>
          <w:rFonts w:ascii="Times New Roman" w:hAnsi="Times New Roman"/>
          <w:lang w:val="fr-BE"/>
        </w:rPr>
        <w:t xml:space="preserve"> de la résolution, la Commission aimerait souligner que le projet de décision d’exécution concernant le renouvellement de l’autorisation de mise sur le marché de maïs génétiquement modifié 59122 a été traité conformément aux règles de procédure prévues au règlement (UE) nº 182/2011 sur la comitologie et au règlement (CE) nº 1829/2003 concernant les denrées alimentaires et les aliments pour animaux génétiquement modifiés, comme illustré ci-après:</w:t>
      </w:r>
    </w:p>
    <w:p w:rsidR="00CC16F4" w:rsidRPr="00C5201B" w:rsidRDefault="00CC16F4" w:rsidP="00CC16F4">
      <w:pPr>
        <w:numPr>
          <w:ilvl w:val="1"/>
          <w:numId w:val="5"/>
        </w:numPr>
        <w:spacing w:after="120"/>
        <w:ind w:left="567" w:hanging="567"/>
        <w:rPr>
          <w:rFonts w:ascii="Times New Roman" w:hAnsi="Times New Roman"/>
          <w:lang w:val="fr-BE"/>
        </w:rPr>
      </w:pPr>
      <w:proofErr w:type="gramStart"/>
      <w:r w:rsidRPr="00C5201B">
        <w:rPr>
          <w:rFonts w:ascii="Times New Roman" w:hAnsi="Times New Roman"/>
          <w:snapToGrid w:val="0"/>
          <w:lang w:val="fr-BE"/>
        </w:rPr>
        <w:t>le</w:t>
      </w:r>
      <w:proofErr w:type="gramEnd"/>
      <w:r w:rsidRPr="00C5201B">
        <w:rPr>
          <w:rFonts w:ascii="Times New Roman" w:hAnsi="Times New Roman"/>
          <w:snapToGrid w:val="0"/>
          <w:lang w:val="fr-BE"/>
        </w:rPr>
        <w:t xml:space="preserve"> 19 juillet 2016, Pioneer </w:t>
      </w:r>
      <w:proofErr w:type="spellStart"/>
      <w:r w:rsidRPr="00C5201B">
        <w:rPr>
          <w:rFonts w:ascii="Times New Roman" w:hAnsi="Times New Roman"/>
          <w:snapToGrid w:val="0"/>
          <w:lang w:val="fr-BE"/>
        </w:rPr>
        <w:t>Overseas</w:t>
      </w:r>
      <w:proofErr w:type="spellEnd"/>
      <w:r w:rsidRPr="00C5201B">
        <w:rPr>
          <w:rFonts w:ascii="Times New Roman" w:hAnsi="Times New Roman"/>
          <w:snapToGrid w:val="0"/>
          <w:lang w:val="fr-BE"/>
        </w:rPr>
        <w:t xml:space="preserve"> Corporation et Dow </w:t>
      </w:r>
      <w:proofErr w:type="spellStart"/>
      <w:r w:rsidRPr="00C5201B">
        <w:rPr>
          <w:rFonts w:ascii="Times New Roman" w:hAnsi="Times New Roman"/>
          <w:snapToGrid w:val="0"/>
          <w:lang w:val="fr-BE"/>
        </w:rPr>
        <w:t>AgroSciences</w:t>
      </w:r>
      <w:proofErr w:type="spellEnd"/>
      <w:r w:rsidRPr="00C5201B">
        <w:rPr>
          <w:rFonts w:ascii="Times New Roman" w:hAnsi="Times New Roman"/>
          <w:snapToGrid w:val="0"/>
          <w:lang w:val="fr-BE"/>
        </w:rPr>
        <w:t xml:space="preserve"> Ltd.</w:t>
      </w:r>
      <w:r w:rsidRPr="00C5201B">
        <w:rPr>
          <w:rFonts w:ascii="Times New Roman" w:hAnsi="Times New Roman"/>
          <w:color w:val="000000"/>
          <w:lang w:val="fr-BE"/>
        </w:rPr>
        <w:t xml:space="preserve"> </w:t>
      </w:r>
      <w:proofErr w:type="gramStart"/>
      <w:r w:rsidRPr="00C5201B">
        <w:rPr>
          <w:rFonts w:ascii="Times New Roman" w:hAnsi="Times New Roman"/>
          <w:color w:val="000000"/>
          <w:lang w:val="fr-BE"/>
        </w:rPr>
        <w:t>ont</w:t>
      </w:r>
      <w:proofErr w:type="gramEnd"/>
      <w:r w:rsidRPr="00C5201B">
        <w:rPr>
          <w:rFonts w:ascii="Times New Roman" w:hAnsi="Times New Roman"/>
          <w:color w:val="000000"/>
          <w:lang w:val="fr-BE"/>
        </w:rPr>
        <w:t xml:space="preserve"> présenté conjointement une demande à la Commission,</w:t>
      </w:r>
      <w:r w:rsidRPr="00C5201B">
        <w:rPr>
          <w:rFonts w:ascii="Times New Roman" w:hAnsi="Times New Roman"/>
          <w:lang w:val="fr-BE"/>
        </w:rPr>
        <w:t xml:space="preserve"> conformément aux articles 11 et 23 du règlement (CE) nº 1829/2003, en vue du renouvellement de l’autorisation de mise sur le marché de maïs génétiquement modifié 59122 destiné à être utilisé dans des denrées alimentaires et des aliments pour animaux;</w:t>
      </w:r>
    </w:p>
    <w:p w:rsidR="00CC16F4" w:rsidRPr="00C5201B" w:rsidRDefault="00CC16F4" w:rsidP="00CC16F4">
      <w:pPr>
        <w:numPr>
          <w:ilvl w:val="1"/>
          <w:numId w:val="5"/>
        </w:numPr>
        <w:spacing w:after="120"/>
        <w:ind w:left="567" w:hanging="567"/>
        <w:rPr>
          <w:rFonts w:ascii="Times New Roman" w:hAnsi="Times New Roman"/>
          <w:snapToGrid w:val="0"/>
          <w:lang w:val="fr-BE"/>
        </w:rPr>
      </w:pPr>
      <w:proofErr w:type="gramStart"/>
      <w:r w:rsidRPr="00C5201B">
        <w:rPr>
          <w:rFonts w:ascii="Times New Roman" w:hAnsi="Times New Roman"/>
          <w:snapToGrid w:val="0"/>
          <w:lang w:val="fr-BE"/>
        </w:rPr>
        <w:t>sur</w:t>
      </w:r>
      <w:proofErr w:type="gramEnd"/>
      <w:r w:rsidRPr="00C5201B">
        <w:rPr>
          <w:rFonts w:ascii="Times New Roman" w:hAnsi="Times New Roman"/>
          <w:snapToGrid w:val="0"/>
          <w:lang w:val="fr-BE"/>
        </w:rPr>
        <w:t xml:space="preserve"> la base des données fournies, l’EFSA a conclu qu’aucun danger nouveau ou exposition modifiée ni nouvelles incertitudes scientifiques n’ont été mis en évidence qui soient de nature à modifier les conclusions de l’évaluation des risques initiale relative au maïs 59122. Le 30 juin 2017, l’EFSA a émis un avis favorable sur cette demande, conformément aux articles 6 et 18 du règlement (CE) nº 1829/2003</w:t>
      </w:r>
      <w:r>
        <w:rPr>
          <w:rStyle w:val="FootnoteReference"/>
          <w:rFonts w:ascii="Times New Roman" w:hAnsi="Times New Roman"/>
          <w:snapToGrid w:val="0"/>
        </w:rPr>
        <w:footnoteReference w:id="1"/>
      </w:r>
      <w:r w:rsidRPr="00C5201B">
        <w:rPr>
          <w:rFonts w:ascii="Times New Roman" w:hAnsi="Times New Roman"/>
          <w:snapToGrid w:val="0"/>
          <w:lang w:val="fr-BE"/>
        </w:rPr>
        <w:t>;</w:t>
      </w:r>
    </w:p>
    <w:p w:rsidR="00CC16F4" w:rsidRPr="00C5201B" w:rsidRDefault="00CC16F4" w:rsidP="00CC16F4">
      <w:pPr>
        <w:pStyle w:val="Considrant"/>
        <w:numPr>
          <w:ilvl w:val="1"/>
          <w:numId w:val="5"/>
        </w:numPr>
        <w:spacing w:before="0"/>
        <w:ind w:left="567" w:hanging="567"/>
        <w:rPr>
          <w:lang w:val="fr-BE"/>
        </w:rPr>
      </w:pPr>
      <w:proofErr w:type="gramStart"/>
      <w:r w:rsidRPr="00C5201B">
        <w:rPr>
          <w:lang w:val="fr-BE"/>
        </w:rPr>
        <w:t>lors</w:t>
      </w:r>
      <w:proofErr w:type="gramEnd"/>
      <w:r w:rsidRPr="00C5201B">
        <w:rPr>
          <w:lang w:val="fr-BE"/>
        </w:rPr>
        <w:t xml:space="preserve"> de son évaluation des risques et dans son avis, l’EFSA a tenu compte de l’ensemble des questions et préoccupations spécifiques formulées par les États membres lors de la </w:t>
      </w:r>
      <w:r w:rsidRPr="00C5201B">
        <w:rPr>
          <w:lang w:val="fr-BE"/>
        </w:rPr>
        <w:lastRenderedPageBreak/>
        <w:t>consultation des autorités nationales compétentes, comme le prévoient l’article 6, paragraphe 4, et l’article 18, paragraphe 4, du règlement (CE) nº 1829/2003;</w:t>
      </w:r>
    </w:p>
    <w:p w:rsidR="00CC16F4" w:rsidRPr="00C5201B" w:rsidRDefault="00CC16F4" w:rsidP="00CC16F4">
      <w:pPr>
        <w:numPr>
          <w:ilvl w:val="1"/>
          <w:numId w:val="5"/>
        </w:numPr>
        <w:spacing w:after="120"/>
        <w:ind w:left="567" w:hanging="567"/>
        <w:rPr>
          <w:rFonts w:ascii="Times New Roman" w:hAnsi="Times New Roman"/>
          <w:szCs w:val="24"/>
          <w:lang w:val="fr-BE"/>
        </w:rPr>
      </w:pPr>
      <w:proofErr w:type="gramStart"/>
      <w:r w:rsidRPr="00C5201B">
        <w:rPr>
          <w:rFonts w:ascii="Times New Roman" w:hAnsi="Times New Roman"/>
          <w:lang w:val="fr-BE"/>
        </w:rPr>
        <w:t>le</w:t>
      </w:r>
      <w:proofErr w:type="gramEnd"/>
      <w:r w:rsidRPr="00C5201B">
        <w:rPr>
          <w:rFonts w:ascii="Times New Roman" w:hAnsi="Times New Roman"/>
          <w:lang w:val="fr-BE"/>
        </w:rPr>
        <w:t xml:space="preserve"> public a eu l’occasion de formuler des observations sur l’avis de l’EFSA, mais aucun commentaire n’a été reçu sur cet avis;</w:t>
      </w:r>
    </w:p>
    <w:p w:rsidR="00CC16F4" w:rsidRPr="00C5201B" w:rsidRDefault="00CC16F4" w:rsidP="00CC16F4">
      <w:pPr>
        <w:numPr>
          <w:ilvl w:val="1"/>
          <w:numId w:val="5"/>
        </w:numPr>
        <w:spacing w:after="120"/>
        <w:ind w:left="567" w:hanging="567"/>
        <w:rPr>
          <w:rFonts w:ascii="Times New Roman" w:hAnsi="Times New Roman"/>
          <w:szCs w:val="24"/>
          <w:lang w:val="fr-BE"/>
        </w:rPr>
      </w:pPr>
      <w:proofErr w:type="gramStart"/>
      <w:r w:rsidRPr="00C5201B">
        <w:rPr>
          <w:rFonts w:ascii="Times New Roman" w:hAnsi="Times New Roman"/>
          <w:lang w:val="fr-BE"/>
        </w:rPr>
        <w:t>le</w:t>
      </w:r>
      <w:proofErr w:type="gramEnd"/>
      <w:r w:rsidRPr="00C5201B">
        <w:rPr>
          <w:rFonts w:ascii="Times New Roman" w:hAnsi="Times New Roman"/>
          <w:lang w:val="fr-BE"/>
        </w:rPr>
        <w:t xml:space="preserve"> projet de décision a été soumis au vote du comité permanent le 16 janvier 2018; aucune majorité qualifiée ne s’est dégagée pour ou contre cette décision;</w:t>
      </w:r>
    </w:p>
    <w:p w:rsidR="00CC16F4" w:rsidRPr="00C5201B" w:rsidRDefault="00CC16F4" w:rsidP="00CC16F4">
      <w:pPr>
        <w:numPr>
          <w:ilvl w:val="1"/>
          <w:numId w:val="5"/>
        </w:numPr>
        <w:spacing w:after="120"/>
        <w:ind w:left="567" w:hanging="567"/>
        <w:rPr>
          <w:rFonts w:ascii="Times New Roman" w:hAnsi="Times New Roman"/>
          <w:szCs w:val="24"/>
          <w:lang w:val="fr-BE"/>
        </w:rPr>
      </w:pPr>
      <w:proofErr w:type="gramStart"/>
      <w:r w:rsidRPr="00C5201B">
        <w:rPr>
          <w:rFonts w:ascii="Times New Roman" w:hAnsi="Times New Roman"/>
          <w:lang w:val="fr-BE"/>
        </w:rPr>
        <w:t>conformément</w:t>
      </w:r>
      <w:proofErr w:type="gramEnd"/>
      <w:r w:rsidRPr="00C5201B">
        <w:rPr>
          <w:rFonts w:ascii="Times New Roman" w:hAnsi="Times New Roman"/>
          <w:lang w:val="fr-BE"/>
        </w:rPr>
        <w:t xml:space="preserve"> aux règles établies dans le règlement (UE) nº 182/2011 relatif à la comitologie, la Commission a proposé le projet de décision au comité d’appel du 26 février 2018, où aucune majorité qualifiée ne s’est non plus dégagée pour ou contre la décision.</w:t>
      </w:r>
    </w:p>
    <w:p w:rsidR="00CC16F4" w:rsidRPr="00C5201B" w:rsidRDefault="00CC16F4" w:rsidP="00CC16F4">
      <w:pPr>
        <w:spacing w:after="120"/>
        <w:rPr>
          <w:rFonts w:ascii="Times New Roman" w:hAnsi="Times New Roman"/>
          <w:szCs w:val="24"/>
          <w:lang w:val="fr-BE"/>
        </w:rPr>
      </w:pPr>
      <w:r w:rsidRPr="00C5201B">
        <w:rPr>
          <w:rFonts w:ascii="Times New Roman" w:hAnsi="Times New Roman"/>
          <w:lang w:val="fr-BE"/>
        </w:rPr>
        <w:t>Dès lors, la Commission estime qu’en adoptant une décision qui respecte pleinement les règles de procédures établies par les colégislateurs dans la législation sur les OGM, elle n’excède pas ses pouvoirs d’exécution. Par conséquent, rien ne justifie le retrait du projet de décision concernant le renouvellement de l’autorisation du maïs génétiquement modifié 59122.</w:t>
      </w:r>
    </w:p>
    <w:p w:rsidR="00CC16F4" w:rsidRPr="00C5201B" w:rsidRDefault="00CC16F4" w:rsidP="00CC16F4">
      <w:pPr>
        <w:spacing w:after="120"/>
        <w:rPr>
          <w:rFonts w:ascii="Times New Roman" w:hAnsi="Times New Roman"/>
          <w:szCs w:val="24"/>
          <w:lang w:val="fr-BE"/>
        </w:rPr>
      </w:pPr>
      <w:r w:rsidRPr="00C5201B">
        <w:rPr>
          <w:rFonts w:ascii="Times New Roman" w:hAnsi="Times New Roman"/>
          <w:lang w:val="fr-BE"/>
        </w:rPr>
        <w:t xml:space="preserve">En ce qui concerne les </w:t>
      </w:r>
      <w:r w:rsidRPr="00C5201B">
        <w:rPr>
          <w:rFonts w:ascii="Times New Roman" w:hAnsi="Times New Roman"/>
          <w:b/>
          <w:lang w:val="fr-BE"/>
        </w:rPr>
        <w:t>autres dispositions de la résolution</w:t>
      </w:r>
      <w:r w:rsidRPr="00C5201B">
        <w:rPr>
          <w:rFonts w:ascii="Times New Roman" w:hAnsi="Times New Roman"/>
          <w:lang w:val="fr-BE"/>
        </w:rPr>
        <w:t>, la Commission estime qu’elles ne relèvent pas du droit de regard, qui se limite à la question de savoir si le projet d’acte d’exécution va au-delà des compétences d’exécution prévues dans l’acte de base. Par conséquent, la Commission n’est pas tenue de justifier ces points précis du projet d’acte d’exécution. Néanmoins, la Commission a examiné avec attention les positions exprimées par le Parlement européen et souhaite formuler les commentaires suivants:</w:t>
      </w:r>
    </w:p>
    <w:p w:rsidR="00CC16F4" w:rsidRPr="00C5201B" w:rsidRDefault="00CC16F4" w:rsidP="00CC16F4">
      <w:pPr>
        <w:pStyle w:val="ListBullet"/>
        <w:numPr>
          <w:ilvl w:val="0"/>
          <w:numId w:val="0"/>
        </w:numPr>
        <w:spacing w:after="120"/>
        <w:ind w:left="567" w:hanging="567"/>
        <w:rPr>
          <w:rFonts w:ascii="Times New Roman" w:hAnsi="Times New Roman"/>
          <w:highlight w:val="yellow"/>
          <w:lang w:val="fr-BE"/>
        </w:rPr>
      </w:pPr>
      <w:r w:rsidRPr="00C5201B">
        <w:rPr>
          <w:rFonts w:ascii="Times New Roman" w:hAnsi="Times New Roman"/>
          <w:lang w:val="fr-BE"/>
        </w:rPr>
        <w:t>-</w:t>
      </w:r>
      <w:r w:rsidRPr="00C5201B">
        <w:rPr>
          <w:lang w:val="fr-BE"/>
        </w:rPr>
        <w:tab/>
      </w:r>
      <w:r w:rsidRPr="00C5201B">
        <w:rPr>
          <w:rFonts w:ascii="Times New Roman" w:hAnsi="Times New Roman"/>
          <w:lang w:val="fr-BE"/>
        </w:rPr>
        <w:t xml:space="preserve">pour ce qui est des inquiétudes spécifiques soulevées aux </w:t>
      </w:r>
      <w:r w:rsidRPr="00C5201B">
        <w:rPr>
          <w:rFonts w:ascii="Times New Roman" w:hAnsi="Times New Roman"/>
          <w:b/>
          <w:lang w:val="fr-BE"/>
        </w:rPr>
        <w:t xml:space="preserve">considérants K à N </w:t>
      </w:r>
      <w:r w:rsidRPr="00C5201B">
        <w:rPr>
          <w:rFonts w:ascii="Times New Roman" w:hAnsi="Times New Roman"/>
          <w:lang w:val="fr-BE"/>
        </w:rPr>
        <w:t>de la résolution en ce qui concerne le fait que le maïs 59122 est tolérant aux herbicides à base de glufosinate ammonium, la Commission signale que l’évaluation des risques et les autorisations de ces herbicides et de leurs résidus sont soumises aux procédures prévues au règlement (CE) nº 1107/2009 et que les limites maximales applicables aux résidus sont fixées dans le règlement (CE) nº 396/2005. Ces règles s’appliquent à toutes les cultures et à tous les produits concernés, qu’ils soient ou non génétiquement modifiés, y compris au maïs génétiquement modifié dont il est question ici. De même, les décisions futures concernant le renouvellement/l’autorisation des herbicides susmentionnés et les limites maximales applicables à leurs limites maximales applicables aux résidus s’appliqueront aussi au maïs génétiquement modifié dont il est question ici. Sur la base de l’avis de l’EFSA, l’usage auquel est destiné le maïs 59122 est sûr et respecte pleinement les exigences de l’unique règlement pertinent [règlement (CE) nº 1829/2003] en ce qui concerne les autorisations d’organismes génétiquement modifiés;</w:t>
      </w:r>
    </w:p>
    <w:p w:rsidR="00CC16F4" w:rsidRPr="00C5201B" w:rsidRDefault="00CC16F4" w:rsidP="00CC16F4">
      <w:pPr>
        <w:widowControl w:val="0"/>
        <w:numPr>
          <w:ilvl w:val="0"/>
          <w:numId w:val="4"/>
        </w:numPr>
        <w:spacing w:after="120"/>
        <w:ind w:left="567" w:hanging="567"/>
        <w:rPr>
          <w:rFonts w:ascii="Times New Roman" w:hAnsi="Times New Roman"/>
          <w:szCs w:val="24"/>
          <w:lang w:val="fr-BE"/>
        </w:rPr>
      </w:pPr>
      <w:proofErr w:type="gramStart"/>
      <w:r w:rsidRPr="00C5201B">
        <w:rPr>
          <w:rFonts w:ascii="Times New Roman" w:hAnsi="Times New Roman"/>
          <w:lang w:val="fr-BE"/>
        </w:rPr>
        <w:t>en</w:t>
      </w:r>
      <w:proofErr w:type="gramEnd"/>
      <w:r w:rsidRPr="00C5201B">
        <w:rPr>
          <w:rFonts w:ascii="Times New Roman" w:hAnsi="Times New Roman"/>
          <w:lang w:val="fr-BE"/>
        </w:rPr>
        <w:t xml:space="preserve"> ce qui concerne le </w:t>
      </w:r>
      <w:r w:rsidRPr="00C5201B">
        <w:rPr>
          <w:rFonts w:ascii="Times New Roman" w:hAnsi="Times New Roman"/>
          <w:b/>
          <w:lang w:val="fr-BE"/>
        </w:rPr>
        <w:t>considérant J</w:t>
      </w:r>
      <w:r w:rsidRPr="00C5201B">
        <w:rPr>
          <w:rFonts w:ascii="Times New Roman" w:hAnsi="Times New Roman"/>
          <w:lang w:val="fr-BE"/>
        </w:rPr>
        <w:t>, la Commission souligne que la décision relative à l’autorisation de cultiver des organismes génétiquement modifiés dans un pays tiers relève exclusivement de ce pays et de sa souveraineté;</w:t>
      </w:r>
    </w:p>
    <w:p w:rsidR="00CC16F4" w:rsidRPr="00C5201B" w:rsidRDefault="00CC16F4" w:rsidP="00CC16F4">
      <w:pPr>
        <w:pStyle w:val="ListBullet2"/>
        <w:widowControl w:val="0"/>
        <w:numPr>
          <w:ilvl w:val="0"/>
          <w:numId w:val="4"/>
        </w:numPr>
        <w:spacing w:after="120"/>
        <w:ind w:left="567" w:hanging="567"/>
        <w:rPr>
          <w:rFonts w:ascii="Times New Roman" w:hAnsi="Times New Roman"/>
          <w:szCs w:val="24"/>
          <w:lang w:val="fr-BE"/>
        </w:rPr>
      </w:pPr>
      <w:r w:rsidRPr="00C5201B">
        <w:rPr>
          <w:rFonts w:ascii="Times New Roman" w:hAnsi="Times New Roman"/>
          <w:lang w:val="fr-BE"/>
        </w:rPr>
        <w:t>en ce qui concerne les résultats du vote du comité permanent du 16 janvier 2018 (</w:t>
      </w:r>
      <w:r w:rsidRPr="00C5201B">
        <w:rPr>
          <w:rFonts w:ascii="Times New Roman" w:hAnsi="Times New Roman"/>
          <w:b/>
          <w:lang w:val="fr-BE"/>
        </w:rPr>
        <w:t>considérant O</w:t>
      </w:r>
      <w:r w:rsidRPr="00C5201B">
        <w:rPr>
          <w:rFonts w:ascii="Times New Roman" w:hAnsi="Times New Roman"/>
          <w:lang w:val="fr-BE"/>
        </w:rPr>
        <w:t>), la Commission souligne que la répartition des votes – qui indique que les États membres ne sont pas unanimes quant aux autorisations de denrées alimentaires et d’aliments pour animaux génétiquement modifiés – est l’élément sous-jacent de la proposition législative de la Commission</w:t>
      </w:r>
      <w:r>
        <w:rPr>
          <w:vertAlign w:val="superscript"/>
        </w:rPr>
        <w:footnoteReference w:id="2"/>
      </w:r>
      <w:r w:rsidRPr="00C5201B">
        <w:rPr>
          <w:rFonts w:ascii="Times New Roman" w:hAnsi="Times New Roman"/>
          <w:lang w:val="fr-BE"/>
        </w:rPr>
        <w:t xml:space="preserve">, qui, une fois adoptée par les colégislateurs, </w:t>
      </w:r>
      <w:r w:rsidRPr="00C5201B">
        <w:rPr>
          <w:rFonts w:ascii="Times New Roman" w:hAnsi="Times New Roman"/>
          <w:lang w:val="fr-BE"/>
        </w:rPr>
        <w:lastRenderedPageBreak/>
        <w:t>autoriserait les États membres à restreindre ou à interdire l’utilisation des denrées alimentaires et des aliments pour animaux génétiquement modifiés sur leur territoire, pour des raisons autres que des questions de sécurité;</w:t>
      </w:r>
    </w:p>
    <w:p w:rsidR="00CC16F4" w:rsidRPr="00C5201B" w:rsidRDefault="00CC16F4" w:rsidP="00CC16F4">
      <w:pPr>
        <w:pStyle w:val="ListBullet2"/>
        <w:widowControl w:val="0"/>
        <w:numPr>
          <w:ilvl w:val="0"/>
          <w:numId w:val="4"/>
        </w:numPr>
        <w:spacing w:after="120"/>
        <w:ind w:left="567" w:hanging="567"/>
        <w:rPr>
          <w:rFonts w:ascii="Times New Roman" w:hAnsi="Times New Roman"/>
          <w:szCs w:val="24"/>
          <w:lang w:val="fr-BE"/>
        </w:rPr>
      </w:pPr>
      <w:proofErr w:type="gramStart"/>
      <w:r w:rsidRPr="00C5201B">
        <w:rPr>
          <w:rFonts w:ascii="Times New Roman" w:hAnsi="Times New Roman"/>
          <w:lang w:val="fr-BE"/>
        </w:rPr>
        <w:t>en</w:t>
      </w:r>
      <w:proofErr w:type="gramEnd"/>
      <w:r w:rsidRPr="00C5201B">
        <w:rPr>
          <w:rFonts w:ascii="Times New Roman" w:hAnsi="Times New Roman"/>
          <w:lang w:val="fr-BE"/>
        </w:rPr>
        <w:t xml:space="preserve"> ce qui concerne l’appel à la Commission, au </w:t>
      </w:r>
      <w:r w:rsidRPr="00C5201B">
        <w:rPr>
          <w:rFonts w:ascii="Times New Roman" w:hAnsi="Times New Roman"/>
          <w:b/>
          <w:lang w:val="fr-BE"/>
        </w:rPr>
        <w:t>considérant Q</w:t>
      </w:r>
      <w:r w:rsidRPr="00C5201B">
        <w:rPr>
          <w:rFonts w:ascii="Times New Roman" w:hAnsi="Times New Roman"/>
          <w:lang w:val="fr-BE"/>
        </w:rPr>
        <w:t xml:space="preserve">, à soumettre une nouvelle proposition législative, la Commission souhaiterait rappeler qu’elle regrette la décision du Parlement européen du 28 octobre 2015 rejetant la proposition législative, en particulier parce qu’elle vise précisément à </w:t>
      </w:r>
      <w:r w:rsidRPr="00C5201B">
        <w:rPr>
          <w:rFonts w:ascii="Times New Roman" w:hAnsi="Times New Roman"/>
          <w:i/>
          <w:lang w:val="fr-BE"/>
        </w:rPr>
        <w:t>«[tenir compte] des préoccupations nationales habituellement exprimées, qui ne portent pas uniquement sur des questions liées à l’innocuité des OGM pour la santé ou l’environnement».</w:t>
      </w:r>
      <w:r w:rsidRPr="00C5201B">
        <w:rPr>
          <w:rFonts w:ascii="Times New Roman" w:hAnsi="Times New Roman"/>
          <w:lang w:val="fr-BE"/>
        </w:rPr>
        <w:t xml:space="preserve"> La Commission maintient donc sa proposition initiale, qui, si elle était adoptée, permettrait aux États membres de limiter ou d’interdire l’utilisation de denrées alimentaires et d’aliments pour animaux génétiquement modifiés, après que la Commission aura rendu sa décision, sur la base de considérations nationales;</w:t>
      </w:r>
    </w:p>
    <w:p w:rsidR="00CC16F4" w:rsidRPr="00C5201B" w:rsidRDefault="00CC16F4" w:rsidP="00CC16F4">
      <w:pPr>
        <w:pStyle w:val="ListBullet2"/>
        <w:widowControl w:val="0"/>
        <w:numPr>
          <w:ilvl w:val="0"/>
          <w:numId w:val="4"/>
        </w:numPr>
        <w:spacing w:after="120"/>
        <w:ind w:left="567" w:hanging="567"/>
        <w:rPr>
          <w:rFonts w:ascii="Times New Roman" w:hAnsi="Times New Roman"/>
          <w:szCs w:val="24"/>
          <w:lang w:val="fr-BE"/>
        </w:rPr>
      </w:pPr>
      <w:r w:rsidRPr="00C5201B">
        <w:rPr>
          <w:rFonts w:ascii="Times New Roman" w:hAnsi="Times New Roman"/>
          <w:lang w:val="fr-BE"/>
        </w:rPr>
        <w:t>en outre, en ce qui concerne le manque de soutien des États membres en faveur des décisions sur les autorisations des OGM pour l’alimentation humaine et animale (</w:t>
      </w:r>
      <w:r w:rsidRPr="00C5201B">
        <w:rPr>
          <w:rFonts w:ascii="Times New Roman" w:hAnsi="Times New Roman"/>
          <w:b/>
          <w:lang w:val="fr-BE"/>
        </w:rPr>
        <w:t>considérant P</w:t>
      </w:r>
      <w:r w:rsidRPr="00C5201B">
        <w:rPr>
          <w:rFonts w:ascii="Times New Roman" w:hAnsi="Times New Roman"/>
          <w:lang w:val="fr-BE"/>
        </w:rPr>
        <w:t>), la Commission a présenté au Conseil et au Parlement européen une proposition</w:t>
      </w:r>
      <w:r>
        <w:rPr>
          <w:rStyle w:val="FootnoteReference"/>
          <w:rFonts w:ascii="Times New Roman" w:hAnsi="Times New Roman"/>
        </w:rPr>
        <w:footnoteReference w:id="3"/>
      </w:r>
      <w:r w:rsidRPr="00C5201B">
        <w:rPr>
          <w:rFonts w:ascii="Times New Roman" w:hAnsi="Times New Roman"/>
          <w:lang w:val="fr-BE"/>
        </w:rPr>
        <w:t xml:space="preserve"> le 14 février 2017 visant à modifier les règles de vote du comité d’appel, qui, si elle était adoptée par les colégislateurs, renforcerait la transparence et la responsabilité dans le processus de prise de décision relatif aux OGM;</w:t>
      </w:r>
    </w:p>
    <w:p w:rsidR="00D252EB" w:rsidRPr="00CC16F4" w:rsidRDefault="00CC16F4" w:rsidP="00CC16F4">
      <w:pPr>
        <w:rPr>
          <w:lang w:val="fr-BE"/>
        </w:rPr>
      </w:pPr>
      <w:proofErr w:type="gramStart"/>
      <w:r w:rsidRPr="00C5201B">
        <w:rPr>
          <w:rFonts w:ascii="Times New Roman" w:hAnsi="Times New Roman"/>
          <w:lang w:val="fr-BE"/>
        </w:rPr>
        <w:t>en</w:t>
      </w:r>
      <w:proofErr w:type="gramEnd"/>
      <w:r w:rsidRPr="00C5201B">
        <w:rPr>
          <w:rFonts w:ascii="Times New Roman" w:hAnsi="Times New Roman"/>
          <w:lang w:val="fr-BE"/>
        </w:rPr>
        <w:t xml:space="preserve"> conclusion, la Commission tient à souligner que, comme pour toute procédure législative soumise dans le cadre de la procédure législative ordinaire, les règles en vigueur continuent à s’appliquer pendant les négociations entre les colégislateurs et jusqu’à ce qu’un accord définitif soit trouvé. Par conséquent, la Commission doit continuer de traiter les demandes relatives aux denrées alimentaires et aux aliments pour animaux génétiquement modifiés.</w:t>
      </w:r>
      <w:r w:rsidRPr="00C5201B">
        <w:rPr>
          <w:rFonts w:ascii="Times New Roman" w:hAnsi="Times New Roman"/>
          <w:szCs w:val="24"/>
          <w:lang w:val="fr-BE"/>
        </w:rPr>
        <w:tab/>
      </w:r>
    </w:p>
    <w:sectPr w:rsidR="00D252EB" w:rsidRPr="00CC16F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16F4" w:rsidRDefault="00CC16F4" w:rsidP="00CC16F4">
      <w:pPr>
        <w:spacing w:after="0"/>
      </w:pPr>
      <w:r>
        <w:separator/>
      </w:r>
    </w:p>
  </w:endnote>
  <w:endnote w:type="continuationSeparator" w:id="0">
    <w:p w:rsidR="00CC16F4" w:rsidRDefault="00CC16F4" w:rsidP="00CC16F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16F4" w:rsidRDefault="00CC16F4" w:rsidP="00CC16F4">
      <w:pPr>
        <w:spacing w:after="0"/>
      </w:pPr>
      <w:r>
        <w:separator/>
      </w:r>
    </w:p>
  </w:footnote>
  <w:footnote w:type="continuationSeparator" w:id="0">
    <w:p w:rsidR="00CC16F4" w:rsidRDefault="00CC16F4" w:rsidP="00CC16F4">
      <w:pPr>
        <w:spacing w:after="0"/>
      </w:pPr>
      <w:r>
        <w:continuationSeparator/>
      </w:r>
    </w:p>
  </w:footnote>
  <w:footnote w:id="1">
    <w:p w:rsidR="00CC16F4" w:rsidRPr="00C5201B" w:rsidRDefault="00CC16F4" w:rsidP="00CC16F4">
      <w:pPr>
        <w:pStyle w:val="FootnoteText"/>
        <w:widowControl w:val="0"/>
        <w:spacing w:after="120"/>
        <w:ind w:left="284" w:hanging="284"/>
        <w:rPr>
          <w:rFonts w:ascii="Times New Roman" w:hAnsi="Times New Roman"/>
          <w:lang w:val="fr-BE"/>
        </w:rPr>
      </w:pPr>
      <w:r>
        <w:rPr>
          <w:rStyle w:val="FootnoteReference"/>
        </w:rPr>
        <w:footnoteRef/>
      </w:r>
      <w:r w:rsidRPr="00C5201B">
        <w:rPr>
          <w:lang w:val="fr-BE"/>
        </w:rPr>
        <w:tab/>
      </w:r>
      <w:r w:rsidRPr="00C5201B">
        <w:rPr>
          <w:rFonts w:ascii="Times New Roman" w:hAnsi="Times New Roman"/>
          <w:lang w:val="fr-BE"/>
        </w:rPr>
        <w:t xml:space="preserve">Groupe scientifique sur les organismes génétiquement modifiés (groupe scientifique OGM) de l’EFSA, 2017. </w:t>
      </w:r>
      <w:r w:rsidRPr="000E4F0F">
        <w:rPr>
          <w:rFonts w:ascii="Times New Roman" w:hAnsi="Times New Roman"/>
        </w:rPr>
        <w:t xml:space="preserve">«Scientific opinion on an application for renewal of authorisation for continued marketing of maize 59122 and derived food and feed submitted under Articles 11 and 23 of Regulation (EC) No 1829/2003 by Pioneer Overseas Corporation and Dow </w:t>
      </w:r>
      <w:proofErr w:type="spellStart"/>
      <w:r w:rsidRPr="000E4F0F">
        <w:rPr>
          <w:rFonts w:ascii="Times New Roman" w:hAnsi="Times New Roman"/>
        </w:rPr>
        <w:t>AgroSciences</w:t>
      </w:r>
      <w:proofErr w:type="spellEnd"/>
      <w:r w:rsidRPr="000E4F0F">
        <w:rPr>
          <w:rFonts w:ascii="Times New Roman" w:hAnsi="Times New Roman"/>
        </w:rPr>
        <w:t xml:space="preserve"> LLC». </w:t>
      </w:r>
      <w:r w:rsidRPr="00C5201B">
        <w:rPr>
          <w:rFonts w:ascii="Times New Roman" w:hAnsi="Times New Roman"/>
          <w:lang w:val="fr-BE"/>
        </w:rPr>
        <w:t>EFSA Journal 2017;15(6):4861, 10 p. https://doi.org/10.2903/j.efsa.2017.4861</w:t>
      </w:r>
    </w:p>
  </w:footnote>
  <w:footnote w:id="2">
    <w:p w:rsidR="00CC16F4" w:rsidRPr="00C5201B" w:rsidRDefault="00CC16F4" w:rsidP="00CC16F4">
      <w:pPr>
        <w:pStyle w:val="FootnoteText"/>
        <w:widowControl w:val="0"/>
        <w:spacing w:after="120"/>
        <w:ind w:left="284" w:hanging="284"/>
        <w:rPr>
          <w:rFonts w:ascii="Times New Roman" w:hAnsi="Times New Roman"/>
          <w:szCs w:val="22"/>
          <w:lang w:val="fr-BE" w:eastAsia="en-US"/>
        </w:rPr>
      </w:pPr>
      <w:r>
        <w:rPr>
          <w:rStyle w:val="FootnoteReference"/>
          <w:rFonts w:ascii="Times New Roman" w:hAnsi="Times New Roman"/>
        </w:rPr>
        <w:footnoteRef/>
      </w:r>
      <w:r w:rsidRPr="00C5201B">
        <w:rPr>
          <w:lang w:val="fr-BE"/>
        </w:rPr>
        <w:tab/>
      </w:r>
      <w:r w:rsidRPr="00C5201B">
        <w:rPr>
          <w:rFonts w:ascii="Times New Roman" w:hAnsi="Times New Roman"/>
          <w:lang w:val="fr-BE"/>
        </w:rPr>
        <w:t xml:space="preserve">Proposition de règlement modifiant le règlement (CE) nº 1829/2003 en ce qui concerne la possibilité pour les États membres de restreindre ou d’interdire sur leur territoire l’utilisation de denrées alimentaires et d’aliments pour animaux génétiquement modifiés, </w:t>
      </w:r>
      <w:proofErr w:type="gramStart"/>
      <w:r w:rsidRPr="00C5201B">
        <w:rPr>
          <w:rFonts w:ascii="Times New Roman" w:hAnsi="Times New Roman"/>
          <w:lang w:val="fr-BE"/>
        </w:rPr>
        <w:t>COM(</w:t>
      </w:r>
      <w:proofErr w:type="gramEnd"/>
      <w:r w:rsidRPr="00C5201B">
        <w:rPr>
          <w:rFonts w:ascii="Times New Roman" w:hAnsi="Times New Roman"/>
          <w:lang w:val="fr-BE"/>
        </w:rPr>
        <w:t>2015) 177 final.</w:t>
      </w:r>
    </w:p>
  </w:footnote>
  <w:footnote w:id="3">
    <w:p w:rsidR="00CC16F4" w:rsidRPr="00C5201B" w:rsidRDefault="00CC16F4" w:rsidP="00CC16F4">
      <w:pPr>
        <w:pStyle w:val="FootnoteText"/>
        <w:spacing w:after="120"/>
        <w:ind w:left="284" w:hanging="284"/>
        <w:rPr>
          <w:rFonts w:ascii="Times New Roman" w:hAnsi="Times New Roman"/>
          <w:lang w:val="fr-BE"/>
        </w:rPr>
      </w:pPr>
      <w:r>
        <w:rPr>
          <w:rStyle w:val="FootnoteReference"/>
          <w:rFonts w:ascii="Times New Roman" w:hAnsi="Times New Roman"/>
        </w:rPr>
        <w:footnoteRef/>
      </w:r>
      <w:r w:rsidRPr="00C5201B">
        <w:rPr>
          <w:lang w:val="fr-BE"/>
        </w:rPr>
        <w:tab/>
      </w:r>
      <w:r w:rsidRPr="00C5201B">
        <w:rPr>
          <w:rFonts w:ascii="Times New Roman" w:hAnsi="Times New Roman"/>
          <w:lang w:val="fr-BE"/>
        </w:rPr>
        <w:t xml:space="preserve">Proposition de règlement du Parlement européen et du Conseil portant modification du règlement (UE) nº 182/2011 établissant les règles et principes généraux relatifs aux modalités de contrôle par les États membres de l’exercice des compétences d’exécution par la Commission, </w:t>
      </w:r>
      <w:proofErr w:type="gramStart"/>
      <w:r w:rsidRPr="00C5201B">
        <w:rPr>
          <w:rFonts w:ascii="Times New Roman" w:hAnsi="Times New Roman"/>
          <w:lang w:val="fr-BE"/>
        </w:rPr>
        <w:t>COM(</w:t>
      </w:r>
      <w:proofErr w:type="gramEnd"/>
      <w:r w:rsidRPr="00C5201B">
        <w:rPr>
          <w:rFonts w:ascii="Times New Roman" w:hAnsi="Times New Roman"/>
          <w:lang w:val="fr-BE"/>
        </w:rPr>
        <w:t>2017) 085 final.</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B3F48"/>
    <w:multiLevelType w:val="singleLevel"/>
    <w:tmpl w:val="EFB46688"/>
    <w:name w:val="WW8Num6"/>
    <w:lvl w:ilvl="0">
      <w:start w:val="1"/>
      <w:numFmt w:val="bullet"/>
      <w:pStyle w:val="ListBullet"/>
      <w:lvlText w:val=""/>
      <w:lvlJc w:val="left"/>
      <w:pPr>
        <w:tabs>
          <w:tab w:val="num" w:pos="283"/>
        </w:tabs>
        <w:ind w:left="283" w:hanging="283"/>
      </w:pPr>
      <w:rPr>
        <w:rFonts w:ascii="Symbol" w:hAnsi="Symbol"/>
      </w:rPr>
    </w:lvl>
  </w:abstractNum>
  <w:abstractNum w:abstractNumId="1" w15:restartNumberingAfterBreak="0">
    <w:nsid w:val="2B1E53BC"/>
    <w:multiLevelType w:val="singleLevel"/>
    <w:tmpl w:val="0BFC0FF8"/>
    <w:lvl w:ilvl="0">
      <w:start w:val="1"/>
      <w:numFmt w:val="bullet"/>
      <w:pStyle w:val="ListBullet2"/>
      <w:lvlText w:val=""/>
      <w:lvlJc w:val="left"/>
      <w:pPr>
        <w:tabs>
          <w:tab w:val="num" w:pos="1360"/>
        </w:tabs>
        <w:ind w:left="1360" w:hanging="283"/>
      </w:pPr>
      <w:rPr>
        <w:rFonts w:ascii="Symbol" w:hAnsi="Symbol"/>
      </w:rPr>
    </w:lvl>
  </w:abstractNum>
  <w:abstractNum w:abstractNumId="2" w15:restartNumberingAfterBreak="0">
    <w:nsid w:val="33F155FB"/>
    <w:multiLevelType w:val="hybridMultilevel"/>
    <w:tmpl w:val="03F42A1C"/>
    <w:lvl w:ilvl="0" w:tplc="010A3310">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576A32C9"/>
    <w:multiLevelType w:val="multilevel"/>
    <w:tmpl w:val="52224248"/>
    <w:lvl w:ilvl="0">
      <w:start w:val="1"/>
      <w:numFmt w:val="decimal"/>
      <w:lvlRestart w:val="0"/>
      <w:pStyle w:val="Considrant"/>
      <w:lvlText w:val="%1."/>
      <w:lvlJc w:val="left"/>
      <w:pPr>
        <w:tabs>
          <w:tab w:val="num" w:pos="850"/>
        </w:tabs>
        <w:ind w:left="850" w:hanging="850"/>
      </w:pPr>
      <w:rPr>
        <w:rFonts w:cs="Times New Roman"/>
      </w:rPr>
    </w:lvl>
    <w:lvl w:ilvl="1">
      <w:start w:val="1"/>
      <w:numFmt w:val="decimal"/>
      <w:lvlText w:val="%1.%2."/>
      <w:lvlJc w:val="left"/>
      <w:pPr>
        <w:tabs>
          <w:tab w:val="num" w:pos="850"/>
        </w:tabs>
        <w:ind w:left="850" w:hanging="850"/>
      </w:pPr>
      <w:rPr>
        <w:rFonts w:cs="Times New Roman"/>
        <w:i w:val="0"/>
      </w:rPr>
    </w:lvl>
    <w:lvl w:ilvl="2">
      <w:start w:val="1"/>
      <w:numFmt w:val="decimal"/>
      <w:lvlText w:val="%1.%2.%3."/>
      <w:lvlJc w:val="left"/>
      <w:pPr>
        <w:tabs>
          <w:tab w:val="num" w:pos="850"/>
        </w:tabs>
        <w:ind w:left="850" w:hanging="850"/>
      </w:pPr>
      <w:rPr>
        <w:rFonts w:cs="Times New Roman"/>
      </w:rPr>
    </w:lvl>
    <w:lvl w:ilvl="3">
      <w:start w:val="1"/>
      <w:numFmt w:val="decimal"/>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15:restartNumberingAfterBreak="0">
    <w:nsid w:val="7E1E1F57"/>
    <w:multiLevelType w:val="hybridMultilevel"/>
    <w:tmpl w:val="FC6C6606"/>
    <w:lvl w:ilvl="0" w:tplc="010A3310">
      <w:numFmt w:val="bullet"/>
      <w:lvlText w:val="-"/>
      <w:lvlJc w:val="left"/>
      <w:pPr>
        <w:ind w:left="1080" w:hanging="360"/>
      </w:pPr>
      <w:rPr>
        <w:rFonts w:ascii="Times New Roman" w:eastAsia="Times New Roman" w:hAnsi="Times New Roman" w:cs="Times New Roman" w:hint="default"/>
      </w:rPr>
    </w:lvl>
    <w:lvl w:ilvl="1" w:tplc="010A3310">
      <w:numFmt w:val="bullet"/>
      <w:lvlText w:val="-"/>
      <w:lvlJc w:val="left"/>
      <w:pPr>
        <w:ind w:left="1800" w:hanging="360"/>
      </w:pPr>
      <w:rPr>
        <w:rFonts w:ascii="Times New Roman" w:eastAsia="Times New Roman" w:hAnsi="Times New Roman" w:cs="Times New Roman"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6F4"/>
    <w:rsid w:val="00027B09"/>
    <w:rsid w:val="00054F89"/>
    <w:rsid w:val="000B22A1"/>
    <w:rsid w:val="000E11EF"/>
    <w:rsid w:val="000F2B09"/>
    <w:rsid w:val="001736A8"/>
    <w:rsid w:val="001B1D22"/>
    <w:rsid w:val="001D1570"/>
    <w:rsid w:val="001D4038"/>
    <w:rsid w:val="001F0E13"/>
    <w:rsid w:val="001F7C4A"/>
    <w:rsid w:val="001F7CFD"/>
    <w:rsid w:val="002572D7"/>
    <w:rsid w:val="00270DCC"/>
    <w:rsid w:val="00274C93"/>
    <w:rsid w:val="002B56D0"/>
    <w:rsid w:val="002C06DE"/>
    <w:rsid w:val="002C16A8"/>
    <w:rsid w:val="002D0452"/>
    <w:rsid w:val="002E0063"/>
    <w:rsid w:val="002E0392"/>
    <w:rsid w:val="00305E32"/>
    <w:rsid w:val="003173DE"/>
    <w:rsid w:val="003566FC"/>
    <w:rsid w:val="003725F5"/>
    <w:rsid w:val="00381B0C"/>
    <w:rsid w:val="003D6D65"/>
    <w:rsid w:val="00403761"/>
    <w:rsid w:val="0042368F"/>
    <w:rsid w:val="00423CB5"/>
    <w:rsid w:val="00433F70"/>
    <w:rsid w:val="004642FF"/>
    <w:rsid w:val="00480F53"/>
    <w:rsid w:val="0048169B"/>
    <w:rsid w:val="00491697"/>
    <w:rsid w:val="004E755F"/>
    <w:rsid w:val="005138D5"/>
    <w:rsid w:val="00521A67"/>
    <w:rsid w:val="005261E3"/>
    <w:rsid w:val="005773AA"/>
    <w:rsid w:val="005953F5"/>
    <w:rsid w:val="005969DF"/>
    <w:rsid w:val="005D1929"/>
    <w:rsid w:val="005E3B54"/>
    <w:rsid w:val="00616E5F"/>
    <w:rsid w:val="006326B8"/>
    <w:rsid w:val="00653B68"/>
    <w:rsid w:val="00654945"/>
    <w:rsid w:val="00690826"/>
    <w:rsid w:val="006C4266"/>
    <w:rsid w:val="006F55F6"/>
    <w:rsid w:val="007009B6"/>
    <w:rsid w:val="00734919"/>
    <w:rsid w:val="00737E68"/>
    <w:rsid w:val="0075237D"/>
    <w:rsid w:val="007901B5"/>
    <w:rsid w:val="00797105"/>
    <w:rsid w:val="007D2A1A"/>
    <w:rsid w:val="007E0BFC"/>
    <w:rsid w:val="00803B1F"/>
    <w:rsid w:val="00814714"/>
    <w:rsid w:val="00826DBB"/>
    <w:rsid w:val="008554BB"/>
    <w:rsid w:val="008850A9"/>
    <w:rsid w:val="008A703E"/>
    <w:rsid w:val="008C59B5"/>
    <w:rsid w:val="008D5CC4"/>
    <w:rsid w:val="008E2B38"/>
    <w:rsid w:val="008E4BB0"/>
    <w:rsid w:val="00964B60"/>
    <w:rsid w:val="00987D3F"/>
    <w:rsid w:val="009B1F6A"/>
    <w:rsid w:val="009D6CF0"/>
    <w:rsid w:val="009D7CC7"/>
    <w:rsid w:val="009F43D7"/>
    <w:rsid w:val="00A037F5"/>
    <w:rsid w:val="00AB11D1"/>
    <w:rsid w:val="00B36703"/>
    <w:rsid w:val="00B7520E"/>
    <w:rsid w:val="00BC34C3"/>
    <w:rsid w:val="00BC5884"/>
    <w:rsid w:val="00BE4FF7"/>
    <w:rsid w:val="00BE7767"/>
    <w:rsid w:val="00C227BA"/>
    <w:rsid w:val="00C52BFA"/>
    <w:rsid w:val="00C93913"/>
    <w:rsid w:val="00CC16F4"/>
    <w:rsid w:val="00CD1B0E"/>
    <w:rsid w:val="00CD247A"/>
    <w:rsid w:val="00D02DD3"/>
    <w:rsid w:val="00D266AC"/>
    <w:rsid w:val="00D31207"/>
    <w:rsid w:val="00D34A95"/>
    <w:rsid w:val="00D704B2"/>
    <w:rsid w:val="00DC15AB"/>
    <w:rsid w:val="00DE50BD"/>
    <w:rsid w:val="00DF7B65"/>
    <w:rsid w:val="00E843E4"/>
    <w:rsid w:val="00EC2FE8"/>
    <w:rsid w:val="00ED279C"/>
    <w:rsid w:val="00EE3407"/>
    <w:rsid w:val="00EF4CD4"/>
    <w:rsid w:val="00F02193"/>
    <w:rsid w:val="00F03C01"/>
    <w:rsid w:val="00F15167"/>
    <w:rsid w:val="00F21E50"/>
    <w:rsid w:val="00F86446"/>
    <w:rsid w:val="00FB132C"/>
    <w:rsid w:val="00FC1717"/>
    <w:rsid w:val="00FF5E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EA0732-3FBC-44D0-B108-BFBBF114F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16F4"/>
    <w:pPr>
      <w:spacing w:after="240" w:line="240" w:lineRule="auto"/>
      <w:jc w:val="both"/>
    </w:pPr>
    <w:rPr>
      <w:rFonts w:ascii="Courier New" w:eastAsia="Times New Roman" w:hAnsi="Courier New"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1 Char,Footnote Text Char Char Char,Fußnotentext Char Char1 Char Char,Fußnotentext Char1 Char1 Char Char Char,Fußnotentext Char Char Char Char Char Char Char1,Footnote Text Char1,Footnote Text Char Char"/>
    <w:basedOn w:val="Normal"/>
    <w:link w:val="FootnoteTextChar2"/>
    <w:uiPriority w:val="99"/>
    <w:qFormat/>
    <w:rsid w:val="00CC16F4"/>
    <w:pPr>
      <w:ind w:left="357" w:hanging="357"/>
    </w:pPr>
    <w:rPr>
      <w:sz w:val="20"/>
    </w:rPr>
  </w:style>
  <w:style w:type="character" w:customStyle="1" w:styleId="FootnoteTextChar">
    <w:name w:val="Footnote Text Char"/>
    <w:basedOn w:val="DefaultParagraphFont"/>
    <w:uiPriority w:val="99"/>
    <w:semiHidden/>
    <w:rsid w:val="00CC16F4"/>
    <w:rPr>
      <w:rFonts w:ascii="Courier New" w:eastAsia="Times New Roman" w:hAnsi="Courier New" w:cs="Times New Roman"/>
      <w:sz w:val="20"/>
      <w:szCs w:val="20"/>
      <w:lang w:eastAsia="en-GB"/>
    </w:rPr>
  </w:style>
  <w:style w:type="paragraph" w:styleId="ListBullet">
    <w:name w:val="List Bullet"/>
    <w:basedOn w:val="Normal"/>
    <w:link w:val="ListBulletChar1"/>
    <w:uiPriority w:val="99"/>
    <w:rsid w:val="00CC16F4"/>
    <w:pPr>
      <w:numPr>
        <w:numId w:val="1"/>
      </w:numPr>
    </w:pPr>
  </w:style>
  <w:style w:type="paragraph" w:styleId="ListBullet2">
    <w:name w:val="List Bullet 2"/>
    <w:basedOn w:val="Normal"/>
    <w:uiPriority w:val="99"/>
    <w:rsid w:val="00CC16F4"/>
    <w:pPr>
      <w:numPr>
        <w:numId w:val="2"/>
      </w:numPr>
    </w:p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uiPriority w:val="99"/>
    <w:qFormat/>
    <w:rsid w:val="00CC16F4"/>
    <w:rPr>
      <w:vertAlign w:val="superscript"/>
    </w:rPr>
  </w:style>
  <w:style w:type="paragraph" w:styleId="NormalWeb">
    <w:name w:val="Normal (Web)"/>
    <w:aliases w:val=" webb,webb"/>
    <w:basedOn w:val="Normal"/>
    <w:link w:val="NormalWebChar1"/>
    <w:uiPriority w:val="99"/>
    <w:rsid w:val="00CC16F4"/>
    <w:pPr>
      <w:spacing w:before="100" w:beforeAutospacing="1" w:after="100" w:afterAutospacing="1"/>
      <w:jc w:val="left"/>
    </w:pPr>
    <w:rPr>
      <w:rFonts w:ascii="Times New Roman" w:hAnsi="Times New Roman"/>
      <w:szCs w:val="24"/>
    </w:rPr>
  </w:style>
  <w:style w:type="character" w:customStyle="1" w:styleId="NormalWebChar1">
    <w:name w:val="Normal (Web) Char1"/>
    <w:aliases w:val=" webb Char,webb Char1"/>
    <w:link w:val="NormalWeb"/>
    <w:uiPriority w:val="99"/>
    <w:rsid w:val="00CC16F4"/>
    <w:rPr>
      <w:rFonts w:ascii="Times New Roman" w:eastAsia="Times New Roman" w:hAnsi="Times New Roman" w:cs="Times New Roman"/>
      <w:sz w:val="24"/>
      <w:szCs w:val="24"/>
      <w:lang w:eastAsia="en-GB"/>
    </w:rPr>
  </w:style>
  <w:style w:type="character" w:customStyle="1" w:styleId="ListBulletChar1">
    <w:name w:val="List Bullet Char1"/>
    <w:link w:val="ListBullet"/>
    <w:uiPriority w:val="99"/>
    <w:rsid w:val="00CC16F4"/>
    <w:rPr>
      <w:rFonts w:ascii="Courier New" w:eastAsia="Times New Roman" w:hAnsi="Courier New" w:cs="Times New Roman"/>
      <w:sz w:val="24"/>
      <w:szCs w:val="20"/>
      <w:lang w:eastAsia="en-GB"/>
    </w:rPr>
  </w:style>
  <w:style w:type="character" w:customStyle="1" w:styleId="FootnoteTextChar2">
    <w:name w:val="Footnote Text Char2"/>
    <w:aliases w:val="Footnote Text Char Char1,Footnote Text Char1 Char Char,Footnote Text Char Char Char Char,Fußnotentext Char Char1 Char Char Char,Fußnotentext Char1 Char1 Char Char Char Char,Fußnotentext Char Char Char Char Char Char Char1 Char"/>
    <w:link w:val="FootnoteText"/>
    <w:uiPriority w:val="99"/>
    <w:rsid w:val="00CC16F4"/>
    <w:rPr>
      <w:rFonts w:ascii="Courier New" w:eastAsia="Times New Roman" w:hAnsi="Courier New" w:cs="Times New Roman"/>
      <w:sz w:val="20"/>
      <w:szCs w:val="20"/>
      <w:lang w:eastAsia="en-GB"/>
    </w:rPr>
  </w:style>
  <w:style w:type="paragraph" w:customStyle="1" w:styleId="Default">
    <w:name w:val="Default"/>
    <w:rsid w:val="00CC16F4"/>
    <w:pPr>
      <w:autoSpaceDE w:val="0"/>
      <w:autoSpaceDN w:val="0"/>
      <w:adjustRightInd w:val="0"/>
      <w:spacing w:after="0" w:line="240" w:lineRule="auto"/>
    </w:pPr>
    <w:rPr>
      <w:rFonts w:ascii="Times New Roman" w:eastAsia="Times New Roman" w:hAnsi="Times New Roman" w:cs="Times New Roman"/>
      <w:color w:val="000000"/>
      <w:sz w:val="24"/>
      <w:szCs w:val="24"/>
      <w:lang w:val="fr-FR" w:eastAsia="fr-FR"/>
    </w:rPr>
  </w:style>
  <w:style w:type="paragraph" w:customStyle="1" w:styleId="Considrant">
    <w:name w:val="Considérant"/>
    <w:basedOn w:val="Normal"/>
    <w:rsid w:val="00CC16F4"/>
    <w:pPr>
      <w:numPr>
        <w:numId w:val="3"/>
      </w:numPr>
      <w:spacing w:before="120" w:after="120"/>
    </w:pPr>
    <w:rPr>
      <w:rFonts w:ascii="Times New Roman" w:hAnsi="Times New Roman"/>
      <w:lang w:eastAsia="zh-CN"/>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uiPriority w:val="99"/>
    <w:rsid w:val="00CC16F4"/>
    <w:pPr>
      <w:spacing w:after="160" w:line="240" w:lineRule="exact"/>
      <w:jc w:val="left"/>
    </w:pPr>
    <w:rPr>
      <w:rFonts w:asciiTheme="minorHAnsi" w:eastAsiaTheme="minorHAnsi" w:hAnsiTheme="minorHAnsi" w:cstheme="minorBidi"/>
      <w:sz w:val="22"/>
      <w:szCs w:val="22"/>
      <w:vertAlign w:val="superscript"/>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1882</Words>
  <Characters>10371</Characters>
  <Application>Microsoft Office Word</Application>
  <DocSecurity>0</DocSecurity>
  <Lines>154</Lines>
  <Paragraphs>33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MERVILLE Nicolas (SG)</dc:creator>
  <cp:keywords/>
  <dc:description/>
  <cp:lastModifiedBy>MERVILLE Nicolas (SG)</cp:lastModifiedBy>
  <cp:revision>2</cp:revision>
  <dcterms:created xsi:type="dcterms:W3CDTF">2018-07-23T10:30:00Z</dcterms:created>
  <dcterms:modified xsi:type="dcterms:W3CDTF">2018-07-23T10:31:00Z</dcterms:modified>
</cp:coreProperties>
</file>