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31" w:rsidRPr="00711A31" w:rsidRDefault="00711A31" w:rsidP="00711A31">
      <w:pPr>
        <w:spacing w:after="240"/>
        <w:jc w:val="center"/>
        <w:rPr>
          <w:szCs w:val="20"/>
          <w:lang w:val="fr-BE"/>
        </w:rPr>
      </w:pPr>
      <w:r w:rsidRPr="00711A31">
        <w:rPr>
          <w:b/>
          <w:lang w:val="fr-BE"/>
        </w:rPr>
        <w:t>PROCÉDURE LÉGISLATIVE ORDINAIRE – Première lecture</w:t>
      </w:r>
    </w:p>
    <w:p w:rsidR="00711A31" w:rsidRPr="00711A31" w:rsidRDefault="00711A31" w:rsidP="00711A31">
      <w:pPr>
        <w:spacing w:after="600"/>
        <w:jc w:val="center"/>
        <w:rPr>
          <w:b/>
          <w:lang w:val="fr-BE"/>
        </w:rPr>
      </w:pPr>
      <w:r w:rsidRPr="00711A31">
        <w:rPr>
          <w:b/>
          <w:lang w:val="fr-BE"/>
        </w:rPr>
        <w:t>Suite donnée à la résolution législative du Parlement européen du 19 avril 2018 sur</w:t>
      </w:r>
      <w:r w:rsidRPr="00711A31">
        <w:rPr>
          <w:b/>
          <w:bCs/>
          <w:lang w:val="fr-BE"/>
        </w:rPr>
        <w:t xml:space="preserve"> </w:t>
      </w:r>
      <w:r w:rsidRPr="00711A31">
        <w:rPr>
          <w:b/>
          <w:lang w:val="fr-BE"/>
        </w:rPr>
        <w:t>la proposition de règlement du Parlement européen et du Conseil relatif à la réception et à la surveillance du marché des véhicules à moteur et de leurs remorques, ainsi que des systèmes, composants et entités techniques distinctes destinés à ces véhicules</w:t>
      </w:r>
    </w:p>
    <w:p w:rsidR="00711A31" w:rsidRPr="00711A31" w:rsidRDefault="00711A31" w:rsidP="00711A31">
      <w:pPr>
        <w:spacing w:after="600"/>
        <w:jc w:val="center"/>
        <w:rPr>
          <w:b/>
          <w:lang w:val="fr-BE"/>
        </w:rPr>
      </w:pPr>
      <w:r w:rsidRPr="00711A31">
        <w:rPr>
          <w:b/>
          <w:lang w:val="fr-BE"/>
        </w:rPr>
        <w:t>2016/0014 (COD)</w:t>
      </w:r>
    </w:p>
    <w:p w:rsidR="00711A31" w:rsidRPr="00711A31" w:rsidRDefault="00711A31" w:rsidP="00711A31">
      <w:pPr>
        <w:spacing w:before="100" w:beforeAutospacing="1" w:after="100" w:afterAutospacing="1"/>
        <w:ind w:left="567" w:hanging="567"/>
        <w:rPr>
          <w:lang w:val="fr-BE"/>
        </w:rPr>
      </w:pPr>
      <w:r w:rsidRPr="00711A31">
        <w:rPr>
          <w:b/>
          <w:lang w:val="fr-BE"/>
        </w:rPr>
        <w:t>1.</w:t>
      </w:r>
      <w:r w:rsidRPr="00711A31">
        <w:rPr>
          <w:lang w:val="fr-BE"/>
        </w:rPr>
        <w:tab/>
      </w:r>
      <w:r w:rsidRPr="00711A31">
        <w:rPr>
          <w:b/>
          <w:lang w:val="fr-BE"/>
        </w:rPr>
        <w:t xml:space="preserve">Rapporteur: </w:t>
      </w:r>
      <w:r w:rsidRPr="00711A31">
        <w:rPr>
          <w:lang w:val="fr-BE"/>
        </w:rPr>
        <w:t>Daniel DALTON (ECR/UK)</w:t>
      </w:r>
    </w:p>
    <w:p w:rsidR="00711A31" w:rsidRPr="00711A31" w:rsidRDefault="00711A31" w:rsidP="00711A31">
      <w:pPr>
        <w:spacing w:before="100" w:beforeAutospacing="1" w:after="100" w:afterAutospacing="1"/>
        <w:ind w:left="567" w:hanging="567"/>
        <w:rPr>
          <w:lang w:val="fr-BE"/>
        </w:rPr>
      </w:pPr>
      <w:r w:rsidRPr="00711A31">
        <w:rPr>
          <w:b/>
          <w:lang w:val="fr-BE"/>
        </w:rPr>
        <w:t>2.</w:t>
      </w:r>
      <w:r w:rsidRPr="00711A31">
        <w:rPr>
          <w:lang w:val="fr-BE"/>
        </w:rPr>
        <w:tab/>
      </w:r>
      <w:r w:rsidRPr="00711A31">
        <w:rPr>
          <w:b/>
          <w:lang w:val="fr-BE"/>
        </w:rPr>
        <w:t>Numéro de référence du PE:</w:t>
      </w:r>
      <w:r w:rsidRPr="00711A31">
        <w:rPr>
          <w:lang w:val="fr-BE"/>
        </w:rPr>
        <w:t xml:space="preserve"> A8-0048/2017 / P8_TA-</w:t>
      </w:r>
      <w:proofErr w:type="gramStart"/>
      <w:r w:rsidRPr="00711A31">
        <w:rPr>
          <w:lang w:val="fr-BE"/>
        </w:rPr>
        <w:t>PROV(</w:t>
      </w:r>
      <w:proofErr w:type="gramEnd"/>
      <w:r w:rsidRPr="00711A31">
        <w:rPr>
          <w:lang w:val="fr-BE"/>
        </w:rPr>
        <w:t>2018)0179</w:t>
      </w:r>
    </w:p>
    <w:p w:rsidR="00711A31" w:rsidRPr="00711A31" w:rsidRDefault="00711A31" w:rsidP="00711A31">
      <w:pPr>
        <w:ind w:left="567" w:hanging="567"/>
        <w:rPr>
          <w:lang w:val="fr-BE"/>
        </w:rPr>
      </w:pPr>
      <w:r w:rsidRPr="00711A31">
        <w:rPr>
          <w:b/>
          <w:lang w:val="fr-BE"/>
        </w:rPr>
        <w:t>3.</w:t>
      </w:r>
      <w:r w:rsidRPr="00711A31">
        <w:rPr>
          <w:lang w:val="fr-BE"/>
        </w:rPr>
        <w:tab/>
      </w:r>
      <w:r w:rsidRPr="00711A31">
        <w:rPr>
          <w:b/>
          <w:lang w:val="fr-BE"/>
        </w:rPr>
        <w:t>Date d’adoption de la résolution:</w:t>
      </w:r>
      <w:r w:rsidRPr="00711A31">
        <w:rPr>
          <w:lang w:val="fr-BE"/>
        </w:rPr>
        <w:t xml:space="preserve"> 19 avril 2018</w:t>
      </w:r>
    </w:p>
    <w:p w:rsidR="00711A31" w:rsidRPr="00711A31" w:rsidRDefault="00711A31" w:rsidP="00711A31">
      <w:pPr>
        <w:spacing w:before="100" w:beforeAutospacing="1" w:after="100" w:afterAutospacing="1"/>
        <w:ind w:left="567" w:hanging="567"/>
        <w:rPr>
          <w:lang w:val="fr-BE"/>
        </w:rPr>
      </w:pPr>
      <w:r w:rsidRPr="00711A31">
        <w:rPr>
          <w:b/>
          <w:lang w:val="fr-BE"/>
        </w:rPr>
        <w:t>4.</w:t>
      </w:r>
      <w:r w:rsidRPr="00711A31">
        <w:rPr>
          <w:lang w:val="fr-BE"/>
        </w:rPr>
        <w:tab/>
      </w:r>
      <w:r w:rsidRPr="00711A31">
        <w:rPr>
          <w:b/>
          <w:lang w:val="fr-BE"/>
        </w:rPr>
        <w:t xml:space="preserve">Objet: </w:t>
      </w:r>
      <w:r w:rsidRPr="00711A31">
        <w:rPr>
          <w:lang w:val="fr-BE"/>
        </w:rPr>
        <w:t>réception et surveillance du marché des véhicules à moteur et de leurs remorques, ainsi que des systèmes, composants et entités techniques distinctes destinés à ces véhicules</w:t>
      </w:r>
    </w:p>
    <w:p w:rsidR="00711A31" w:rsidRPr="00711A31" w:rsidRDefault="00711A31" w:rsidP="00711A31">
      <w:pPr>
        <w:spacing w:before="100" w:beforeAutospacing="1" w:after="100" w:afterAutospacing="1"/>
        <w:ind w:left="567" w:hanging="567"/>
        <w:rPr>
          <w:lang w:val="fr-BE"/>
        </w:rPr>
      </w:pPr>
      <w:r w:rsidRPr="00711A31">
        <w:rPr>
          <w:b/>
          <w:lang w:val="fr-BE"/>
        </w:rPr>
        <w:t>5.</w:t>
      </w:r>
      <w:r w:rsidRPr="00711A31">
        <w:rPr>
          <w:lang w:val="fr-BE"/>
        </w:rPr>
        <w:tab/>
      </w:r>
      <w:r w:rsidRPr="00711A31">
        <w:rPr>
          <w:b/>
          <w:lang w:val="fr-BE"/>
        </w:rPr>
        <w:t xml:space="preserve">Numéro de référence interinstitutionnel: </w:t>
      </w:r>
      <w:r w:rsidRPr="00711A31">
        <w:rPr>
          <w:lang w:val="fr-BE"/>
        </w:rPr>
        <w:t>2016/0014 (COD)</w:t>
      </w:r>
    </w:p>
    <w:p w:rsidR="00711A31" w:rsidRPr="00711A31" w:rsidRDefault="00711A31" w:rsidP="00711A31">
      <w:pPr>
        <w:spacing w:before="100" w:beforeAutospacing="1" w:after="100" w:afterAutospacing="1"/>
        <w:ind w:left="567" w:hanging="567"/>
        <w:rPr>
          <w:lang w:val="fr-BE"/>
        </w:rPr>
      </w:pPr>
      <w:r w:rsidRPr="00711A31">
        <w:rPr>
          <w:b/>
          <w:lang w:val="fr-BE"/>
        </w:rPr>
        <w:t>6.</w:t>
      </w:r>
      <w:r w:rsidRPr="00711A31">
        <w:rPr>
          <w:lang w:val="fr-BE"/>
        </w:rPr>
        <w:tab/>
      </w:r>
      <w:r w:rsidRPr="00711A31">
        <w:rPr>
          <w:b/>
          <w:lang w:val="fr-BE"/>
        </w:rPr>
        <w:t xml:space="preserve">Base juridique: </w:t>
      </w:r>
      <w:r w:rsidRPr="00711A31">
        <w:rPr>
          <w:lang w:val="fr-BE"/>
        </w:rPr>
        <w:t>article 294, paragraphe 2, et article 114 du traité sur le fonctionnement de l’Union européenne</w:t>
      </w:r>
    </w:p>
    <w:p w:rsidR="00711A31" w:rsidRPr="00711A31" w:rsidRDefault="00711A31" w:rsidP="00711A31">
      <w:pPr>
        <w:spacing w:before="100" w:beforeAutospacing="1" w:after="100" w:afterAutospacing="1"/>
        <w:ind w:left="567" w:hanging="567"/>
        <w:rPr>
          <w:lang w:val="fr-BE"/>
        </w:rPr>
      </w:pPr>
      <w:r w:rsidRPr="00711A31">
        <w:rPr>
          <w:b/>
          <w:lang w:val="fr-BE"/>
        </w:rPr>
        <w:t>7.</w:t>
      </w:r>
      <w:r w:rsidRPr="00711A31">
        <w:rPr>
          <w:lang w:val="fr-BE"/>
        </w:rPr>
        <w:tab/>
      </w:r>
      <w:r w:rsidRPr="00711A31">
        <w:rPr>
          <w:b/>
          <w:lang w:val="fr-BE"/>
        </w:rPr>
        <w:t xml:space="preserve">Commission parlementaire compétente: </w:t>
      </w:r>
      <w:r w:rsidRPr="00711A31">
        <w:rPr>
          <w:lang w:val="fr-BE"/>
        </w:rPr>
        <w:t>commission du marché intérieur et de la protection des consommateurs (IMCO)</w:t>
      </w:r>
    </w:p>
    <w:p w:rsidR="00711A31" w:rsidRPr="00711A31" w:rsidRDefault="00711A31" w:rsidP="00711A31">
      <w:pPr>
        <w:spacing w:before="100" w:beforeAutospacing="1" w:after="100" w:afterAutospacing="1"/>
        <w:ind w:left="567" w:hanging="567"/>
        <w:rPr>
          <w:lang w:val="fr-BE"/>
        </w:rPr>
      </w:pPr>
      <w:r w:rsidRPr="00711A31">
        <w:rPr>
          <w:b/>
          <w:lang w:val="fr-BE"/>
        </w:rPr>
        <w:t>8.</w:t>
      </w:r>
      <w:r w:rsidRPr="00711A31">
        <w:rPr>
          <w:lang w:val="fr-BE"/>
        </w:rPr>
        <w:tab/>
      </w:r>
      <w:r w:rsidRPr="00711A31">
        <w:rPr>
          <w:b/>
          <w:lang w:val="fr-BE"/>
        </w:rPr>
        <w:t>Position de la Commission:</w:t>
      </w:r>
      <w:r w:rsidRPr="00711A31">
        <w:rPr>
          <w:lang w:val="fr-BE"/>
        </w:rPr>
        <w:t xml:space="preserve"> la Commission peut accepter tous les amendements entérinés par l’accord politique.</w:t>
      </w:r>
    </w:p>
    <w:p w:rsidR="00711A31" w:rsidRPr="00711A31" w:rsidRDefault="00711A31" w:rsidP="00711A31">
      <w:pPr>
        <w:spacing w:before="100" w:beforeAutospacing="1" w:after="100" w:afterAutospacing="1"/>
        <w:ind w:left="567"/>
        <w:rPr>
          <w:lang w:val="fr-BE"/>
        </w:rPr>
      </w:pPr>
      <w:r w:rsidRPr="00711A31">
        <w:rPr>
          <w:lang w:val="fr-BE"/>
        </w:rPr>
        <w:t>Il s’agit globalement d’un bon accord étant donné qu’il conserve les principaux piliers de la proposition de la Commission. La Commission a déclaré qu’elle regrettait le résultat des débats sur certains aspects (fins de série, CO</w:t>
      </w:r>
      <w:r w:rsidRPr="00711A31">
        <w:rPr>
          <w:vertAlign w:val="subscript"/>
          <w:lang w:val="fr-BE"/>
        </w:rPr>
        <w:t>2</w:t>
      </w:r>
      <w:r w:rsidRPr="00711A31">
        <w:rPr>
          <w:lang w:val="fr-BE"/>
        </w:rPr>
        <w:t>, bases de données, règles du comité), sur le budget nécessaire pour les contrôles de marché de la Commission de même que sur le rôle de la « nouvelle donne pour les consommateurs » pour améliorer le cadre d’indemnisation des consommateurs (comme demandé par le Parlement européen).</w:t>
      </w:r>
    </w:p>
    <w:p w:rsidR="00711A31" w:rsidRPr="00711A31" w:rsidRDefault="00711A31" w:rsidP="00711A31">
      <w:pPr>
        <w:spacing w:before="100" w:beforeAutospacing="1" w:after="100" w:afterAutospacing="1"/>
        <w:ind w:left="567" w:hanging="567"/>
        <w:rPr>
          <w:rFonts w:cstheme="minorHAnsi"/>
          <w:lang w:val="fr-BE"/>
        </w:rPr>
      </w:pPr>
      <w:r w:rsidRPr="00711A31">
        <w:rPr>
          <w:b/>
          <w:lang w:val="fr-BE"/>
        </w:rPr>
        <w:t>9.</w:t>
      </w:r>
      <w:r w:rsidRPr="00711A31">
        <w:rPr>
          <w:lang w:val="fr-BE"/>
        </w:rPr>
        <w:tab/>
      </w:r>
      <w:r w:rsidRPr="00711A31">
        <w:rPr>
          <w:b/>
          <w:lang w:val="fr-BE"/>
        </w:rPr>
        <w:t xml:space="preserve">Prévisions quant à la modification de la proposition: </w:t>
      </w:r>
      <w:r w:rsidRPr="00711A31">
        <w:rPr>
          <w:lang w:val="fr-BE"/>
        </w:rPr>
        <w:t>le Parlement européen a entériné l’accord politique provisoire dégagé le 7 décembre 2017 en vue d'un accord en première lecture. Il conserve le pilier principal de la proposition initiale de la Commission qui est de renforcer les essais aux fins de la réception par type (vérification ex ante de la conformité), de rendre la surveillance du marché plus efficace (vérification ex post de la conformité) et d’accroître le contrôle de l’UE, permettant des solutions à l’échelle de l’UE. Il améliore également les règles de transparence au lieu de couper le lien entre les organismes de contrôle et les constructeurs. Il ne suit pas la proposition de la Commission sur le CO</w:t>
      </w:r>
      <w:r w:rsidRPr="00711A31">
        <w:rPr>
          <w:vertAlign w:val="subscript"/>
          <w:lang w:val="fr-BE"/>
        </w:rPr>
        <w:t>2</w:t>
      </w:r>
      <w:r w:rsidRPr="00711A31">
        <w:rPr>
          <w:lang w:val="fr-BE"/>
        </w:rPr>
        <w:t>, les règles du comité et les fins de séries.</w:t>
      </w:r>
    </w:p>
    <w:p w:rsidR="008765BE" w:rsidRPr="00711A31" w:rsidRDefault="00711A31" w:rsidP="00711A31">
      <w:pPr>
        <w:rPr>
          <w:lang w:val="fr-BE"/>
        </w:rPr>
      </w:pPr>
      <w:r w:rsidRPr="00711A31">
        <w:rPr>
          <w:b/>
          <w:lang w:val="fr-BE"/>
        </w:rPr>
        <w:lastRenderedPageBreak/>
        <w:t>10.</w:t>
      </w:r>
      <w:r w:rsidRPr="00711A31">
        <w:rPr>
          <w:lang w:val="fr-BE"/>
        </w:rPr>
        <w:tab/>
      </w:r>
      <w:r w:rsidRPr="00711A31">
        <w:rPr>
          <w:b/>
          <w:lang w:val="fr-BE"/>
        </w:rPr>
        <w:t>Prévisions quant à l’adoption de la position du Conseil:</w:t>
      </w:r>
      <w:r w:rsidRPr="00711A31">
        <w:rPr>
          <w:lang w:val="fr-BE"/>
        </w:rPr>
        <w:t xml:space="preserve"> le Conseil a adopté la proposition le 22 mai 2018.</w:t>
      </w:r>
      <w:bookmarkStart w:id="0" w:name="_GoBack"/>
      <w:bookmarkEnd w:id="0"/>
    </w:p>
    <w:sectPr w:rsidR="008765BE" w:rsidRPr="00711A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31"/>
    <w:rsid w:val="005762E3"/>
    <w:rsid w:val="00711A31"/>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A10CA-AA6C-4900-955D-425D7733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2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2171</Characters>
  <Application>Microsoft Office Word</Application>
  <DocSecurity>0</DocSecurity>
  <Lines>18</Lines>
  <Paragraphs>5</Paragraphs>
  <ScaleCrop>false</ScaleCrop>
  <Company>European Parliament</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2018-07-12T12:29:00Z</dcterms:created>
  <dcterms:modified xsi:type="dcterms:W3CDTF">2018-07-12T12:34:00Z</dcterms:modified>
</cp:coreProperties>
</file>