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4D" w:rsidRPr="006D20AA" w:rsidRDefault="005F4B4D" w:rsidP="005F4B4D">
      <w:pPr>
        <w:spacing w:after="600"/>
        <w:ind w:right="-28"/>
        <w:jc w:val="center"/>
        <w:rPr>
          <w:rFonts w:ascii="Times New Roman" w:hAnsi="Times New Roman"/>
          <w:b/>
          <w:bCs/>
          <w:szCs w:val="24"/>
          <w:lang w:val="fr-FR" w:eastAsia="fr-FR" w:bidi="fr-FR"/>
        </w:rPr>
      </w:pPr>
      <w:r w:rsidRPr="006D20AA">
        <w:rPr>
          <w:rFonts w:ascii="Times New Roman" w:hAnsi="Times New Roman"/>
          <w:b/>
          <w:lang w:val="fr-FR" w:eastAsia="fr-FR" w:bidi="fr-FR"/>
        </w:rPr>
        <w:t>Suite donnée à la résolution non législative du Parlement européen du 14 mars 2018 sur le prochain cadre financier pluriannuel: préparation de la position du Parlement sur le cadre financier pluriannuel post-2020</w:t>
      </w:r>
    </w:p>
    <w:p w:rsidR="005F4B4D" w:rsidRPr="006D20AA" w:rsidRDefault="005F4B4D" w:rsidP="005F4B4D">
      <w:pPr>
        <w:spacing w:after="600"/>
        <w:ind w:right="-28"/>
        <w:jc w:val="center"/>
        <w:rPr>
          <w:rFonts w:ascii="Times New Roman" w:hAnsi="Times New Roman"/>
          <w:b/>
          <w:szCs w:val="24"/>
          <w:lang w:val="fr-FR" w:eastAsia="fr-FR" w:bidi="fr-FR"/>
        </w:rPr>
      </w:pPr>
      <w:r w:rsidRPr="006D20AA">
        <w:rPr>
          <w:rFonts w:ascii="Times New Roman" w:hAnsi="Times New Roman"/>
          <w:b/>
          <w:color w:val="000000"/>
          <w:lang w:val="fr-FR" w:eastAsia="fr-FR" w:bidi="fr-FR"/>
        </w:rPr>
        <w:t>2017/2052 (INI)</w:t>
      </w:r>
    </w:p>
    <w:p w:rsidR="005F4B4D" w:rsidRPr="006D20AA" w:rsidRDefault="005F4B4D" w:rsidP="005F4B4D">
      <w:pPr>
        <w:ind w:left="567" w:right="-28" w:hanging="567"/>
        <w:rPr>
          <w:rFonts w:ascii="Times New Roman" w:hAnsi="Times New Roman"/>
          <w:i/>
          <w:szCs w:val="24"/>
          <w:lang w:val="fr-FR" w:eastAsia="fr-FR" w:bidi="fr-FR"/>
        </w:rPr>
      </w:pPr>
      <w:r w:rsidRPr="006D20AA">
        <w:rPr>
          <w:rFonts w:ascii="Times New Roman" w:hAnsi="Times New Roman"/>
          <w:b/>
          <w:lang w:val="fr-FR" w:eastAsia="fr-FR" w:bidi="fr-FR"/>
        </w:rPr>
        <w:t>1.</w:t>
      </w:r>
      <w:r w:rsidRPr="006D20AA">
        <w:rPr>
          <w:lang w:val="fr-FR" w:eastAsia="fr-FR" w:bidi="fr-FR"/>
        </w:rPr>
        <w:tab/>
      </w:r>
      <w:r w:rsidRPr="006D20AA">
        <w:rPr>
          <w:rFonts w:ascii="Times New Roman" w:hAnsi="Times New Roman"/>
          <w:b/>
          <w:lang w:val="fr-FR" w:eastAsia="fr-FR" w:bidi="fr-FR"/>
        </w:rPr>
        <w:t>Rapporteurs:</w:t>
      </w:r>
      <w:r w:rsidRPr="006D20AA">
        <w:rPr>
          <w:rFonts w:ascii="Times New Roman" w:hAnsi="Times New Roman"/>
          <w:lang w:val="fr-FR" w:eastAsia="fr-FR" w:bidi="fr-FR"/>
        </w:rPr>
        <w:t xml:space="preserve"> Jan OLBRYCHT (PPE/PL), Isabelle THOMAS (S&amp;D/FR)</w:t>
      </w:r>
    </w:p>
    <w:p w:rsidR="005F4B4D" w:rsidRPr="006D20AA" w:rsidRDefault="005F4B4D" w:rsidP="005F4B4D">
      <w:pPr>
        <w:autoSpaceDE w:val="0"/>
        <w:autoSpaceDN w:val="0"/>
        <w:adjustRightInd w:val="0"/>
        <w:ind w:left="567" w:right="-28" w:hanging="567"/>
        <w:jc w:val="left"/>
        <w:rPr>
          <w:rFonts w:ascii="Times New Roman" w:hAnsi="Times New Roman"/>
          <w:szCs w:val="24"/>
          <w:lang w:val="fr-FR" w:eastAsia="fr-FR" w:bidi="fr-FR"/>
        </w:rPr>
      </w:pPr>
      <w:r w:rsidRPr="006D20AA">
        <w:rPr>
          <w:rFonts w:ascii="Times New Roman" w:hAnsi="Times New Roman"/>
          <w:b/>
          <w:szCs w:val="24"/>
          <w:lang w:val="fr-FR" w:eastAsia="fr-FR" w:bidi="fr-FR"/>
        </w:rPr>
        <w:t>2.</w:t>
      </w:r>
      <w:r w:rsidRPr="006D20AA">
        <w:rPr>
          <w:rFonts w:ascii="Times New Roman" w:hAnsi="Times New Roman"/>
          <w:color w:val="000000"/>
          <w:szCs w:val="24"/>
          <w:lang w:val="fr-FR" w:eastAsia="fr-FR" w:bidi="fr-FR"/>
        </w:rPr>
        <w:tab/>
      </w:r>
      <w:r w:rsidRPr="006D20AA">
        <w:rPr>
          <w:rFonts w:ascii="Times New Roman" w:hAnsi="Times New Roman"/>
          <w:b/>
          <w:szCs w:val="24"/>
          <w:lang w:val="fr-FR" w:eastAsia="fr-FR" w:bidi="fr-FR"/>
        </w:rPr>
        <w:t xml:space="preserve">Numéro de référence du PE: </w:t>
      </w:r>
      <w:bookmarkStart w:id="0" w:name="_GoBack"/>
      <w:r w:rsidRPr="006D20AA">
        <w:rPr>
          <w:rFonts w:ascii="Times New Roman" w:hAnsi="Times New Roman"/>
          <w:szCs w:val="24"/>
          <w:lang w:val="fr-FR" w:eastAsia="fr-FR" w:bidi="fr-FR"/>
        </w:rPr>
        <w:t xml:space="preserve">A8-0048/2018 </w:t>
      </w:r>
      <w:bookmarkEnd w:id="0"/>
      <w:r w:rsidRPr="006D20AA">
        <w:rPr>
          <w:rFonts w:ascii="Times New Roman" w:hAnsi="Times New Roman"/>
          <w:szCs w:val="24"/>
          <w:lang w:val="fr-FR" w:eastAsia="fr-FR" w:bidi="fr-FR"/>
        </w:rPr>
        <w:t>/ P8_TA-</w:t>
      </w:r>
      <w:proofErr w:type="gramStart"/>
      <w:r w:rsidRPr="006D20AA">
        <w:rPr>
          <w:rFonts w:ascii="Times New Roman" w:hAnsi="Times New Roman"/>
          <w:szCs w:val="24"/>
          <w:lang w:val="fr-FR" w:eastAsia="fr-FR" w:bidi="fr-FR"/>
        </w:rPr>
        <w:t>PROV(</w:t>
      </w:r>
      <w:proofErr w:type="gramEnd"/>
      <w:r w:rsidRPr="006D20AA">
        <w:rPr>
          <w:rFonts w:ascii="Times New Roman" w:hAnsi="Times New Roman"/>
          <w:szCs w:val="24"/>
          <w:lang w:val="fr-FR" w:eastAsia="fr-FR" w:bidi="fr-FR"/>
        </w:rPr>
        <w:t>2018)0075</w:t>
      </w:r>
    </w:p>
    <w:p w:rsidR="005F4B4D" w:rsidRPr="006D20AA" w:rsidRDefault="005F4B4D" w:rsidP="005F4B4D">
      <w:pPr>
        <w:ind w:left="567" w:right="-28" w:hanging="567"/>
        <w:rPr>
          <w:rFonts w:ascii="Times New Roman" w:hAnsi="Times New Roman"/>
          <w:szCs w:val="24"/>
          <w:lang w:val="fr-FR" w:eastAsia="fr-FR" w:bidi="fr-FR"/>
        </w:rPr>
      </w:pPr>
      <w:r w:rsidRPr="006D20AA">
        <w:rPr>
          <w:rFonts w:ascii="Times New Roman" w:hAnsi="Times New Roman"/>
          <w:b/>
          <w:lang w:val="fr-FR" w:eastAsia="fr-FR" w:bidi="fr-FR"/>
        </w:rPr>
        <w:t>3.</w:t>
      </w:r>
      <w:r w:rsidRPr="006D20AA">
        <w:rPr>
          <w:lang w:val="fr-FR" w:eastAsia="fr-FR" w:bidi="fr-FR"/>
        </w:rPr>
        <w:tab/>
      </w:r>
      <w:r w:rsidRPr="006D20AA">
        <w:rPr>
          <w:rFonts w:ascii="Times New Roman" w:hAnsi="Times New Roman"/>
          <w:b/>
          <w:lang w:val="fr-FR" w:eastAsia="fr-FR" w:bidi="fr-FR"/>
        </w:rPr>
        <w:t>Date d’adoption de la résolution:</w:t>
      </w:r>
      <w:r w:rsidRPr="006D20AA">
        <w:rPr>
          <w:rFonts w:ascii="Times New Roman" w:hAnsi="Times New Roman"/>
          <w:lang w:val="fr-FR" w:eastAsia="fr-FR" w:bidi="fr-FR"/>
        </w:rPr>
        <w:t xml:space="preserve"> 14 mars 2018</w:t>
      </w:r>
    </w:p>
    <w:p w:rsidR="005F4B4D" w:rsidRPr="006D20AA" w:rsidRDefault="005F4B4D" w:rsidP="005F4B4D">
      <w:pPr>
        <w:ind w:left="567" w:right="-28" w:hanging="567"/>
        <w:rPr>
          <w:rFonts w:ascii="Times New Roman" w:hAnsi="Times New Roman"/>
          <w:szCs w:val="24"/>
          <w:lang w:val="fr-FR" w:eastAsia="fr-FR" w:bidi="fr-FR"/>
        </w:rPr>
      </w:pPr>
      <w:r w:rsidRPr="006D20AA">
        <w:rPr>
          <w:rFonts w:ascii="Times New Roman" w:hAnsi="Times New Roman"/>
          <w:b/>
          <w:lang w:val="fr-FR" w:eastAsia="fr-FR" w:bidi="fr-FR"/>
        </w:rPr>
        <w:t>4.</w:t>
      </w:r>
      <w:r w:rsidRPr="006D20AA">
        <w:rPr>
          <w:lang w:val="fr-FR" w:eastAsia="fr-FR" w:bidi="fr-FR"/>
        </w:rPr>
        <w:tab/>
      </w:r>
      <w:r w:rsidRPr="006D20AA">
        <w:rPr>
          <w:rFonts w:ascii="Times New Roman" w:hAnsi="Times New Roman"/>
          <w:b/>
          <w:lang w:val="fr-FR" w:eastAsia="fr-FR" w:bidi="fr-FR"/>
        </w:rPr>
        <w:t>Objet:</w:t>
      </w:r>
      <w:r w:rsidRPr="006D20AA">
        <w:rPr>
          <w:rFonts w:ascii="Times New Roman" w:hAnsi="Times New Roman"/>
          <w:lang w:val="fr-FR" w:eastAsia="fr-FR" w:bidi="fr-FR"/>
        </w:rPr>
        <w:t xml:space="preserve"> le prochain cadre financier pluriannuel</w:t>
      </w:r>
    </w:p>
    <w:p w:rsidR="005F4B4D" w:rsidRPr="006D20AA" w:rsidRDefault="005F4B4D" w:rsidP="005F4B4D">
      <w:pPr>
        <w:widowControl w:val="0"/>
        <w:ind w:left="567" w:right="-28" w:hanging="567"/>
        <w:rPr>
          <w:rFonts w:ascii="Times New Roman" w:hAnsi="Times New Roman"/>
          <w:b/>
          <w:szCs w:val="24"/>
          <w:lang w:val="fr-FR" w:eastAsia="fr-FR" w:bidi="fr-FR"/>
        </w:rPr>
      </w:pPr>
      <w:r w:rsidRPr="006D20AA">
        <w:rPr>
          <w:rFonts w:ascii="Times New Roman" w:hAnsi="Times New Roman"/>
          <w:b/>
          <w:lang w:val="fr-FR" w:eastAsia="fr-FR" w:bidi="fr-FR"/>
        </w:rPr>
        <w:t>5.</w:t>
      </w:r>
      <w:r w:rsidRPr="006D20AA">
        <w:rPr>
          <w:lang w:val="fr-FR" w:eastAsia="fr-FR" w:bidi="fr-FR"/>
        </w:rPr>
        <w:tab/>
      </w:r>
      <w:r w:rsidRPr="006D20AA">
        <w:rPr>
          <w:rFonts w:ascii="Times New Roman" w:hAnsi="Times New Roman"/>
          <w:b/>
          <w:lang w:val="fr-FR" w:eastAsia="fr-FR" w:bidi="fr-FR"/>
        </w:rPr>
        <w:t>Commission parlementaire compétente:</w:t>
      </w:r>
      <w:r w:rsidRPr="006D20AA">
        <w:rPr>
          <w:rFonts w:ascii="Times New Roman" w:hAnsi="Times New Roman"/>
          <w:lang w:val="fr-FR" w:eastAsia="fr-FR" w:bidi="fr-FR"/>
        </w:rPr>
        <w:t xml:space="preserve"> Commission des</w:t>
      </w:r>
      <w:r w:rsidRPr="006D20AA">
        <w:rPr>
          <w:rFonts w:ascii="Times New Roman" w:hAnsi="Times New Roman"/>
          <w:i/>
          <w:lang w:val="fr-FR" w:eastAsia="fr-FR" w:bidi="fr-FR"/>
        </w:rPr>
        <w:t xml:space="preserve"> </w:t>
      </w:r>
      <w:r w:rsidRPr="006D20AA">
        <w:rPr>
          <w:rFonts w:ascii="Times New Roman" w:hAnsi="Times New Roman"/>
          <w:lang w:val="fr-FR" w:eastAsia="fr-FR" w:bidi="fr-FR"/>
        </w:rPr>
        <w:t>budgets (BUDG)</w:t>
      </w:r>
    </w:p>
    <w:p w:rsidR="005F4B4D" w:rsidRPr="006D20AA" w:rsidRDefault="005F4B4D" w:rsidP="005F4B4D">
      <w:pPr>
        <w:widowControl w:val="0"/>
        <w:ind w:left="567" w:right="-28" w:hanging="567"/>
        <w:rPr>
          <w:rFonts w:ascii="Times New Roman" w:hAnsi="Times New Roman"/>
          <w:szCs w:val="24"/>
          <w:lang w:val="fr-FR" w:eastAsia="fr-FR" w:bidi="fr-FR"/>
        </w:rPr>
      </w:pPr>
      <w:r w:rsidRPr="006D20AA">
        <w:rPr>
          <w:rFonts w:ascii="Times New Roman" w:hAnsi="Times New Roman"/>
          <w:b/>
          <w:lang w:val="fr-FR" w:eastAsia="fr-FR" w:bidi="fr-FR"/>
        </w:rPr>
        <w:t>6.</w:t>
      </w:r>
      <w:r w:rsidRPr="006D20AA">
        <w:rPr>
          <w:lang w:val="fr-FR" w:eastAsia="fr-FR" w:bidi="fr-FR"/>
        </w:rPr>
        <w:tab/>
      </w:r>
      <w:r w:rsidRPr="006D20AA">
        <w:rPr>
          <w:rFonts w:ascii="Times New Roman" w:hAnsi="Times New Roman"/>
          <w:b/>
          <w:lang w:val="fr-FR" w:eastAsia="fr-FR" w:bidi="fr-FR"/>
        </w:rPr>
        <w:t>Analyse/évaluation succincte de la résolution et des demandes qu’elle contient:</w:t>
      </w:r>
    </w:p>
    <w:p w:rsidR="005F4B4D" w:rsidRPr="006D20AA" w:rsidRDefault="005F4B4D" w:rsidP="005F4B4D">
      <w:pPr>
        <w:widowControl w:val="0"/>
        <w:ind w:right="-28"/>
        <w:rPr>
          <w:rFonts w:ascii="Times New Roman" w:hAnsi="Times New Roman"/>
          <w:b/>
          <w:szCs w:val="24"/>
          <w:lang w:val="fr-FR" w:eastAsia="fr-FR" w:bidi="fr-FR"/>
        </w:rPr>
      </w:pPr>
      <w:r w:rsidRPr="006D20AA">
        <w:rPr>
          <w:rFonts w:ascii="Times New Roman" w:hAnsi="Times New Roman"/>
          <w:lang w:val="fr-FR" w:eastAsia="fr-FR" w:bidi="fr-FR"/>
        </w:rPr>
        <w:t>La résolution expose les grandes lignes de la position du Parlement européen sur le cadre financier pluriannuel post-2020, en amont des propositions de la Commission du 2 mai 2018, en accordant une attention particulière aux priorités prévues, à la taille, à la structure, à la durée et à la flexibilité du CFP, ainsi qu’aux autres principes horizontaux. Elle met également en évidence les orientations budgétaires spécifiques du Parlement européen pour les différents domaines d’action de l’Union relevant du cadre financier pluriannuel. La résolution indique également que le Parlement européen s’appuiera sur cette résolution, ainsi que sur la résolution sur la réforme du système des ressources propres de l’Union européenne</w:t>
      </w:r>
      <w:r w:rsidRPr="006D20AA">
        <w:rPr>
          <w:rFonts w:ascii="Times New Roman" w:hAnsi="Times New Roman"/>
          <w:vertAlign w:val="superscript"/>
          <w:lang w:val="fr-FR" w:eastAsia="fr-FR" w:bidi="fr-FR"/>
        </w:rPr>
        <w:footnoteReference w:id="1"/>
      </w:r>
      <w:r w:rsidRPr="006D20AA">
        <w:rPr>
          <w:rFonts w:ascii="Times New Roman" w:hAnsi="Times New Roman"/>
          <w:lang w:val="fr-FR" w:eastAsia="fr-FR" w:bidi="fr-FR"/>
        </w:rPr>
        <w:t>, dans le cadre de la procédure conduisant à l’adoption du prochain cadre financier pluriannuel.</w:t>
      </w:r>
    </w:p>
    <w:p w:rsidR="005F4B4D" w:rsidRPr="006D20AA" w:rsidRDefault="005F4B4D" w:rsidP="005F4B4D">
      <w:pPr>
        <w:widowControl w:val="0"/>
        <w:spacing w:after="120"/>
        <w:ind w:left="567" w:right="-28" w:hanging="567"/>
        <w:rPr>
          <w:rFonts w:ascii="Times New Roman" w:hAnsi="Times New Roman"/>
          <w:b/>
          <w:szCs w:val="24"/>
          <w:lang w:val="fr-FR" w:eastAsia="fr-FR" w:bidi="fr-FR"/>
        </w:rPr>
      </w:pPr>
      <w:r w:rsidRPr="006D20AA">
        <w:rPr>
          <w:rFonts w:ascii="Times New Roman" w:hAnsi="Times New Roman"/>
          <w:b/>
          <w:lang w:val="fr-FR" w:eastAsia="fr-FR" w:bidi="fr-FR"/>
        </w:rPr>
        <w:t>7.</w:t>
      </w:r>
      <w:r w:rsidRPr="006D20AA">
        <w:rPr>
          <w:lang w:val="fr-FR" w:eastAsia="fr-FR" w:bidi="fr-FR"/>
        </w:rPr>
        <w:tab/>
      </w:r>
      <w:r w:rsidRPr="006D20AA">
        <w:rPr>
          <w:rFonts w:ascii="Times New Roman" w:hAnsi="Times New Roman"/>
          <w:b/>
          <w:lang w:val="fr-FR" w:eastAsia="fr-FR" w:bidi="fr-FR"/>
        </w:rPr>
        <w:t>Réponse à ces demandes et aperçu des mesures que la Commission a prises ou envisage de prendre:</w:t>
      </w:r>
    </w:p>
    <w:p w:rsidR="005F4B4D" w:rsidRPr="006D20AA" w:rsidRDefault="005F4B4D" w:rsidP="005F4B4D">
      <w:pPr>
        <w:widowControl w:val="0"/>
        <w:spacing w:after="120"/>
        <w:ind w:right="-28"/>
        <w:rPr>
          <w:rFonts w:ascii="Times New Roman" w:hAnsi="Times New Roman"/>
          <w:bCs/>
          <w:lang w:val="fr-FR" w:eastAsia="fr-FR" w:bidi="fr-FR"/>
        </w:rPr>
      </w:pPr>
      <w:r w:rsidRPr="006D20AA">
        <w:rPr>
          <w:rFonts w:ascii="Times New Roman" w:hAnsi="Times New Roman"/>
          <w:lang w:val="fr-FR" w:eastAsia="fr-FR" w:bidi="fr-FR"/>
        </w:rPr>
        <w:t>La Commission se félicite de la résolution en tant que contribution importante et positive à la préparation du cadre financier pluriannuel post-2020 et aux négociations qui porteront sur ce thème. Elle apprécie la précision et la clarté de la résolution tant sur les questions horizontales (par exemple, la valeur ajoutée européenne, la structure, la durée et la flexibilité du cadre financier pluriannuel) que sur les questions sectorielles (axées sur les différentes politiques).</w:t>
      </w:r>
    </w:p>
    <w:p w:rsidR="005F4B4D" w:rsidRPr="006D20AA" w:rsidRDefault="005F4B4D" w:rsidP="005F4B4D">
      <w:pPr>
        <w:widowControl w:val="0"/>
        <w:spacing w:after="120"/>
        <w:ind w:right="-28"/>
        <w:rPr>
          <w:rFonts w:ascii="Times New Roman" w:hAnsi="Times New Roman"/>
          <w:bCs/>
          <w:lang w:val="fr-FR" w:eastAsia="fr-FR" w:bidi="fr-FR"/>
        </w:rPr>
      </w:pPr>
      <w:r w:rsidRPr="006D20AA">
        <w:rPr>
          <w:rFonts w:ascii="Times New Roman" w:hAnsi="Times New Roman"/>
          <w:lang w:val="fr-FR" w:eastAsia="fr-FR" w:bidi="fr-FR"/>
        </w:rPr>
        <w:t xml:space="preserve">Le 2 mai 2018, la Commission a adopté ses propositions pour le cadre financier pluriannuel 2021-2027 </w:t>
      </w:r>
      <w:proofErr w:type="gramStart"/>
      <w:r w:rsidRPr="006D20AA">
        <w:rPr>
          <w:rFonts w:ascii="Times New Roman" w:hAnsi="Times New Roman"/>
          <w:lang w:val="fr-FR" w:eastAsia="fr-FR" w:bidi="fr-FR"/>
        </w:rPr>
        <w:t>(«Un</w:t>
      </w:r>
      <w:proofErr w:type="gramEnd"/>
      <w:r w:rsidRPr="006D20AA">
        <w:rPr>
          <w:rFonts w:ascii="Times New Roman" w:hAnsi="Times New Roman"/>
          <w:lang w:val="fr-FR" w:eastAsia="fr-FR" w:bidi="fr-FR"/>
        </w:rPr>
        <w:t xml:space="preserve"> budget moderne pour une Union qui protège, qui donne les moyens d’agir et qui défend – Cadre financier pluriannuel 2021-2027») Le président Juncker et le commissaire </w:t>
      </w:r>
      <w:proofErr w:type="spellStart"/>
      <w:r w:rsidRPr="006D20AA">
        <w:rPr>
          <w:rFonts w:ascii="Times New Roman" w:hAnsi="Times New Roman"/>
          <w:lang w:val="fr-FR" w:eastAsia="fr-FR" w:bidi="fr-FR"/>
        </w:rPr>
        <w:t>Oettinger</w:t>
      </w:r>
      <w:proofErr w:type="spellEnd"/>
      <w:r w:rsidRPr="006D20AA">
        <w:rPr>
          <w:rFonts w:ascii="Times New Roman" w:hAnsi="Times New Roman"/>
          <w:lang w:val="fr-FR" w:eastAsia="fr-FR" w:bidi="fr-FR"/>
        </w:rPr>
        <w:t xml:space="preserve"> ont présenté ces propositions au Parlement européen lors de sa plénière du 2 mai 2018 à Bruxelles.</w:t>
      </w:r>
    </w:p>
    <w:p w:rsidR="005F4B4D" w:rsidRPr="006D20AA" w:rsidRDefault="005F4B4D" w:rsidP="005F4B4D">
      <w:pPr>
        <w:widowControl w:val="0"/>
        <w:spacing w:after="120"/>
        <w:ind w:right="-28"/>
        <w:rPr>
          <w:rFonts w:ascii="Times New Roman" w:hAnsi="Times New Roman"/>
          <w:bCs/>
          <w:lang w:val="fr-FR" w:eastAsia="fr-FR" w:bidi="fr-FR"/>
        </w:rPr>
      </w:pPr>
      <w:r w:rsidRPr="006D20AA">
        <w:rPr>
          <w:rFonts w:ascii="Times New Roman" w:hAnsi="Times New Roman"/>
          <w:lang w:val="fr-FR" w:eastAsia="fr-FR" w:bidi="fr-FR"/>
        </w:rPr>
        <w:t>Entre le 29 mai et la mi-juin 2018, la Commission a présenté les 37 propositions législatives concernant les programmes pluriannuels dans tous les domaines politiques.</w:t>
      </w:r>
    </w:p>
    <w:p w:rsidR="005F4B4D" w:rsidRPr="006D20AA" w:rsidRDefault="005F4B4D" w:rsidP="005F4B4D">
      <w:pPr>
        <w:spacing w:after="120"/>
        <w:ind w:right="-28"/>
        <w:rPr>
          <w:rFonts w:ascii="Times New Roman" w:hAnsi="Times New Roman"/>
          <w:bCs/>
          <w:lang w:val="fr-FR" w:eastAsia="fr-FR" w:bidi="fr-FR"/>
        </w:rPr>
      </w:pPr>
      <w:r w:rsidRPr="006D20AA">
        <w:rPr>
          <w:rFonts w:ascii="Times New Roman" w:hAnsi="Times New Roman"/>
          <w:lang w:val="fr-FR" w:eastAsia="fr-FR" w:bidi="fr-FR"/>
        </w:rPr>
        <w:t>S’agissant spécifiquement des</w:t>
      </w:r>
      <w:proofErr w:type="gramStart"/>
      <w:r w:rsidRPr="006D20AA">
        <w:rPr>
          <w:rFonts w:ascii="Times New Roman" w:hAnsi="Times New Roman"/>
          <w:lang w:val="fr-FR" w:eastAsia="fr-FR" w:bidi="fr-FR"/>
        </w:rPr>
        <w:t xml:space="preserve"> «priorités</w:t>
      </w:r>
      <w:proofErr w:type="gramEnd"/>
      <w:r w:rsidRPr="006D20AA">
        <w:rPr>
          <w:rFonts w:ascii="Times New Roman" w:hAnsi="Times New Roman"/>
          <w:lang w:val="fr-FR" w:eastAsia="fr-FR" w:bidi="fr-FR"/>
        </w:rPr>
        <w:t xml:space="preserve"> et défis à relever» et des «questions horizontales» abordés dans les parties I et II de la résolution, les propositions de la Commission, et en </w:t>
      </w:r>
      <w:r w:rsidRPr="006D20AA">
        <w:rPr>
          <w:rFonts w:ascii="Times New Roman" w:hAnsi="Times New Roman"/>
          <w:lang w:val="fr-FR" w:eastAsia="fr-FR" w:bidi="fr-FR"/>
        </w:rPr>
        <w:lastRenderedPageBreak/>
        <w:t>particulier le règlement fixant le cadre financier pluriannuel et l’accord interinstitutionnel, ont tenu compte de plusieurs propositions formulées dans la résolution, notamment en ce qui concerne:</w:t>
      </w:r>
    </w:p>
    <w:p w:rsidR="005F4B4D" w:rsidRPr="006D20AA" w:rsidRDefault="005F4B4D" w:rsidP="005F4B4D">
      <w:pPr>
        <w:widowControl w:val="0"/>
        <w:numPr>
          <w:ilvl w:val="0"/>
          <w:numId w:val="1"/>
        </w:numPr>
        <w:spacing w:after="120"/>
        <w:ind w:left="567"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l’évaluation</w:t>
      </w:r>
      <w:proofErr w:type="gramEnd"/>
      <w:r w:rsidRPr="006D20AA">
        <w:rPr>
          <w:rFonts w:ascii="Times New Roman" w:hAnsi="Times New Roman"/>
          <w:lang w:val="fr-FR" w:eastAsia="fr-FR" w:bidi="fr-FR"/>
        </w:rPr>
        <w:t xml:space="preserve"> générale des priorités politiques du prochain cadre financier pluriannuel;</w:t>
      </w:r>
    </w:p>
    <w:p w:rsidR="005F4B4D" w:rsidRPr="006D20AA" w:rsidRDefault="005F4B4D" w:rsidP="005F4B4D">
      <w:pPr>
        <w:widowControl w:val="0"/>
        <w:numPr>
          <w:ilvl w:val="0"/>
          <w:numId w:val="1"/>
        </w:numPr>
        <w:spacing w:after="120"/>
        <w:ind w:left="567"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la</w:t>
      </w:r>
      <w:proofErr w:type="gramEnd"/>
      <w:r w:rsidRPr="006D20AA">
        <w:rPr>
          <w:rFonts w:ascii="Times New Roman" w:hAnsi="Times New Roman"/>
          <w:lang w:val="fr-FR" w:eastAsia="fr-FR" w:bidi="fr-FR"/>
        </w:rPr>
        <w:t xml:space="preserve"> structure du cadre financier pluriannuel: une structure par rubrique reflétant les priorités politiques et procurant une visibilité accrue des priorités budgétaires et politiques de l’Union ainsi qu’une présentation plus claire de tous les domaines de dépenses de l’Union;</w:t>
      </w:r>
    </w:p>
    <w:p w:rsidR="005F4B4D" w:rsidRPr="006D20AA" w:rsidRDefault="005F4B4D" w:rsidP="005F4B4D">
      <w:pPr>
        <w:widowControl w:val="0"/>
        <w:numPr>
          <w:ilvl w:val="0"/>
          <w:numId w:val="1"/>
        </w:numPr>
        <w:spacing w:after="120"/>
        <w:ind w:left="567"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la</w:t>
      </w:r>
      <w:proofErr w:type="gramEnd"/>
      <w:r w:rsidRPr="006D20AA">
        <w:rPr>
          <w:rFonts w:ascii="Times New Roman" w:hAnsi="Times New Roman"/>
          <w:lang w:val="fr-FR" w:eastAsia="fr-FR" w:bidi="fr-FR"/>
        </w:rPr>
        <w:t xml:space="preserve"> durée de sept ans avec un réexamen à mi-parcours avant la fin de l’année 2023;</w:t>
      </w:r>
    </w:p>
    <w:p w:rsidR="005F4B4D" w:rsidRPr="006D20AA" w:rsidRDefault="005F4B4D" w:rsidP="005F4B4D">
      <w:pPr>
        <w:widowControl w:val="0"/>
        <w:numPr>
          <w:ilvl w:val="0"/>
          <w:numId w:val="1"/>
        </w:numPr>
        <w:spacing w:after="120"/>
        <w:ind w:left="567"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et</w:t>
      </w:r>
      <w:proofErr w:type="gramEnd"/>
      <w:r w:rsidRPr="006D20AA">
        <w:rPr>
          <w:rFonts w:ascii="Times New Roman" w:hAnsi="Times New Roman"/>
          <w:lang w:val="fr-FR" w:eastAsia="fr-FR" w:bidi="fr-FR"/>
        </w:rPr>
        <w:t xml:space="preserve"> la flexibilité accrue du cadre financier pluriannuel:</w:t>
      </w:r>
    </w:p>
    <w:p w:rsidR="005F4B4D" w:rsidRPr="006D20AA" w:rsidRDefault="005F4B4D" w:rsidP="005F4B4D">
      <w:pPr>
        <w:widowControl w:val="0"/>
        <w:numPr>
          <w:ilvl w:val="1"/>
          <w:numId w:val="1"/>
        </w:numPr>
        <w:spacing w:after="120"/>
        <w:ind w:left="1134"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en</w:t>
      </w:r>
      <w:proofErr w:type="gramEnd"/>
      <w:r w:rsidRPr="006D20AA">
        <w:rPr>
          <w:rFonts w:ascii="Times New Roman" w:hAnsi="Times New Roman"/>
          <w:lang w:val="fr-FR" w:eastAsia="fr-FR" w:bidi="fr-FR"/>
        </w:rPr>
        <w:t xml:space="preserve"> optimisant l’utilisation des plafonds de dépenses grâce à une flexibilité spécifique maximale entre les rubriques et les exercices, s’appuyant sur les dispositions en matière de flexibilité du cadre actuel et les renforçant: la marge globale pour les paiements et la marge globale pour les engagements. La taille et la portée de cette dernière sont élargies afin que soit créée une réserve de l’Union financée sur les marges encore disponibles au titre des plafonds d'engagements de l’exercice précédent, ainsi qu'au moyen des fonds engagés dans le cadre du budget de l’UE mais qui n'ont finalement pas été dépensés dans la mise en œuvre des programmes de l’Union et ont été dégagés. En outre, la marge pour imprévus doit être maintenue en tant qu'instrument de dernier recours;</w:t>
      </w:r>
    </w:p>
    <w:p w:rsidR="005F4B4D" w:rsidRPr="006D20AA" w:rsidRDefault="005F4B4D" w:rsidP="005F4B4D">
      <w:pPr>
        <w:widowControl w:val="0"/>
        <w:numPr>
          <w:ilvl w:val="1"/>
          <w:numId w:val="1"/>
        </w:numPr>
        <w:spacing w:after="120"/>
        <w:ind w:left="1134" w:right="-28" w:hanging="567"/>
        <w:rPr>
          <w:rFonts w:ascii="Times New Roman" w:hAnsi="Times New Roman"/>
          <w:bCs/>
          <w:lang w:val="fr-FR" w:eastAsia="fr-FR" w:bidi="fr-FR"/>
        </w:rPr>
      </w:pPr>
      <w:proofErr w:type="gramStart"/>
      <w:r w:rsidRPr="006D20AA">
        <w:rPr>
          <w:rFonts w:ascii="Times New Roman" w:hAnsi="Times New Roman"/>
          <w:lang w:val="fr-FR" w:eastAsia="fr-FR" w:bidi="fr-FR"/>
        </w:rPr>
        <w:t>en</w:t>
      </w:r>
      <w:proofErr w:type="gramEnd"/>
      <w:r w:rsidRPr="006D20AA">
        <w:rPr>
          <w:rFonts w:ascii="Times New Roman" w:hAnsi="Times New Roman"/>
          <w:lang w:val="fr-FR" w:eastAsia="fr-FR" w:bidi="fr-FR"/>
        </w:rPr>
        <w:t xml:space="preserve"> augmentant les montants maximaux disponibles chaque année pour les instruments spéciaux qui permettent d’intégrer dans le budget des crédits au-dessus des plafonds fixés dans le cadre financier pluriannuel (Fonds européen d’ajustement à la mondialisation, Fonds de solidarité de l’Union européenne, réserve pour aides d’urgence et instrument de flexibilité), en combinaison avec des procédures de mobilisation simplifiées;</w:t>
      </w:r>
    </w:p>
    <w:p w:rsidR="005F4B4D" w:rsidRDefault="005F4B4D" w:rsidP="005F4B4D">
      <w:pPr>
        <w:widowControl w:val="0"/>
        <w:numPr>
          <w:ilvl w:val="1"/>
          <w:numId w:val="1"/>
        </w:numPr>
        <w:spacing w:after="120"/>
        <w:ind w:left="1134" w:right="-28" w:hanging="567"/>
        <w:rPr>
          <w:rFonts w:ascii="Times New Roman" w:hAnsi="Times New Roman"/>
          <w:lang w:val="fr-FR" w:eastAsia="fr-FR" w:bidi="fr-FR"/>
        </w:rPr>
      </w:pPr>
      <w:proofErr w:type="gramStart"/>
      <w:r w:rsidRPr="006D20AA">
        <w:rPr>
          <w:rFonts w:ascii="Times New Roman" w:hAnsi="Times New Roman"/>
          <w:lang w:val="fr-FR" w:eastAsia="fr-FR" w:bidi="fr-FR"/>
        </w:rPr>
        <w:t>et</w:t>
      </w:r>
      <w:proofErr w:type="gramEnd"/>
      <w:r w:rsidRPr="006D20AA">
        <w:rPr>
          <w:rFonts w:ascii="Times New Roman" w:hAnsi="Times New Roman"/>
          <w:lang w:val="fr-FR" w:eastAsia="fr-FR" w:bidi="fr-FR"/>
        </w:rPr>
        <w:t xml:space="preserve"> en augmentant (de 10 % à 15 %) la souplesse dont dispose l’autorité budgétaire pour s’écarter des enveloppes financières des programmes adoptés par la voie de la procédure législative ordinaire.</w:t>
      </w:r>
    </w:p>
    <w:p w:rsidR="00D252EB" w:rsidRPr="005F4B4D" w:rsidRDefault="005F4B4D">
      <w:pPr>
        <w:rPr>
          <w:lang w:val="fr-FR"/>
        </w:rPr>
      </w:pPr>
    </w:p>
    <w:sectPr w:rsidR="00D252EB" w:rsidRPr="005F4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4D" w:rsidRDefault="005F4B4D" w:rsidP="005F4B4D">
      <w:pPr>
        <w:spacing w:after="0"/>
      </w:pPr>
      <w:r>
        <w:separator/>
      </w:r>
    </w:p>
  </w:endnote>
  <w:endnote w:type="continuationSeparator" w:id="0">
    <w:p w:rsidR="005F4B4D" w:rsidRDefault="005F4B4D" w:rsidP="005F4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4D" w:rsidRDefault="005F4B4D" w:rsidP="005F4B4D">
      <w:pPr>
        <w:spacing w:after="0"/>
      </w:pPr>
      <w:r>
        <w:separator/>
      </w:r>
    </w:p>
  </w:footnote>
  <w:footnote w:type="continuationSeparator" w:id="0">
    <w:p w:rsidR="005F4B4D" w:rsidRDefault="005F4B4D" w:rsidP="005F4B4D">
      <w:pPr>
        <w:spacing w:after="0"/>
      </w:pPr>
      <w:r>
        <w:continuationSeparator/>
      </w:r>
    </w:p>
  </w:footnote>
  <w:footnote w:id="1">
    <w:p w:rsidR="005F4B4D" w:rsidRPr="006D20AA" w:rsidRDefault="005F4B4D" w:rsidP="005F4B4D">
      <w:pPr>
        <w:pStyle w:val="FootnoteText"/>
        <w:spacing w:after="120"/>
        <w:ind w:left="284" w:hanging="284"/>
        <w:rPr>
          <w:rFonts w:ascii="Times New Roman" w:hAnsi="Times New Roman"/>
          <w:lang w:val="fr-BE"/>
        </w:rPr>
      </w:pPr>
      <w:r>
        <w:rPr>
          <w:rStyle w:val="FootnoteReference"/>
        </w:rPr>
        <w:footnoteRef/>
      </w:r>
      <w:r w:rsidRPr="006D20AA">
        <w:rPr>
          <w:lang w:val="fr-BE"/>
        </w:rPr>
        <w:tab/>
      </w:r>
      <w:r w:rsidRPr="006D20AA">
        <w:rPr>
          <w:rFonts w:ascii="Times New Roman" w:hAnsi="Times New Roman"/>
          <w:lang w:val="fr-BE"/>
        </w:rPr>
        <w:t>Résolution du Parlement européen du 14 mars 2018 sur la réforme du système des ressources propres de l’Union européenne [2017/2053(INI)].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7A8E"/>
    <w:multiLevelType w:val="hybridMultilevel"/>
    <w:tmpl w:val="AEA46572"/>
    <w:lvl w:ilvl="0" w:tplc="2018AF18">
      <w:numFmt w:val="bullet"/>
      <w:lvlText w:val="-"/>
      <w:lvlJc w:val="left"/>
      <w:pPr>
        <w:ind w:left="720" w:hanging="360"/>
      </w:pPr>
      <w:rPr>
        <w:rFonts w:ascii="Times New Roman" w:eastAsia="Times New Roman" w:hAnsi="Times New Roman" w:cs="Times New Roman" w:hint="default"/>
      </w:rPr>
    </w:lvl>
    <w:lvl w:ilvl="1" w:tplc="663A1668">
      <w:numFmt w:val="bullet"/>
      <w:lvlText w:val="•"/>
      <w:lvlJc w:val="left"/>
      <w:pPr>
        <w:ind w:left="1650" w:hanging="57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4D"/>
    <w:rsid w:val="00027B09"/>
    <w:rsid w:val="00054F89"/>
    <w:rsid w:val="000B22A1"/>
    <w:rsid w:val="000E11EF"/>
    <w:rsid w:val="000F2B09"/>
    <w:rsid w:val="001736A8"/>
    <w:rsid w:val="001B1D22"/>
    <w:rsid w:val="001D1570"/>
    <w:rsid w:val="001D4038"/>
    <w:rsid w:val="001F0E13"/>
    <w:rsid w:val="001F7C4A"/>
    <w:rsid w:val="001F7CFD"/>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5F4B4D"/>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46CA7-1C5A-458D-9E70-56816E38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4D"/>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5F4B4D"/>
    <w:pPr>
      <w:ind w:left="357" w:hanging="357"/>
    </w:pPr>
    <w:rPr>
      <w:sz w:val="20"/>
    </w:rPr>
  </w:style>
  <w:style w:type="character" w:customStyle="1" w:styleId="FootnoteTextChar">
    <w:name w:val="Footnote Text Char"/>
    <w:basedOn w:val="DefaultParagraphFont"/>
    <w:uiPriority w:val="99"/>
    <w:semiHidden/>
    <w:rsid w:val="005F4B4D"/>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5F4B4D"/>
    <w:rPr>
      <w:vertAlign w:val="superscript"/>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5F4B4D"/>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F4B4D"/>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5F4B4D"/>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4131</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2018-08-27T14:02:00Z</dcterms:created>
  <dcterms:modified xsi:type="dcterms:W3CDTF">2018-08-27T14:03:00Z</dcterms:modified>
</cp:coreProperties>
</file>