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F6" w:rsidRPr="008E01DD" w:rsidRDefault="002028F6" w:rsidP="002028F6">
      <w:pPr>
        <w:spacing w:after="600"/>
        <w:jc w:val="center"/>
        <w:rPr>
          <w:rFonts w:ascii="Times New Roman" w:hAnsi="Times New Roman"/>
          <w:b/>
          <w:bCs/>
          <w:lang w:val="fr-BE"/>
        </w:rPr>
      </w:pPr>
      <w:r w:rsidRPr="008E01DD">
        <w:rPr>
          <w:rFonts w:ascii="Times New Roman" w:hAnsi="Times New Roman"/>
          <w:b/>
          <w:lang w:val="fr-BE"/>
        </w:rPr>
        <w:t>Suite donnée à la résolution non législative du Parlement européen du 15 mars 2018 sur le projet de décision du Conseil dénonçant l’accord de partenariat dans le secteur de la pêche entre la Communauté européenne et l’Union des Comores</w:t>
      </w:r>
    </w:p>
    <w:p w:rsidR="002028F6" w:rsidRPr="00CB4C84" w:rsidRDefault="002028F6" w:rsidP="002028F6">
      <w:pPr>
        <w:spacing w:after="600"/>
        <w:jc w:val="center"/>
        <w:rPr>
          <w:rFonts w:ascii="Times New Roman" w:hAnsi="Times New Roman"/>
          <w:b/>
          <w:bCs/>
          <w:lang w:val="pt-PT"/>
        </w:rPr>
      </w:pPr>
      <w:r w:rsidRPr="00CB4C84">
        <w:rPr>
          <w:rFonts w:ascii="Times New Roman" w:hAnsi="Times New Roman"/>
          <w:b/>
          <w:lang w:val="pt-PT"/>
        </w:rPr>
        <w:t>2017/2266 (INI)</w:t>
      </w:r>
    </w:p>
    <w:p w:rsidR="002028F6" w:rsidRPr="00CB4C84" w:rsidRDefault="002028F6" w:rsidP="002028F6">
      <w:pPr>
        <w:ind w:left="567" w:right="-28" w:hanging="567"/>
        <w:rPr>
          <w:rFonts w:ascii="Times New Roman" w:hAnsi="Times New Roman"/>
          <w:szCs w:val="24"/>
          <w:lang w:val="pt-PT"/>
        </w:rPr>
      </w:pPr>
      <w:r w:rsidRPr="00CB4C84">
        <w:rPr>
          <w:rFonts w:ascii="Times New Roman" w:hAnsi="Times New Roman"/>
          <w:b/>
          <w:lang w:val="pt-PT"/>
        </w:rPr>
        <w:t>1.</w:t>
      </w:r>
      <w:r w:rsidRPr="00CB4C84">
        <w:rPr>
          <w:lang w:val="pt-PT"/>
        </w:rPr>
        <w:tab/>
      </w:r>
      <w:r w:rsidRPr="00CB4C84">
        <w:rPr>
          <w:rFonts w:ascii="Times New Roman" w:hAnsi="Times New Roman"/>
          <w:b/>
          <w:lang w:val="pt-PT"/>
        </w:rPr>
        <w:t>Rapporteur:</w:t>
      </w:r>
      <w:r w:rsidRPr="00CB4C84">
        <w:rPr>
          <w:rFonts w:ascii="Times New Roman" w:hAnsi="Times New Roman"/>
          <w:lang w:val="pt-PT"/>
        </w:rPr>
        <w:t xml:space="preserve"> João FERREIRA (GUE/PT)</w:t>
      </w:r>
    </w:p>
    <w:p w:rsidR="002028F6" w:rsidRPr="008E01DD" w:rsidRDefault="002028F6" w:rsidP="002028F6">
      <w:pPr>
        <w:ind w:left="567" w:right="-28" w:hanging="567"/>
        <w:rPr>
          <w:rFonts w:ascii="Times New Roman" w:hAnsi="Times New Roman"/>
          <w:i/>
          <w:szCs w:val="24"/>
          <w:lang w:val="fr-BE"/>
        </w:rPr>
      </w:pPr>
      <w:r w:rsidRPr="008E01DD">
        <w:rPr>
          <w:rFonts w:ascii="Times New Roman" w:hAnsi="Times New Roman"/>
          <w:b/>
          <w:lang w:val="fr-BE"/>
        </w:rPr>
        <w:t>2.</w:t>
      </w:r>
      <w:r w:rsidRPr="008E01DD">
        <w:rPr>
          <w:lang w:val="fr-BE"/>
        </w:rPr>
        <w:tab/>
      </w:r>
      <w:r w:rsidRPr="008E01DD">
        <w:rPr>
          <w:rFonts w:ascii="Times New Roman" w:hAnsi="Times New Roman"/>
          <w:b/>
          <w:lang w:val="fr-BE"/>
        </w:rPr>
        <w:t>Numéro de référence du PE:</w:t>
      </w:r>
      <w:r w:rsidRPr="008E01DD">
        <w:rPr>
          <w:rFonts w:ascii="Times New Roman" w:hAnsi="Times New Roman"/>
          <w:lang w:val="fr-BE"/>
        </w:rPr>
        <w:t xml:space="preserve"> </w:t>
      </w:r>
      <w:bookmarkStart w:id="0" w:name="_GoBack"/>
      <w:r w:rsidRPr="008E01DD">
        <w:rPr>
          <w:rFonts w:ascii="Times New Roman" w:hAnsi="Times New Roman"/>
          <w:lang w:val="fr-BE"/>
        </w:rPr>
        <w:t xml:space="preserve">A8-0055/2018 </w:t>
      </w:r>
      <w:bookmarkEnd w:id="0"/>
      <w:r w:rsidRPr="008E01DD">
        <w:rPr>
          <w:rFonts w:ascii="Times New Roman" w:hAnsi="Times New Roman"/>
          <w:lang w:val="fr-BE"/>
        </w:rPr>
        <w:t>/ P8_TA-</w:t>
      </w:r>
      <w:proofErr w:type="gramStart"/>
      <w:r w:rsidRPr="008E01DD">
        <w:rPr>
          <w:rFonts w:ascii="Times New Roman" w:hAnsi="Times New Roman"/>
          <w:lang w:val="fr-BE"/>
        </w:rPr>
        <w:t>PROV(</w:t>
      </w:r>
      <w:proofErr w:type="gramEnd"/>
      <w:r w:rsidRPr="008E01DD">
        <w:rPr>
          <w:rFonts w:ascii="Times New Roman" w:hAnsi="Times New Roman"/>
          <w:lang w:val="fr-BE"/>
        </w:rPr>
        <w:t>2018)0083</w:t>
      </w:r>
    </w:p>
    <w:p w:rsidR="002028F6" w:rsidRPr="008E01DD" w:rsidRDefault="002028F6" w:rsidP="002028F6">
      <w:pPr>
        <w:ind w:left="567" w:right="-28" w:hanging="567"/>
        <w:rPr>
          <w:rFonts w:ascii="Times New Roman" w:hAnsi="Times New Roman"/>
          <w:szCs w:val="24"/>
          <w:lang w:val="fr-BE"/>
        </w:rPr>
      </w:pPr>
      <w:r w:rsidRPr="008E01DD">
        <w:rPr>
          <w:rFonts w:ascii="Times New Roman" w:hAnsi="Times New Roman"/>
          <w:b/>
          <w:lang w:val="fr-BE"/>
        </w:rPr>
        <w:t>3.</w:t>
      </w:r>
      <w:r w:rsidRPr="008E01DD">
        <w:rPr>
          <w:lang w:val="fr-BE"/>
        </w:rPr>
        <w:tab/>
      </w:r>
      <w:r w:rsidRPr="008E01DD">
        <w:rPr>
          <w:rFonts w:ascii="Times New Roman" w:hAnsi="Times New Roman"/>
          <w:b/>
          <w:lang w:val="fr-BE"/>
        </w:rPr>
        <w:t xml:space="preserve">Date d’adoption de la résolution: </w:t>
      </w:r>
      <w:r w:rsidRPr="008E01DD">
        <w:rPr>
          <w:rFonts w:ascii="Times New Roman" w:hAnsi="Times New Roman"/>
          <w:lang w:val="fr-BE"/>
        </w:rPr>
        <w:t>15 mars 2018</w:t>
      </w:r>
    </w:p>
    <w:p w:rsidR="002028F6" w:rsidRPr="008E01DD" w:rsidRDefault="002028F6" w:rsidP="002028F6">
      <w:pPr>
        <w:ind w:left="567" w:right="-28" w:hanging="567"/>
        <w:rPr>
          <w:rFonts w:ascii="Times New Roman" w:hAnsi="Times New Roman"/>
          <w:szCs w:val="24"/>
          <w:lang w:val="fr-BE"/>
        </w:rPr>
      </w:pPr>
      <w:r w:rsidRPr="008E01DD">
        <w:rPr>
          <w:rFonts w:ascii="Times New Roman" w:hAnsi="Times New Roman"/>
          <w:b/>
          <w:lang w:val="fr-BE"/>
        </w:rPr>
        <w:t>4.</w:t>
      </w:r>
      <w:r w:rsidRPr="008E01DD">
        <w:rPr>
          <w:lang w:val="fr-BE"/>
        </w:rPr>
        <w:tab/>
      </w:r>
      <w:r w:rsidRPr="008E01DD">
        <w:rPr>
          <w:rFonts w:ascii="Times New Roman" w:hAnsi="Times New Roman"/>
          <w:b/>
          <w:lang w:val="fr-BE"/>
        </w:rPr>
        <w:t>Objet:</w:t>
      </w:r>
      <w:r w:rsidRPr="008E01DD">
        <w:rPr>
          <w:rFonts w:ascii="Times New Roman" w:hAnsi="Times New Roman"/>
          <w:lang w:val="fr-BE"/>
        </w:rPr>
        <w:t xml:space="preserve"> dénonciation de l’accord de partenariat dans le secteur de la pêche entre la Communauté européenne et l’Union des Comores</w:t>
      </w:r>
    </w:p>
    <w:p w:rsidR="002028F6" w:rsidRPr="008E01DD" w:rsidRDefault="002028F6" w:rsidP="002028F6">
      <w:pPr>
        <w:ind w:left="567" w:right="-28" w:hanging="567"/>
        <w:rPr>
          <w:rFonts w:ascii="Times New Roman" w:hAnsi="Times New Roman"/>
          <w:i/>
          <w:szCs w:val="24"/>
          <w:lang w:val="fr-BE"/>
        </w:rPr>
      </w:pPr>
      <w:r w:rsidRPr="008E01DD">
        <w:rPr>
          <w:rFonts w:ascii="Times New Roman" w:hAnsi="Times New Roman"/>
          <w:b/>
          <w:lang w:val="fr-BE"/>
        </w:rPr>
        <w:t>5.</w:t>
      </w:r>
      <w:r w:rsidRPr="008E01DD">
        <w:rPr>
          <w:lang w:val="fr-BE"/>
        </w:rPr>
        <w:tab/>
      </w:r>
      <w:r w:rsidRPr="008E01DD">
        <w:rPr>
          <w:rFonts w:ascii="Times New Roman" w:hAnsi="Times New Roman"/>
          <w:b/>
          <w:lang w:val="fr-BE"/>
        </w:rPr>
        <w:t xml:space="preserve">Commission parlementaire compétente: </w:t>
      </w:r>
      <w:r w:rsidRPr="008E01DD">
        <w:rPr>
          <w:rFonts w:ascii="Times New Roman" w:hAnsi="Times New Roman"/>
          <w:lang w:val="fr-BE"/>
        </w:rPr>
        <w:t>Commission de la pêche (PECH)</w:t>
      </w:r>
    </w:p>
    <w:p w:rsidR="002028F6" w:rsidRPr="008E01DD" w:rsidRDefault="002028F6" w:rsidP="002028F6">
      <w:pPr>
        <w:widowControl w:val="0"/>
        <w:ind w:left="567" w:right="-28" w:hanging="567"/>
        <w:rPr>
          <w:rFonts w:ascii="Times New Roman" w:hAnsi="Times New Roman"/>
          <w:szCs w:val="24"/>
          <w:lang w:val="fr-BE"/>
        </w:rPr>
      </w:pPr>
      <w:r w:rsidRPr="008E01DD">
        <w:rPr>
          <w:rFonts w:ascii="Times New Roman" w:hAnsi="Times New Roman"/>
          <w:b/>
          <w:lang w:val="fr-BE"/>
        </w:rPr>
        <w:t>6.</w:t>
      </w:r>
      <w:r w:rsidRPr="008E01DD">
        <w:rPr>
          <w:lang w:val="fr-BE"/>
        </w:rPr>
        <w:tab/>
      </w:r>
      <w:r w:rsidRPr="008E01DD">
        <w:rPr>
          <w:rFonts w:ascii="Times New Roman" w:hAnsi="Times New Roman"/>
          <w:b/>
          <w:lang w:val="fr-BE"/>
        </w:rPr>
        <w:t>Analyse/évaluation succincte de la résolution et des demandes qu’elle contient:</w:t>
      </w:r>
    </w:p>
    <w:p w:rsidR="002028F6" w:rsidRPr="008E01DD" w:rsidRDefault="002028F6" w:rsidP="002028F6">
      <w:pPr>
        <w:autoSpaceDE w:val="0"/>
        <w:autoSpaceDN w:val="0"/>
        <w:adjustRightInd w:val="0"/>
        <w:spacing w:after="120"/>
        <w:rPr>
          <w:rFonts w:ascii="Times New Roman" w:hAnsi="Times New Roman"/>
          <w:color w:val="000000"/>
          <w:szCs w:val="24"/>
          <w:lang w:val="fr-BE"/>
        </w:rPr>
      </w:pPr>
      <w:r w:rsidRPr="008E01DD">
        <w:rPr>
          <w:rFonts w:ascii="Times New Roman" w:hAnsi="Times New Roman"/>
          <w:color w:val="000000"/>
          <w:lang w:val="fr-BE"/>
        </w:rPr>
        <w:t xml:space="preserve">Le Parlement européen, dans sa résolution, convient, avec la Commission et le Conseil, de la nécessité d’appliquer les mesures visées à l’article 38, paragraphe 8, du règlement sur la pêche illicite, non déclarée et non réglementée (INN) en ce qui concerne la dénonciation de tout accord de pêche bilatéral existant conclu avec les Comores qui prévoit la cessation de l’accord en cas de non-respect des engagements pris par le pays au regard de la lutte contre la pêche INN. Il estime néanmoins que cette dénonciation ne devrait pas signifier la fin d’une relation de coopération entre l’Union et les Comores dans le secteur de la pêche, et demande instamment à la Commission d’œuvrer à rétablir le plus tôt possible cette relation. Le Parlement européen, dans sa résolution, défend également la nécessité d’une meilleure articulation entre les instruments disponibles dans le domaine de la coopération au développement, notamment le Fonds européen de développement (FED), et le soutien global au développement des capacités dans le secteur de la pêche. Il regrette qu’il n’ait pas été possible, au cours des trente années ou presque pendant desquelles l’Union européenne a maintenu des accords de pêche avec les Comores, d’obtenir des résultats plus tangibles dans le développement du secteur </w:t>
      </w:r>
      <w:proofErr w:type="gramStart"/>
      <w:r w:rsidRPr="008E01DD">
        <w:rPr>
          <w:rFonts w:ascii="Times New Roman" w:hAnsi="Times New Roman"/>
          <w:color w:val="000000"/>
          <w:lang w:val="fr-BE"/>
        </w:rPr>
        <w:t>de la pêche comorien</w:t>
      </w:r>
      <w:proofErr w:type="gramEnd"/>
      <w:r w:rsidRPr="008E01DD">
        <w:rPr>
          <w:rFonts w:ascii="Times New Roman" w:hAnsi="Times New Roman"/>
          <w:color w:val="000000"/>
          <w:lang w:val="fr-BE"/>
        </w:rPr>
        <w:t>.</w:t>
      </w:r>
    </w:p>
    <w:p w:rsidR="002028F6" w:rsidRPr="008E01DD" w:rsidRDefault="002028F6" w:rsidP="002028F6">
      <w:pPr>
        <w:autoSpaceDE w:val="0"/>
        <w:autoSpaceDN w:val="0"/>
        <w:adjustRightInd w:val="0"/>
        <w:spacing w:after="120"/>
        <w:rPr>
          <w:rFonts w:ascii="Times New Roman" w:hAnsi="Times New Roman"/>
          <w:color w:val="000000"/>
          <w:sz w:val="23"/>
          <w:szCs w:val="23"/>
          <w:lang w:val="fr-BE"/>
        </w:rPr>
      </w:pPr>
      <w:r w:rsidRPr="008E01DD">
        <w:rPr>
          <w:rFonts w:ascii="Times New Roman" w:hAnsi="Times New Roman"/>
          <w:color w:val="000000"/>
          <w:lang w:val="fr-BE"/>
        </w:rPr>
        <w:t>Le Parlement européen, dans sa résolution, demande l’inclusion d’une clause prévoyant l’interruption de la procédure et le retrait du carton rouge si les Comores remédient à leurs insuffisances, ce qui permettrait le retour de la flotte de l’Union (</w:t>
      </w:r>
      <w:r w:rsidRPr="008E01DD">
        <w:rPr>
          <w:rFonts w:ascii="Times New Roman" w:hAnsi="Times New Roman"/>
          <w:b/>
          <w:color w:val="000000"/>
          <w:lang w:val="fr-BE"/>
        </w:rPr>
        <w:t>paragraphe 12</w:t>
      </w:r>
      <w:r w:rsidRPr="008E01DD">
        <w:rPr>
          <w:rFonts w:ascii="Times New Roman" w:hAnsi="Times New Roman"/>
          <w:color w:val="000000"/>
          <w:lang w:val="fr-BE"/>
        </w:rPr>
        <w:t>). Il demande à la Commission de prendre les mesures idoines pour permettre un retour à la normale en améliorant l’efficacité des mesures de lutte contre la pêche INN et en permettant à la flotte de l’Union retourner dans la zone de pêche une fois que les termes d’un nouveau protocole auront été renégociés (</w:t>
      </w:r>
      <w:r w:rsidRPr="008E01DD">
        <w:rPr>
          <w:rFonts w:ascii="Times New Roman" w:hAnsi="Times New Roman"/>
          <w:b/>
          <w:color w:val="000000"/>
          <w:lang w:val="fr-BE"/>
        </w:rPr>
        <w:t>paragraphe 13</w:t>
      </w:r>
      <w:r w:rsidRPr="008E01DD">
        <w:rPr>
          <w:rFonts w:ascii="Times New Roman" w:hAnsi="Times New Roman"/>
          <w:color w:val="000000"/>
          <w:lang w:val="fr-BE"/>
        </w:rPr>
        <w:t>). Il demande également à la Commission et au Conseil, dans le cadre de leurs compétences respectives, de tenir le Parlement européen immédiatement et pleinement informé de tout développement en la matière (</w:t>
      </w:r>
      <w:r w:rsidRPr="008E01DD">
        <w:rPr>
          <w:rFonts w:ascii="Times New Roman" w:hAnsi="Times New Roman"/>
          <w:b/>
          <w:color w:val="000000"/>
          <w:lang w:val="fr-BE"/>
        </w:rPr>
        <w:t>paragraphe 14</w:t>
      </w:r>
      <w:r w:rsidRPr="008E01DD">
        <w:rPr>
          <w:rFonts w:ascii="Times New Roman" w:hAnsi="Times New Roman"/>
          <w:color w:val="000000"/>
          <w:lang w:val="fr-BE"/>
        </w:rPr>
        <w:t>).</w:t>
      </w:r>
    </w:p>
    <w:p w:rsidR="002028F6" w:rsidRPr="008E01DD" w:rsidRDefault="002028F6" w:rsidP="002028F6">
      <w:pPr>
        <w:widowControl w:val="0"/>
        <w:spacing w:after="120"/>
        <w:ind w:left="567" w:right="-28" w:hanging="567"/>
        <w:rPr>
          <w:rFonts w:ascii="Times New Roman" w:hAnsi="Times New Roman"/>
          <w:b/>
          <w:szCs w:val="24"/>
          <w:lang w:val="fr-BE"/>
        </w:rPr>
      </w:pPr>
      <w:r w:rsidRPr="008E01DD">
        <w:rPr>
          <w:rFonts w:ascii="Times New Roman" w:hAnsi="Times New Roman"/>
          <w:b/>
          <w:lang w:val="fr-BE"/>
        </w:rPr>
        <w:t>7.</w:t>
      </w:r>
      <w:r w:rsidRPr="008E01DD">
        <w:rPr>
          <w:lang w:val="fr-BE"/>
        </w:rPr>
        <w:tab/>
      </w:r>
      <w:r w:rsidRPr="008E01DD">
        <w:rPr>
          <w:rFonts w:ascii="Times New Roman" w:hAnsi="Times New Roman"/>
          <w:b/>
          <w:lang w:val="fr-BE"/>
        </w:rPr>
        <w:t>Réponse à ces demandes et aperçu des mesures que la Commission a prises ou envisage de prendre:</w:t>
      </w:r>
    </w:p>
    <w:p w:rsidR="002028F6" w:rsidRPr="008E01DD" w:rsidRDefault="002028F6" w:rsidP="002028F6">
      <w:pPr>
        <w:autoSpaceDE w:val="0"/>
        <w:autoSpaceDN w:val="0"/>
        <w:adjustRightInd w:val="0"/>
        <w:spacing w:after="120"/>
        <w:rPr>
          <w:rFonts w:ascii="Times New Roman" w:hAnsi="Times New Roman"/>
          <w:szCs w:val="24"/>
          <w:lang w:val="fr-BE"/>
        </w:rPr>
      </w:pPr>
      <w:r w:rsidRPr="008E01DD">
        <w:rPr>
          <w:rFonts w:ascii="Times New Roman" w:hAnsi="Times New Roman"/>
          <w:color w:val="000000"/>
          <w:lang w:val="fr-BE"/>
        </w:rPr>
        <w:t xml:space="preserve">Concernant la demande du Parlement formulée au </w:t>
      </w:r>
      <w:r w:rsidRPr="008E01DD">
        <w:rPr>
          <w:rFonts w:ascii="Times New Roman" w:hAnsi="Times New Roman"/>
          <w:b/>
          <w:color w:val="000000"/>
          <w:lang w:val="fr-BE"/>
        </w:rPr>
        <w:t>paragraphe 12</w:t>
      </w:r>
      <w:r w:rsidRPr="008E01DD">
        <w:rPr>
          <w:rFonts w:ascii="Times New Roman" w:hAnsi="Times New Roman"/>
          <w:color w:val="000000"/>
          <w:lang w:val="fr-BE"/>
        </w:rPr>
        <w:t xml:space="preserve">, il est important de noter que la dénonciation prendra effet six mois après la notification. Par conséquent, si les </w:t>
      </w:r>
      <w:r w:rsidRPr="008E01DD">
        <w:rPr>
          <w:rFonts w:ascii="Times New Roman" w:hAnsi="Times New Roman"/>
          <w:color w:val="000000"/>
          <w:lang w:val="fr-BE"/>
        </w:rPr>
        <w:lastRenderedPageBreak/>
        <w:t>Comores étaient retirées par le Conseil de la liste des pays tiers non coopérants visée à l’article 33 du règlement INN avant que la dénonciation ne prenne effet, la dénonciation devrait être retirée et la Commission devrait notifier immédiatement ce retrait à l’Union des Comores.</w:t>
      </w:r>
    </w:p>
    <w:p w:rsidR="002028F6" w:rsidRPr="00173E64" w:rsidRDefault="002028F6" w:rsidP="002028F6">
      <w:pPr>
        <w:spacing w:after="120"/>
        <w:rPr>
          <w:rFonts w:ascii="Times New Roman" w:hAnsi="Times New Roman"/>
          <w:szCs w:val="24"/>
          <w:lang w:val="fr-BE"/>
        </w:rPr>
      </w:pPr>
      <w:r w:rsidRPr="00173E64">
        <w:rPr>
          <w:rFonts w:ascii="Times New Roman" w:hAnsi="Times New Roman"/>
          <w:lang w:val="fr-BE"/>
        </w:rPr>
        <w:t>Concernant les demandes du Parlement faites au paragraphe 13, si les Comores sont retirées de la liste des pays tiers non coopérants visée à l’article 33 du règlement INN, la Commission déterminera s’il en va ou non de l’intérêt de l’Union européenne, et dans quelles conditions, négocier un nouvel accord et un protocole qui permettrait aux navires de l’UE d’accéder aux zones de pêche des Comores. Un soutien sectoriel qui aiderait les Comores à lutter contre la pêche INN pourrait faire partie d’un nouvel accord et protocole de cette nature.</w:t>
      </w:r>
    </w:p>
    <w:p w:rsidR="00D252EB" w:rsidRPr="002028F6" w:rsidRDefault="002028F6" w:rsidP="002028F6">
      <w:pPr>
        <w:spacing w:after="0"/>
        <w:rPr>
          <w:rFonts w:ascii="Times New Roman" w:hAnsi="Times New Roman"/>
          <w:bCs/>
          <w:sz w:val="28"/>
          <w:szCs w:val="28"/>
          <w:u w:val="single"/>
          <w:lang w:val="fr-BE"/>
        </w:rPr>
      </w:pPr>
      <w:r w:rsidRPr="008E01DD">
        <w:rPr>
          <w:rFonts w:ascii="Times New Roman" w:hAnsi="Times New Roman"/>
          <w:lang w:val="fr-BE"/>
        </w:rPr>
        <w:t xml:space="preserve">Enfin, concernant la demande du Parlement énoncée au </w:t>
      </w:r>
      <w:r w:rsidRPr="008E01DD">
        <w:rPr>
          <w:rFonts w:ascii="Times New Roman" w:hAnsi="Times New Roman"/>
          <w:b/>
          <w:lang w:val="fr-BE"/>
        </w:rPr>
        <w:t>paragraphe 14</w:t>
      </w:r>
      <w:r w:rsidRPr="008E01DD">
        <w:rPr>
          <w:rFonts w:ascii="Times New Roman" w:hAnsi="Times New Roman"/>
          <w:lang w:val="fr-BE"/>
        </w:rPr>
        <w:t>, la Commission s’engage pour sa part à continuer de tenir le Parlement informé de tout développement éventuel en la matière.</w:t>
      </w:r>
    </w:p>
    <w:sectPr w:rsidR="00D252EB" w:rsidRPr="00202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F6"/>
    <w:rsid w:val="00027B09"/>
    <w:rsid w:val="00054F89"/>
    <w:rsid w:val="000B22A1"/>
    <w:rsid w:val="000E11EF"/>
    <w:rsid w:val="000F2B09"/>
    <w:rsid w:val="001736A8"/>
    <w:rsid w:val="001B1D22"/>
    <w:rsid w:val="001D1570"/>
    <w:rsid w:val="001D4038"/>
    <w:rsid w:val="001F0E13"/>
    <w:rsid w:val="001F7C4A"/>
    <w:rsid w:val="001F7CFD"/>
    <w:rsid w:val="002028F6"/>
    <w:rsid w:val="002572D7"/>
    <w:rsid w:val="00270DCC"/>
    <w:rsid w:val="00274C93"/>
    <w:rsid w:val="002B56D0"/>
    <w:rsid w:val="002C06DE"/>
    <w:rsid w:val="002C16A8"/>
    <w:rsid w:val="002D0452"/>
    <w:rsid w:val="002E0063"/>
    <w:rsid w:val="002E0392"/>
    <w:rsid w:val="00305E32"/>
    <w:rsid w:val="003173DE"/>
    <w:rsid w:val="003566FC"/>
    <w:rsid w:val="003725F5"/>
    <w:rsid w:val="00381B0C"/>
    <w:rsid w:val="003D6D65"/>
    <w:rsid w:val="00403761"/>
    <w:rsid w:val="0042368F"/>
    <w:rsid w:val="00433F70"/>
    <w:rsid w:val="004642FF"/>
    <w:rsid w:val="00480F53"/>
    <w:rsid w:val="0048169B"/>
    <w:rsid w:val="00491697"/>
    <w:rsid w:val="0049783A"/>
    <w:rsid w:val="004E755F"/>
    <w:rsid w:val="005138D5"/>
    <w:rsid w:val="00521A67"/>
    <w:rsid w:val="005261E3"/>
    <w:rsid w:val="005773AA"/>
    <w:rsid w:val="005953F5"/>
    <w:rsid w:val="005969DF"/>
    <w:rsid w:val="005D1929"/>
    <w:rsid w:val="005E3B54"/>
    <w:rsid w:val="00616E5F"/>
    <w:rsid w:val="006326B8"/>
    <w:rsid w:val="00653B68"/>
    <w:rsid w:val="00654945"/>
    <w:rsid w:val="00690826"/>
    <w:rsid w:val="006C4266"/>
    <w:rsid w:val="006F55F6"/>
    <w:rsid w:val="007009B6"/>
    <w:rsid w:val="00734919"/>
    <w:rsid w:val="00737E68"/>
    <w:rsid w:val="0075237D"/>
    <w:rsid w:val="007901B5"/>
    <w:rsid w:val="00797105"/>
    <w:rsid w:val="007D2A1A"/>
    <w:rsid w:val="007E0BFC"/>
    <w:rsid w:val="00803B1F"/>
    <w:rsid w:val="00814714"/>
    <w:rsid w:val="00826DBB"/>
    <w:rsid w:val="008554BB"/>
    <w:rsid w:val="008850A9"/>
    <w:rsid w:val="008A703E"/>
    <w:rsid w:val="008C59B5"/>
    <w:rsid w:val="008D5CC4"/>
    <w:rsid w:val="008E2B38"/>
    <w:rsid w:val="008E4BB0"/>
    <w:rsid w:val="00964B60"/>
    <w:rsid w:val="00987D3F"/>
    <w:rsid w:val="009B1F6A"/>
    <w:rsid w:val="009D6CF0"/>
    <w:rsid w:val="009D7CC7"/>
    <w:rsid w:val="009F43D7"/>
    <w:rsid w:val="00A037F5"/>
    <w:rsid w:val="00AB11D1"/>
    <w:rsid w:val="00B36703"/>
    <w:rsid w:val="00B7520E"/>
    <w:rsid w:val="00BC34C3"/>
    <w:rsid w:val="00BC5884"/>
    <w:rsid w:val="00BE4FF7"/>
    <w:rsid w:val="00BE7767"/>
    <w:rsid w:val="00C227BA"/>
    <w:rsid w:val="00C52BFA"/>
    <w:rsid w:val="00C93913"/>
    <w:rsid w:val="00CD1B0E"/>
    <w:rsid w:val="00CD247A"/>
    <w:rsid w:val="00D02DD3"/>
    <w:rsid w:val="00D266AC"/>
    <w:rsid w:val="00D31207"/>
    <w:rsid w:val="00D34A95"/>
    <w:rsid w:val="00D704B2"/>
    <w:rsid w:val="00DC15AB"/>
    <w:rsid w:val="00DE50BD"/>
    <w:rsid w:val="00DF7B65"/>
    <w:rsid w:val="00E544EC"/>
    <w:rsid w:val="00E843E4"/>
    <w:rsid w:val="00EC2FE8"/>
    <w:rsid w:val="00ED279C"/>
    <w:rsid w:val="00EE3407"/>
    <w:rsid w:val="00EF4CD4"/>
    <w:rsid w:val="00F02193"/>
    <w:rsid w:val="00F03C01"/>
    <w:rsid w:val="00F15167"/>
    <w:rsid w:val="00F21E50"/>
    <w:rsid w:val="00F86446"/>
    <w:rsid w:val="00FB132C"/>
    <w:rsid w:val="00FC1717"/>
    <w:rsid w:val="00FF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3DA7"/>
  <w15:chartTrackingRefBased/>
  <w15:docId w15:val="{EB4CA422-8EC0-4DCC-912B-2E9E30C6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8F6"/>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3492</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MERVILLE Nicolas (SG)</dc:creator>
  <cp:keywords/>
  <dc:description/>
  <cp:lastModifiedBy>MERVILLE Nicolas (SG)</cp:lastModifiedBy>
  <cp:revision>1</cp:revision>
  <dcterms:created xsi:type="dcterms:W3CDTF">2018-08-27T14:12:00Z</dcterms:created>
  <dcterms:modified xsi:type="dcterms:W3CDTF">2018-08-27T14:13:00Z</dcterms:modified>
</cp:coreProperties>
</file>