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26D" w:rsidRPr="00CE5B18" w:rsidRDefault="00A6426D" w:rsidP="00A6426D">
      <w:pPr>
        <w:spacing w:after="600"/>
        <w:jc w:val="center"/>
        <w:rPr>
          <w:rFonts w:ascii="Times New Roman" w:eastAsia="Calibri" w:hAnsi="Times New Roman"/>
          <w:b/>
          <w:bCs/>
          <w:szCs w:val="24"/>
          <w:lang w:eastAsia="en-US"/>
        </w:rPr>
      </w:pPr>
      <w:r>
        <w:rPr>
          <w:rFonts w:ascii="Times New Roman" w:eastAsia="Calibri" w:hAnsi="Times New Roman"/>
          <w:b/>
          <w:bCs/>
          <w:szCs w:val="24"/>
          <w:lang w:eastAsia="en-US"/>
        </w:rPr>
        <w:t xml:space="preserve">Follow up to the </w:t>
      </w:r>
      <w:r w:rsidRPr="00983F45">
        <w:rPr>
          <w:rFonts w:ascii="Times New Roman" w:eastAsia="Calibri" w:hAnsi="Times New Roman"/>
          <w:b/>
          <w:bCs/>
          <w:szCs w:val="24"/>
          <w:lang w:eastAsia="en-US"/>
        </w:rPr>
        <w:t xml:space="preserve">European Parliament </w:t>
      </w:r>
      <w:r w:rsidRPr="00C33439">
        <w:rPr>
          <w:rFonts w:ascii="Times New Roman" w:hAnsi="Times New Roman"/>
          <w:b/>
          <w:szCs w:val="24"/>
        </w:rPr>
        <w:t xml:space="preserve">non-legislative </w:t>
      </w:r>
      <w:r w:rsidRPr="00983F45">
        <w:rPr>
          <w:rFonts w:ascii="Times New Roman" w:eastAsia="Calibri" w:hAnsi="Times New Roman"/>
          <w:b/>
          <w:bCs/>
          <w:szCs w:val="24"/>
          <w:lang w:eastAsia="en-US"/>
        </w:rPr>
        <w:t xml:space="preserve">resolution of </w:t>
      </w:r>
      <w:r>
        <w:rPr>
          <w:rFonts w:ascii="Times New Roman" w:eastAsia="Calibri" w:hAnsi="Times New Roman"/>
          <w:b/>
          <w:bCs/>
          <w:szCs w:val="24"/>
          <w:lang w:eastAsia="en-US"/>
        </w:rPr>
        <w:t xml:space="preserve">3 May 2018 </w:t>
      </w:r>
      <w:r w:rsidRPr="00983F45">
        <w:rPr>
          <w:rFonts w:ascii="Times New Roman" w:eastAsia="Calibri" w:hAnsi="Times New Roman"/>
          <w:b/>
          <w:bCs/>
          <w:szCs w:val="24"/>
          <w:lang w:eastAsia="en-US"/>
        </w:rPr>
        <w:t>on</w:t>
      </w:r>
      <w:r>
        <w:rPr>
          <w:rFonts w:ascii="Times New Roman" w:eastAsia="Calibri" w:hAnsi="Times New Roman"/>
          <w:b/>
          <w:bCs/>
          <w:szCs w:val="24"/>
          <w:lang w:eastAsia="en-US"/>
        </w:rPr>
        <w:t xml:space="preserve"> </w:t>
      </w:r>
      <w:r>
        <w:rPr>
          <w:rFonts w:ascii="Times New Roman" w:eastAsia="Calibri" w:hAnsi="Times New Roman"/>
          <w:b/>
          <w:bCs/>
          <w:szCs w:val="24"/>
          <w:lang w:eastAsia="en-US"/>
        </w:rPr>
        <w:br/>
        <w:t xml:space="preserve">the </w:t>
      </w:r>
      <w:r w:rsidRPr="002B1363">
        <w:rPr>
          <w:rFonts w:ascii="Times New Roman" w:eastAsia="Calibri" w:hAnsi="Times New Roman"/>
          <w:b/>
          <w:bCs/>
          <w:szCs w:val="24"/>
          <w:lang w:eastAsia="en-US"/>
        </w:rPr>
        <w:t>protection of children in migration</w:t>
      </w:r>
    </w:p>
    <w:p w:rsidR="00A6426D" w:rsidRPr="0070631E" w:rsidRDefault="00A6426D" w:rsidP="00A6426D">
      <w:pPr>
        <w:widowControl w:val="0"/>
        <w:tabs>
          <w:tab w:val="left" w:pos="-480"/>
        </w:tabs>
        <w:suppressAutoHyphens/>
        <w:spacing w:after="600"/>
        <w:jc w:val="center"/>
        <w:rPr>
          <w:rFonts w:ascii="Times New Roman" w:eastAsia="Calibri" w:hAnsi="Times New Roman"/>
          <w:b/>
          <w:bCs/>
          <w:szCs w:val="24"/>
          <w:lang w:eastAsia="en-US"/>
        </w:rPr>
      </w:pPr>
      <w:hyperlink r:id="rId6" w:history="1">
        <w:r>
          <w:rPr>
            <w:rFonts w:ascii="Times New Roman" w:eastAsia="Calibri" w:hAnsi="Times New Roman"/>
            <w:b/>
            <w:bCs/>
            <w:szCs w:val="24"/>
            <w:lang w:eastAsia="en-US"/>
          </w:rPr>
          <w:t>2018</w:t>
        </w:r>
        <w:r w:rsidRPr="00625547">
          <w:rPr>
            <w:rFonts w:ascii="Times New Roman" w:eastAsia="Calibri" w:hAnsi="Times New Roman"/>
            <w:b/>
            <w:bCs/>
            <w:szCs w:val="24"/>
            <w:lang w:eastAsia="en-US"/>
          </w:rPr>
          <w:t>/</w:t>
        </w:r>
        <w:r w:rsidRPr="008477AC">
          <w:rPr>
            <w:rFonts w:ascii="Times New Roman" w:eastAsia="Calibri" w:hAnsi="Times New Roman"/>
            <w:b/>
            <w:bCs/>
            <w:szCs w:val="24"/>
            <w:lang w:eastAsia="en-US"/>
          </w:rPr>
          <w:t>2666</w:t>
        </w:r>
        <w:r>
          <w:rPr>
            <w:rFonts w:ascii="Times New Roman" w:eastAsia="Calibri" w:hAnsi="Times New Roman"/>
            <w:b/>
            <w:bCs/>
            <w:szCs w:val="24"/>
            <w:lang w:eastAsia="en-US"/>
          </w:rPr>
          <w:t xml:space="preserve"> </w:t>
        </w:r>
        <w:r w:rsidRPr="008477AC">
          <w:rPr>
            <w:rFonts w:ascii="Times New Roman" w:eastAsia="Calibri" w:hAnsi="Times New Roman"/>
            <w:b/>
            <w:bCs/>
            <w:szCs w:val="24"/>
            <w:lang w:eastAsia="en-US"/>
          </w:rPr>
          <w:t>(RSP)</w:t>
        </w:r>
      </w:hyperlink>
    </w:p>
    <w:p w:rsidR="00A6426D" w:rsidRPr="00890BC3" w:rsidRDefault="00A6426D" w:rsidP="00A6426D">
      <w:pPr>
        <w:ind w:left="567" w:hanging="567"/>
        <w:rPr>
          <w:rFonts w:ascii="Times New Roman" w:eastAsia="Calibri" w:hAnsi="Times New Roman"/>
          <w:szCs w:val="24"/>
          <w:lang w:val="en-US" w:eastAsia="en-US"/>
        </w:rPr>
      </w:pPr>
      <w:r>
        <w:rPr>
          <w:rFonts w:ascii="Times New Roman" w:eastAsia="Calibri" w:hAnsi="Times New Roman"/>
          <w:b/>
          <w:szCs w:val="24"/>
          <w:lang w:eastAsia="en-US"/>
        </w:rPr>
        <w:t>1.</w:t>
      </w:r>
      <w:r>
        <w:rPr>
          <w:rFonts w:ascii="Times New Roman" w:eastAsia="Calibri" w:hAnsi="Times New Roman"/>
          <w:b/>
          <w:szCs w:val="24"/>
          <w:lang w:eastAsia="en-US"/>
        </w:rPr>
        <w:tab/>
      </w:r>
      <w:r w:rsidRPr="00890BC3">
        <w:rPr>
          <w:rFonts w:ascii="Times New Roman" w:eastAsia="Calibri" w:hAnsi="Times New Roman"/>
          <w:b/>
          <w:szCs w:val="24"/>
          <w:lang w:eastAsia="en-US"/>
        </w:rPr>
        <w:t xml:space="preserve">Resolution tabled pursuant to Rule </w:t>
      </w:r>
      <w:r w:rsidRPr="00BB1119">
        <w:rPr>
          <w:rFonts w:ascii="Times New Roman" w:eastAsia="Calibri" w:hAnsi="Times New Roman"/>
          <w:b/>
          <w:szCs w:val="24"/>
          <w:lang w:eastAsia="en-US"/>
        </w:rPr>
        <w:t>128(5) and 123(2)</w:t>
      </w:r>
      <w:r w:rsidRPr="00BB1119" w:rsidDel="00BB1119">
        <w:rPr>
          <w:rFonts w:ascii="Times New Roman" w:eastAsia="Calibri" w:hAnsi="Times New Roman"/>
          <w:b/>
          <w:szCs w:val="24"/>
          <w:lang w:eastAsia="en-US"/>
        </w:rPr>
        <w:t xml:space="preserve"> </w:t>
      </w:r>
      <w:r w:rsidRPr="00890BC3">
        <w:rPr>
          <w:rFonts w:ascii="Times New Roman" w:eastAsia="Calibri" w:hAnsi="Times New Roman"/>
          <w:b/>
          <w:szCs w:val="24"/>
          <w:lang w:eastAsia="en-US"/>
        </w:rPr>
        <w:t xml:space="preserve">of the European Parliament's Rules of Procedure by the EPP, </w:t>
      </w:r>
      <w:r>
        <w:rPr>
          <w:rFonts w:ascii="Times New Roman" w:eastAsia="Calibri" w:hAnsi="Times New Roman"/>
          <w:b/>
          <w:szCs w:val="24"/>
          <w:lang w:eastAsia="en-US"/>
        </w:rPr>
        <w:t xml:space="preserve">S&amp;D, ALDE, </w:t>
      </w:r>
      <w:r w:rsidRPr="00890BC3">
        <w:rPr>
          <w:rFonts w:ascii="Times New Roman" w:eastAsia="Calibri" w:hAnsi="Times New Roman"/>
          <w:b/>
          <w:szCs w:val="24"/>
          <w:lang w:eastAsia="en-US"/>
        </w:rPr>
        <w:t>Greens/EFA</w:t>
      </w:r>
      <w:r>
        <w:rPr>
          <w:rFonts w:ascii="Times New Roman" w:eastAsia="Calibri" w:hAnsi="Times New Roman"/>
          <w:b/>
          <w:szCs w:val="24"/>
          <w:lang w:eastAsia="en-US"/>
        </w:rPr>
        <w:t xml:space="preserve"> </w:t>
      </w:r>
      <w:r w:rsidRPr="00890BC3">
        <w:rPr>
          <w:rFonts w:ascii="Times New Roman" w:eastAsia="Calibri" w:hAnsi="Times New Roman"/>
          <w:b/>
          <w:szCs w:val="24"/>
          <w:lang w:eastAsia="en-US"/>
        </w:rPr>
        <w:t xml:space="preserve">and </w:t>
      </w:r>
      <w:r>
        <w:rPr>
          <w:rFonts w:ascii="Times New Roman" w:eastAsia="Calibri" w:hAnsi="Times New Roman"/>
          <w:b/>
          <w:szCs w:val="24"/>
          <w:lang w:eastAsia="en-US"/>
        </w:rPr>
        <w:t xml:space="preserve">GUE </w:t>
      </w:r>
      <w:r w:rsidRPr="00890BC3">
        <w:rPr>
          <w:rFonts w:ascii="Times New Roman" w:eastAsia="Calibri" w:hAnsi="Times New Roman"/>
          <w:b/>
          <w:szCs w:val="24"/>
          <w:lang w:eastAsia="en-US"/>
        </w:rPr>
        <w:t>groups</w:t>
      </w:r>
    </w:p>
    <w:p w:rsidR="00A6426D" w:rsidRDefault="00A6426D" w:rsidP="00A6426D">
      <w:pPr>
        <w:ind w:left="567" w:hanging="567"/>
        <w:rPr>
          <w:rFonts w:ascii="Times New Roman" w:eastAsia="Calibri" w:hAnsi="Times New Roman"/>
          <w:szCs w:val="24"/>
          <w:lang w:eastAsia="en-US"/>
        </w:rPr>
      </w:pPr>
      <w:r>
        <w:rPr>
          <w:rFonts w:ascii="Times New Roman" w:eastAsia="Calibri" w:hAnsi="Times New Roman"/>
          <w:b/>
          <w:szCs w:val="24"/>
          <w:lang w:eastAsia="en-US"/>
        </w:rPr>
        <w:t>2.</w:t>
      </w:r>
      <w:r>
        <w:rPr>
          <w:rFonts w:ascii="Times New Roman" w:eastAsia="Calibri" w:hAnsi="Times New Roman"/>
          <w:b/>
          <w:szCs w:val="24"/>
          <w:lang w:eastAsia="en-US"/>
        </w:rPr>
        <w:tab/>
      </w:r>
      <w:r w:rsidRPr="00983F45">
        <w:rPr>
          <w:rFonts w:ascii="Times New Roman" w:eastAsia="Calibri" w:hAnsi="Times New Roman"/>
          <w:b/>
          <w:szCs w:val="24"/>
          <w:lang w:eastAsia="en-US"/>
        </w:rPr>
        <w:t>EP reference number</w:t>
      </w:r>
      <w:r w:rsidRPr="00983F45">
        <w:rPr>
          <w:rFonts w:ascii="Times New Roman" w:eastAsia="Calibri" w:hAnsi="Times New Roman"/>
          <w:szCs w:val="24"/>
          <w:lang w:eastAsia="en-US"/>
        </w:rPr>
        <w:t xml:space="preserve">: </w:t>
      </w:r>
      <w:bookmarkStart w:id="0" w:name="_GoBack"/>
      <w:r w:rsidRPr="00B67DFB">
        <w:rPr>
          <w:rFonts w:ascii="Times New Roman" w:eastAsia="Calibri" w:hAnsi="Times New Roman"/>
          <w:szCs w:val="24"/>
          <w:lang w:eastAsia="en-US"/>
        </w:rPr>
        <w:t>B8-0218/2018</w:t>
      </w:r>
      <w:r>
        <w:rPr>
          <w:rFonts w:ascii="Times New Roman" w:eastAsia="Calibri" w:hAnsi="Times New Roman"/>
          <w:szCs w:val="24"/>
          <w:lang w:eastAsia="en-US"/>
        </w:rPr>
        <w:t xml:space="preserve"> </w:t>
      </w:r>
      <w:bookmarkEnd w:id="0"/>
      <w:r>
        <w:rPr>
          <w:rFonts w:ascii="Times New Roman" w:hAnsi="Times New Roman"/>
          <w:smallCaps/>
          <w:szCs w:val="24"/>
        </w:rPr>
        <w:t xml:space="preserve">/ </w:t>
      </w:r>
      <w:r w:rsidRPr="00BB1119">
        <w:rPr>
          <w:rFonts w:ascii="Times New Roman" w:hAnsi="Times New Roman"/>
        </w:rPr>
        <w:t>P8_TA-</w:t>
      </w:r>
      <w:proofErr w:type="gramStart"/>
      <w:r w:rsidRPr="00BB1119">
        <w:rPr>
          <w:rFonts w:ascii="Times New Roman" w:hAnsi="Times New Roman"/>
        </w:rPr>
        <w:t>PROV(</w:t>
      </w:r>
      <w:proofErr w:type="gramEnd"/>
      <w:r w:rsidRPr="00BB1119">
        <w:rPr>
          <w:rFonts w:ascii="Times New Roman" w:hAnsi="Times New Roman"/>
        </w:rPr>
        <w:t>2018)0201</w:t>
      </w:r>
    </w:p>
    <w:p w:rsidR="00A6426D" w:rsidRPr="00FE71B9" w:rsidRDefault="00A6426D" w:rsidP="00A6426D">
      <w:pPr>
        <w:ind w:left="567" w:hanging="567"/>
        <w:rPr>
          <w:rFonts w:ascii="Times New Roman" w:eastAsia="Calibri" w:hAnsi="Times New Roman"/>
          <w:szCs w:val="24"/>
          <w:lang w:eastAsia="en-US"/>
        </w:rPr>
      </w:pPr>
      <w:r>
        <w:rPr>
          <w:rFonts w:ascii="Times New Roman" w:eastAsia="Calibri" w:hAnsi="Times New Roman"/>
          <w:b/>
          <w:szCs w:val="24"/>
          <w:lang w:eastAsia="en-US"/>
        </w:rPr>
        <w:t>3.</w:t>
      </w:r>
      <w:r>
        <w:rPr>
          <w:rFonts w:ascii="Times New Roman" w:eastAsia="Calibri" w:hAnsi="Times New Roman"/>
          <w:b/>
          <w:szCs w:val="24"/>
          <w:lang w:eastAsia="en-US"/>
        </w:rPr>
        <w:tab/>
      </w:r>
      <w:r w:rsidRPr="00983F45">
        <w:rPr>
          <w:rFonts w:ascii="Times New Roman" w:eastAsia="Calibri" w:hAnsi="Times New Roman"/>
          <w:b/>
          <w:szCs w:val="24"/>
          <w:lang w:eastAsia="en-US"/>
        </w:rPr>
        <w:t xml:space="preserve">Date of adoption of the </w:t>
      </w:r>
      <w:r>
        <w:rPr>
          <w:rFonts w:ascii="Times New Roman" w:eastAsia="Calibri" w:hAnsi="Times New Roman"/>
          <w:b/>
          <w:szCs w:val="24"/>
          <w:lang w:eastAsia="en-US"/>
        </w:rPr>
        <w:t>r</w:t>
      </w:r>
      <w:r w:rsidRPr="00983F45">
        <w:rPr>
          <w:rFonts w:ascii="Times New Roman" w:eastAsia="Calibri" w:hAnsi="Times New Roman"/>
          <w:b/>
          <w:szCs w:val="24"/>
          <w:lang w:eastAsia="en-US"/>
        </w:rPr>
        <w:t>esolution:</w:t>
      </w:r>
      <w:r w:rsidRPr="00230BBD">
        <w:rPr>
          <w:rFonts w:ascii="Times New Roman" w:eastAsia="Calibri" w:hAnsi="Times New Roman"/>
          <w:szCs w:val="24"/>
          <w:lang w:eastAsia="en-US"/>
        </w:rPr>
        <w:t xml:space="preserve"> </w:t>
      </w:r>
      <w:r w:rsidRPr="00B847DC">
        <w:rPr>
          <w:rFonts w:ascii="Times New Roman" w:eastAsia="Calibri" w:hAnsi="Times New Roman"/>
          <w:bCs/>
          <w:szCs w:val="24"/>
          <w:lang w:eastAsia="en-US"/>
        </w:rPr>
        <w:t>3 May 2018</w:t>
      </w:r>
      <w:r>
        <w:rPr>
          <w:rFonts w:ascii="Times New Roman" w:eastAsia="Calibri" w:hAnsi="Times New Roman"/>
          <w:bCs/>
          <w:i/>
          <w:szCs w:val="24"/>
          <w:lang w:eastAsia="en-US"/>
        </w:rPr>
        <w:t>.</w:t>
      </w:r>
    </w:p>
    <w:p w:rsidR="00A6426D" w:rsidRPr="007D1850" w:rsidRDefault="00A6426D" w:rsidP="00A6426D">
      <w:pPr>
        <w:ind w:left="567" w:hanging="567"/>
        <w:rPr>
          <w:rFonts w:ascii="Times New Roman" w:eastAsia="Calibri" w:hAnsi="Times New Roman"/>
          <w:szCs w:val="24"/>
          <w:lang w:val="en" w:eastAsia="en-US"/>
        </w:rPr>
      </w:pPr>
      <w:r>
        <w:rPr>
          <w:rFonts w:ascii="Times New Roman" w:eastAsia="Calibri" w:hAnsi="Times New Roman"/>
          <w:b/>
          <w:szCs w:val="24"/>
          <w:lang w:eastAsia="en-US"/>
        </w:rPr>
        <w:t>4.</w:t>
      </w:r>
      <w:r>
        <w:rPr>
          <w:rFonts w:ascii="Times New Roman" w:eastAsia="Calibri" w:hAnsi="Times New Roman"/>
          <w:b/>
          <w:szCs w:val="24"/>
          <w:lang w:eastAsia="en-US"/>
        </w:rPr>
        <w:tab/>
      </w:r>
      <w:r w:rsidRPr="00983F45">
        <w:rPr>
          <w:rFonts w:ascii="Times New Roman" w:eastAsia="Calibri" w:hAnsi="Times New Roman"/>
          <w:b/>
          <w:szCs w:val="24"/>
          <w:lang w:eastAsia="en-US"/>
        </w:rPr>
        <w:t xml:space="preserve">Subject: </w:t>
      </w:r>
      <w:r>
        <w:rPr>
          <w:rFonts w:ascii="Times New Roman" w:eastAsia="Calibri" w:hAnsi="Times New Roman"/>
          <w:szCs w:val="24"/>
          <w:lang w:eastAsia="en-US"/>
        </w:rPr>
        <w:t>P</w:t>
      </w:r>
      <w:r w:rsidRPr="00B847DC">
        <w:rPr>
          <w:rFonts w:ascii="Times New Roman" w:eastAsia="Calibri" w:hAnsi="Times New Roman"/>
          <w:szCs w:val="24"/>
          <w:lang w:eastAsia="en-US"/>
        </w:rPr>
        <w:t>rotection of children in migration in the EU</w:t>
      </w:r>
    </w:p>
    <w:p w:rsidR="00A6426D" w:rsidRPr="00331DB9" w:rsidRDefault="00A6426D" w:rsidP="00A6426D">
      <w:pPr>
        <w:ind w:left="567" w:right="-28" w:hanging="567"/>
        <w:rPr>
          <w:rFonts w:ascii="Times New Roman" w:hAnsi="Times New Roman"/>
          <w:szCs w:val="24"/>
        </w:rPr>
      </w:pPr>
      <w:r>
        <w:rPr>
          <w:rFonts w:ascii="Times New Roman" w:hAnsi="Times New Roman"/>
          <w:b/>
        </w:rPr>
        <w:t>5.</w:t>
      </w:r>
      <w:r>
        <w:rPr>
          <w:rFonts w:ascii="Times New Roman" w:hAnsi="Times New Roman"/>
          <w:b/>
        </w:rPr>
        <w:tab/>
      </w:r>
      <w:r w:rsidRPr="00EC0A27">
        <w:rPr>
          <w:rFonts w:ascii="Times New Roman" w:hAnsi="Times New Roman"/>
          <w:b/>
        </w:rPr>
        <w:t>Competent Parliamentary Committee</w:t>
      </w:r>
      <w:r w:rsidRPr="00C136EC">
        <w:rPr>
          <w:b/>
        </w:rPr>
        <w:t>:</w:t>
      </w:r>
      <w:r w:rsidRPr="00890BC3">
        <w:t xml:space="preserve"> </w:t>
      </w:r>
      <w:r w:rsidRPr="00640EFD">
        <w:rPr>
          <w:rFonts w:ascii="Times New Roman" w:hAnsi="Times New Roman"/>
        </w:rPr>
        <w:t>Committee on</w:t>
      </w:r>
      <w:r w:rsidRPr="00FE71B9">
        <w:rPr>
          <w:rFonts w:ascii="Times New Roman" w:hAnsi="Times New Roman"/>
          <w:i/>
        </w:rPr>
        <w:t xml:space="preserve"> </w:t>
      </w:r>
      <w:r w:rsidRPr="007D1850">
        <w:rPr>
          <w:rFonts w:ascii="Times New Roman" w:hAnsi="Times New Roman"/>
        </w:rPr>
        <w:t>Civil Rights, Justice and Liberties (LIBE)</w:t>
      </w:r>
    </w:p>
    <w:p w:rsidR="00A6426D" w:rsidRDefault="00A6426D" w:rsidP="00A6426D">
      <w:pPr>
        <w:ind w:left="567" w:hanging="567"/>
        <w:rPr>
          <w:rFonts w:ascii="Times New Roman" w:eastAsia="Calibri" w:hAnsi="Times New Roman"/>
          <w:szCs w:val="24"/>
          <w:lang w:eastAsia="en-US"/>
        </w:rPr>
      </w:pPr>
      <w:r>
        <w:rPr>
          <w:rFonts w:ascii="Times New Roman" w:eastAsia="Calibri" w:hAnsi="Times New Roman"/>
          <w:b/>
          <w:szCs w:val="24"/>
          <w:lang w:eastAsia="en-US"/>
        </w:rPr>
        <w:t>6.</w:t>
      </w:r>
      <w:r>
        <w:rPr>
          <w:rFonts w:ascii="Times New Roman" w:eastAsia="Calibri" w:hAnsi="Times New Roman"/>
          <w:b/>
          <w:szCs w:val="24"/>
          <w:lang w:eastAsia="en-US"/>
        </w:rPr>
        <w:tab/>
      </w:r>
      <w:r w:rsidRPr="00983F45">
        <w:rPr>
          <w:rFonts w:ascii="Times New Roman" w:eastAsia="Calibri" w:hAnsi="Times New Roman"/>
          <w:b/>
          <w:szCs w:val="24"/>
          <w:lang w:eastAsia="en-US"/>
        </w:rPr>
        <w:t>Brief analysis/</w:t>
      </w:r>
      <w:r>
        <w:rPr>
          <w:rFonts w:ascii="Times New Roman" w:eastAsia="Calibri" w:hAnsi="Times New Roman"/>
          <w:b/>
          <w:szCs w:val="24"/>
          <w:lang w:eastAsia="en-US"/>
        </w:rPr>
        <w:t xml:space="preserve"> </w:t>
      </w:r>
      <w:r w:rsidRPr="00983F45">
        <w:rPr>
          <w:rFonts w:ascii="Times New Roman" w:eastAsia="Calibri" w:hAnsi="Times New Roman"/>
          <w:b/>
          <w:szCs w:val="24"/>
          <w:lang w:eastAsia="en-US"/>
        </w:rPr>
        <w:t xml:space="preserve">assessment of the </w:t>
      </w:r>
      <w:r>
        <w:rPr>
          <w:rFonts w:ascii="Times New Roman" w:eastAsia="Calibri" w:hAnsi="Times New Roman"/>
          <w:b/>
          <w:szCs w:val="24"/>
          <w:lang w:eastAsia="en-US"/>
        </w:rPr>
        <w:t>r</w:t>
      </w:r>
      <w:r w:rsidRPr="00983F45">
        <w:rPr>
          <w:rFonts w:ascii="Times New Roman" w:eastAsia="Calibri" w:hAnsi="Times New Roman"/>
          <w:b/>
          <w:szCs w:val="24"/>
          <w:lang w:eastAsia="en-US"/>
        </w:rPr>
        <w:t>esolution and requests made in it:</w:t>
      </w:r>
    </w:p>
    <w:p w:rsidR="00A6426D" w:rsidRDefault="00A6426D" w:rsidP="00A6426D">
      <w:pPr>
        <w:spacing w:after="120"/>
        <w:rPr>
          <w:rFonts w:ascii="Times New Roman" w:eastAsia="Calibri" w:hAnsi="Times New Roman"/>
          <w:szCs w:val="24"/>
          <w:lang w:eastAsia="en-US"/>
        </w:rPr>
      </w:pPr>
      <w:r w:rsidRPr="00EF3DC0">
        <w:rPr>
          <w:rFonts w:ascii="Times New Roman" w:eastAsia="Calibri" w:hAnsi="Times New Roman"/>
          <w:szCs w:val="24"/>
          <w:lang w:eastAsia="en-US"/>
        </w:rPr>
        <w:t xml:space="preserve">The resolution refers to the latest data and numbers of children arriving, living and </w:t>
      </w:r>
      <w:proofErr w:type="gramStart"/>
      <w:r w:rsidRPr="00EF3DC0">
        <w:rPr>
          <w:rFonts w:ascii="Times New Roman" w:eastAsia="Calibri" w:hAnsi="Times New Roman"/>
          <w:szCs w:val="24"/>
          <w:lang w:eastAsia="en-US"/>
        </w:rPr>
        <w:t xml:space="preserve">being </w:t>
      </w:r>
      <w:r w:rsidRPr="009A5CA5">
        <w:rPr>
          <w:rFonts w:ascii="Times New Roman" w:eastAsia="Calibri" w:hAnsi="Times New Roman"/>
          <w:szCs w:val="24"/>
          <w:lang w:eastAsia="en-US"/>
        </w:rPr>
        <w:t>detained</w:t>
      </w:r>
      <w:proofErr w:type="gramEnd"/>
      <w:r w:rsidRPr="009A5CA5">
        <w:rPr>
          <w:rFonts w:ascii="Times New Roman" w:eastAsia="Calibri" w:hAnsi="Times New Roman"/>
          <w:szCs w:val="24"/>
          <w:lang w:eastAsia="en-US"/>
        </w:rPr>
        <w:t xml:space="preserve"> in Member States. It points</w:t>
      </w:r>
      <w:r w:rsidRPr="00EF3DC0">
        <w:rPr>
          <w:rFonts w:ascii="Times New Roman" w:eastAsia="Calibri" w:hAnsi="Times New Roman"/>
          <w:szCs w:val="24"/>
          <w:lang w:eastAsia="en-US"/>
        </w:rPr>
        <w:t xml:space="preserve"> out to existing challenges (e.g. lack of child protection services, lack of reliable information, lengthy family reunification</w:t>
      </w:r>
      <w:r>
        <w:rPr>
          <w:rFonts w:ascii="Times New Roman" w:eastAsia="Calibri" w:hAnsi="Times New Roman"/>
          <w:szCs w:val="24"/>
          <w:lang w:eastAsia="en-US"/>
        </w:rPr>
        <w:t xml:space="preserve"> and </w:t>
      </w:r>
      <w:r w:rsidRPr="00EF3DC0">
        <w:rPr>
          <w:rFonts w:ascii="Times New Roman" w:eastAsia="Calibri" w:hAnsi="Times New Roman"/>
          <w:szCs w:val="24"/>
          <w:lang w:eastAsia="en-US"/>
        </w:rPr>
        <w:t xml:space="preserve">delays in accessing </w:t>
      </w:r>
      <w:r>
        <w:rPr>
          <w:rFonts w:ascii="Times New Roman" w:eastAsia="Calibri" w:hAnsi="Times New Roman"/>
          <w:szCs w:val="24"/>
          <w:lang w:eastAsia="en-US"/>
        </w:rPr>
        <w:t xml:space="preserve">the </w:t>
      </w:r>
      <w:r w:rsidRPr="00EF3DC0">
        <w:rPr>
          <w:rFonts w:ascii="Times New Roman" w:eastAsia="Calibri" w:hAnsi="Times New Roman"/>
          <w:szCs w:val="24"/>
          <w:lang w:eastAsia="en-US"/>
        </w:rPr>
        <w:t>formal education system)</w:t>
      </w:r>
      <w:r>
        <w:rPr>
          <w:rFonts w:ascii="Times New Roman" w:eastAsia="Calibri" w:hAnsi="Times New Roman"/>
          <w:szCs w:val="24"/>
          <w:lang w:eastAsia="en-US"/>
        </w:rPr>
        <w:t>,</w:t>
      </w:r>
      <w:r w:rsidRPr="00EF3DC0">
        <w:rPr>
          <w:rFonts w:ascii="Times New Roman" w:eastAsia="Calibri" w:hAnsi="Times New Roman"/>
          <w:szCs w:val="24"/>
          <w:lang w:eastAsia="en-US"/>
        </w:rPr>
        <w:t xml:space="preserve"> and stresses legal obligations to </w:t>
      </w:r>
      <w:proofErr w:type="gramStart"/>
      <w:r w:rsidRPr="00EF3DC0">
        <w:rPr>
          <w:rFonts w:ascii="Times New Roman" w:eastAsia="Calibri" w:hAnsi="Times New Roman"/>
          <w:szCs w:val="24"/>
          <w:lang w:eastAsia="en-US"/>
        </w:rPr>
        <w:t>give a primary consideration to</w:t>
      </w:r>
      <w:proofErr w:type="gramEnd"/>
      <w:r w:rsidRPr="00EF3DC0">
        <w:rPr>
          <w:rFonts w:ascii="Times New Roman" w:eastAsia="Calibri" w:hAnsi="Times New Roman"/>
          <w:szCs w:val="24"/>
          <w:lang w:eastAsia="en-US"/>
        </w:rPr>
        <w:t xml:space="preserve"> the best interests of the child in all actions affecting children.</w:t>
      </w:r>
    </w:p>
    <w:p w:rsidR="00A6426D" w:rsidRPr="00890BC3" w:rsidRDefault="00A6426D" w:rsidP="00A6426D">
      <w:pPr>
        <w:spacing w:after="120"/>
        <w:rPr>
          <w:rFonts w:ascii="Times New Roman" w:eastAsia="Calibri" w:hAnsi="Times New Roman"/>
          <w:szCs w:val="24"/>
          <w:lang w:val="en" w:eastAsia="en-US"/>
        </w:rPr>
      </w:pPr>
      <w:r w:rsidRPr="007D1850">
        <w:rPr>
          <w:rFonts w:ascii="Times New Roman" w:eastAsia="Calibri" w:hAnsi="Times New Roman"/>
          <w:szCs w:val="24"/>
          <w:lang w:eastAsia="en-US"/>
        </w:rPr>
        <w:t>The resolution underline</w:t>
      </w:r>
      <w:r>
        <w:rPr>
          <w:rFonts w:ascii="Times New Roman" w:eastAsia="Calibri" w:hAnsi="Times New Roman"/>
          <w:szCs w:val="24"/>
          <w:lang w:eastAsia="en-US"/>
        </w:rPr>
        <w:t>s</w:t>
      </w:r>
      <w:r w:rsidRPr="007D1850">
        <w:rPr>
          <w:rFonts w:ascii="Times New Roman" w:eastAsia="Calibri" w:hAnsi="Times New Roman"/>
          <w:szCs w:val="24"/>
          <w:lang w:eastAsia="en-US"/>
        </w:rPr>
        <w:t xml:space="preserve"> the fact that all children, irrespective of their migration or refugee status, are </w:t>
      </w:r>
      <w:proofErr w:type="gramStart"/>
      <w:r w:rsidRPr="007D1850">
        <w:rPr>
          <w:rFonts w:ascii="Times New Roman" w:eastAsia="Calibri" w:hAnsi="Times New Roman"/>
          <w:szCs w:val="24"/>
          <w:lang w:eastAsia="en-US"/>
        </w:rPr>
        <w:t>first and foremost</w:t>
      </w:r>
      <w:proofErr w:type="gramEnd"/>
      <w:r w:rsidRPr="007D1850">
        <w:rPr>
          <w:rFonts w:ascii="Times New Roman" w:eastAsia="Calibri" w:hAnsi="Times New Roman"/>
          <w:szCs w:val="24"/>
          <w:lang w:eastAsia="en-US"/>
        </w:rPr>
        <w:t xml:space="preserve"> entitled to all the rights enshrined in the UN Convention on the Rights of the Child.</w:t>
      </w:r>
      <w:r>
        <w:rPr>
          <w:rFonts w:ascii="Times New Roman" w:eastAsia="Calibri" w:hAnsi="Times New Roman"/>
          <w:szCs w:val="24"/>
          <w:lang w:eastAsia="en-US"/>
        </w:rPr>
        <w:t xml:space="preserve"> </w:t>
      </w:r>
      <w:r w:rsidRPr="007D1850">
        <w:rPr>
          <w:rFonts w:ascii="Times New Roman" w:eastAsia="Calibri" w:hAnsi="Times New Roman"/>
          <w:szCs w:val="24"/>
          <w:lang w:eastAsia="en-US"/>
        </w:rPr>
        <w:t xml:space="preserve">The Commission should assist Member States in adopting and properly implementing </w:t>
      </w:r>
      <w:r w:rsidRPr="00890BC3">
        <w:rPr>
          <w:rFonts w:ascii="Times New Roman" w:eastAsia="Calibri" w:hAnsi="Times New Roman"/>
          <w:szCs w:val="24"/>
          <w:lang w:eastAsia="en-US"/>
        </w:rPr>
        <w:t>a holistic rights-based approach in all child-related policies.</w:t>
      </w:r>
    </w:p>
    <w:p w:rsidR="00A6426D" w:rsidRPr="00890BC3" w:rsidRDefault="00A6426D" w:rsidP="00A6426D">
      <w:pPr>
        <w:shd w:val="clear" w:color="auto" w:fill="FBFBFB"/>
        <w:spacing w:after="120"/>
        <w:rPr>
          <w:rFonts w:ascii="Times New Roman" w:hAnsi="Times New Roman"/>
          <w:color w:val="000000"/>
          <w:szCs w:val="24"/>
          <w:lang w:val="en"/>
        </w:rPr>
      </w:pPr>
      <w:r w:rsidRPr="00890BC3">
        <w:rPr>
          <w:rFonts w:ascii="Times New Roman" w:hAnsi="Times New Roman"/>
          <w:color w:val="000000"/>
          <w:szCs w:val="24"/>
        </w:rPr>
        <w:t xml:space="preserve">The resolution also emphasised that </w:t>
      </w:r>
      <w:r w:rsidRPr="00230BBD">
        <w:rPr>
          <w:rFonts w:ascii="Times New Roman" w:hAnsi="Times New Roman"/>
          <w:bCs/>
          <w:color w:val="000000"/>
          <w:szCs w:val="24"/>
        </w:rPr>
        <w:t xml:space="preserve">children </w:t>
      </w:r>
      <w:proofErr w:type="gramStart"/>
      <w:r w:rsidRPr="00230BBD">
        <w:rPr>
          <w:rFonts w:ascii="Times New Roman" w:hAnsi="Times New Roman"/>
          <w:bCs/>
          <w:color w:val="000000"/>
          <w:szCs w:val="24"/>
        </w:rPr>
        <w:t>must not be detained</w:t>
      </w:r>
      <w:proofErr w:type="gramEnd"/>
      <w:r w:rsidRPr="00230BBD">
        <w:rPr>
          <w:rFonts w:ascii="Times New Roman" w:hAnsi="Times New Roman"/>
          <w:bCs/>
          <w:color w:val="000000"/>
          <w:szCs w:val="24"/>
        </w:rPr>
        <w:t xml:space="preserve"> for immigration purposes</w:t>
      </w:r>
      <w:r w:rsidRPr="00890BC3">
        <w:rPr>
          <w:rFonts w:ascii="Times New Roman" w:hAnsi="Times New Roman"/>
          <w:color w:val="000000"/>
          <w:szCs w:val="24"/>
        </w:rPr>
        <w:t xml:space="preserve">, </w:t>
      </w:r>
      <w:r>
        <w:rPr>
          <w:rFonts w:ascii="Times New Roman" w:hAnsi="Times New Roman"/>
          <w:color w:val="000000"/>
          <w:szCs w:val="24"/>
        </w:rPr>
        <w:t xml:space="preserve">and </w:t>
      </w:r>
      <w:r w:rsidRPr="00890BC3">
        <w:rPr>
          <w:rFonts w:ascii="Times New Roman" w:hAnsi="Times New Roman"/>
          <w:color w:val="000000"/>
          <w:szCs w:val="24"/>
        </w:rPr>
        <w:t xml:space="preserve">Member States are called on to accommodate all children and families with children in non-custodial, community-based placements while their immigration status is processed. Unaccompanied children </w:t>
      </w:r>
      <w:proofErr w:type="gramStart"/>
      <w:r w:rsidRPr="00890BC3">
        <w:rPr>
          <w:rFonts w:ascii="Times New Roman" w:hAnsi="Times New Roman"/>
          <w:color w:val="000000"/>
          <w:szCs w:val="24"/>
        </w:rPr>
        <w:t>should be hosted</w:t>
      </w:r>
      <w:proofErr w:type="gramEnd"/>
      <w:r w:rsidRPr="00890BC3">
        <w:rPr>
          <w:rFonts w:ascii="Times New Roman" w:hAnsi="Times New Roman"/>
          <w:color w:val="000000"/>
          <w:szCs w:val="24"/>
        </w:rPr>
        <w:t xml:space="preserve"> in </w:t>
      </w:r>
      <w:r w:rsidRPr="00230BBD">
        <w:rPr>
          <w:rFonts w:ascii="Times New Roman" w:hAnsi="Times New Roman"/>
          <w:bCs/>
          <w:color w:val="000000"/>
          <w:szCs w:val="24"/>
        </w:rPr>
        <w:t>separate facilities from adults</w:t>
      </w:r>
      <w:r w:rsidRPr="00890BC3">
        <w:rPr>
          <w:rFonts w:ascii="Times New Roman" w:hAnsi="Times New Roman"/>
          <w:color w:val="000000"/>
          <w:szCs w:val="24"/>
        </w:rPr>
        <w:t xml:space="preserve"> in order to avoid any risk of violence and sexual abuse.</w:t>
      </w:r>
    </w:p>
    <w:p w:rsidR="00A6426D" w:rsidRPr="00890BC3" w:rsidRDefault="00A6426D" w:rsidP="00A6426D">
      <w:pPr>
        <w:shd w:val="clear" w:color="auto" w:fill="FBFBFB"/>
        <w:spacing w:before="195" w:after="120"/>
        <w:rPr>
          <w:rFonts w:ascii="Times New Roman" w:hAnsi="Times New Roman"/>
          <w:color w:val="000000"/>
          <w:szCs w:val="24"/>
          <w:lang w:val="en"/>
        </w:rPr>
      </w:pPr>
      <w:r w:rsidRPr="00890BC3">
        <w:rPr>
          <w:rFonts w:ascii="Times New Roman" w:hAnsi="Times New Roman"/>
          <w:color w:val="000000"/>
          <w:szCs w:val="24"/>
        </w:rPr>
        <w:t xml:space="preserve">Members also stress that the creation of </w:t>
      </w:r>
      <w:r w:rsidRPr="00230BBD">
        <w:rPr>
          <w:rFonts w:ascii="Times New Roman" w:hAnsi="Times New Roman"/>
          <w:bCs/>
          <w:color w:val="000000"/>
          <w:szCs w:val="24"/>
        </w:rPr>
        <w:t>new safe and legal routes</w:t>
      </w:r>
      <w:r w:rsidRPr="00890BC3">
        <w:rPr>
          <w:rFonts w:ascii="Times New Roman" w:hAnsi="Times New Roman"/>
          <w:color w:val="000000"/>
          <w:szCs w:val="24"/>
        </w:rPr>
        <w:t xml:space="preserve"> would enable the Union and the Member States </w:t>
      </w:r>
      <w:proofErr w:type="gramStart"/>
      <w:r w:rsidRPr="00890BC3">
        <w:rPr>
          <w:rFonts w:ascii="Times New Roman" w:hAnsi="Times New Roman"/>
          <w:color w:val="000000"/>
          <w:szCs w:val="24"/>
        </w:rPr>
        <w:t>to better address</w:t>
      </w:r>
      <w:proofErr w:type="gramEnd"/>
      <w:r w:rsidRPr="00890BC3">
        <w:rPr>
          <w:rFonts w:ascii="Times New Roman" w:hAnsi="Times New Roman"/>
          <w:color w:val="000000"/>
          <w:szCs w:val="24"/>
        </w:rPr>
        <w:t xml:space="preserve"> protection needs, particularly for children, and to undermine the business model of smugglers.</w:t>
      </w:r>
    </w:p>
    <w:p w:rsidR="00A6426D" w:rsidRPr="00B847DC" w:rsidRDefault="00A6426D" w:rsidP="00A6426D">
      <w:pPr>
        <w:shd w:val="clear" w:color="auto" w:fill="FBFBFB"/>
        <w:spacing w:before="195" w:after="120"/>
        <w:rPr>
          <w:rFonts w:ascii="Times New Roman" w:hAnsi="Times New Roman"/>
          <w:color w:val="000000"/>
          <w:szCs w:val="24"/>
          <w:lang w:val="en"/>
        </w:rPr>
      </w:pPr>
      <w:r w:rsidRPr="00890BC3">
        <w:rPr>
          <w:rFonts w:ascii="Times New Roman" w:hAnsi="Times New Roman"/>
          <w:color w:val="000000"/>
          <w:szCs w:val="24"/>
          <w:lang w:val="en"/>
        </w:rPr>
        <w:t xml:space="preserve">The resolution also </w:t>
      </w:r>
      <w:r w:rsidRPr="00890BC3">
        <w:rPr>
          <w:rFonts w:ascii="Times New Roman" w:hAnsi="Times New Roman"/>
          <w:color w:val="000000"/>
          <w:szCs w:val="24"/>
        </w:rPr>
        <w:t xml:space="preserve">underlines the importance of establishing a </w:t>
      </w:r>
      <w:r w:rsidRPr="00230BBD">
        <w:rPr>
          <w:rFonts w:ascii="Times New Roman" w:hAnsi="Times New Roman"/>
          <w:bCs/>
          <w:color w:val="000000"/>
          <w:szCs w:val="24"/>
        </w:rPr>
        <w:t>robust identification and registration system</w:t>
      </w:r>
      <w:r w:rsidRPr="00890BC3">
        <w:rPr>
          <w:rFonts w:ascii="Times New Roman" w:hAnsi="Times New Roman"/>
          <w:color w:val="000000"/>
          <w:szCs w:val="24"/>
        </w:rPr>
        <w:t xml:space="preserve"> based on the best interests of the child, in order to ensure that children enter and stay in national protection systems, with a child-focused approach throughout the entire procedure. Member States shall </w:t>
      </w:r>
      <w:r w:rsidRPr="00230BBD">
        <w:rPr>
          <w:rFonts w:ascii="Times New Roman" w:hAnsi="Times New Roman"/>
          <w:bCs/>
          <w:color w:val="000000"/>
          <w:szCs w:val="24"/>
        </w:rPr>
        <w:t>not use coercion</w:t>
      </w:r>
      <w:r w:rsidRPr="00890BC3">
        <w:rPr>
          <w:rFonts w:ascii="Times New Roman" w:hAnsi="Times New Roman"/>
          <w:color w:val="000000"/>
          <w:szCs w:val="24"/>
        </w:rPr>
        <w:t xml:space="preserve"> for the purposes of taking children’s biometric data and they shall ensure that </w:t>
      </w:r>
      <w:proofErr w:type="gramStart"/>
      <w:r w:rsidRPr="00890BC3">
        <w:rPr>
          <w:rFonts w:ascii="Times New Roman" w:hAnsi="Times New Roman"/>
          <w:color w:val="000000"/>
          <w:szCs w:val="24"/>
        </w:rPr>
        <w:t>all actors working with</w:t>
      </w:r>
      <w:r w:rsidRPr="00B847DC">
        <w:rPr>
          <w:rFonts w:ascii="Times New Roman" w:hAnsi="Times New Roman"/>
          <w:color w:val="000000"/>
          <w:szCs w:val="24"/>
        </w:rPr>
        <w:t xml:space="preserve"> children must not</w:t>
      </w:r>
      <w:proofErr w:type="gramEnd"/>
      <w:r w:rsidRPr="00B847DC">
        <w:rPr>
          <w:rFonts w:ascii="Times New Roman" w:hAnsi="Times New Roman"/>
          <w:color w:val="000000"/>
          <w:szCs w:val="24"/>
        </w:rPr>
        <w:t xml:space="preserve"> have a verified criminal record, especially with regard to any child-related crimes or offences.</w:t>
      </w:r>
    </w:p>
    <w:p w:rsidR="00A6426D" w:rsidRDefault="00A6426D" w:rsidP="00A6426D">
      <w:pPr>
        <w:keepNext/>
        <w:keepLines/>
        <w:spacing w:before="240"/>
        <w:ind w:left="567" w:hanging="567"/>
        <w:rPr>
          <w:rFonts w:ascii="Times New Roman" w:eastAsia="Calibri" w:hAnsi="Times New Roman"/>
          <w:b/>
          <w:szCs w:val="24"/>
          <w:lang w:eastAsia="en-US"/>
        </w:rPr>
      </w:pPr>
      <w:r>
        <w:rPr>
          <w:rFonts w:ascii="Times New Roman" w:eastAsia="Calibri" w:hAnsi="Times New Roman"/>
          <w:b/>
          <w:szCs w:val="24"/>
          <w:lang w:eastAsia="en-US"/>
        </w:rPr>
        <w:lastRenderedPageBreak/>
        <w:t>7.</w:t>
      </w:r>
      <w:r>
        <w:rPr>
          <w:rFonts w:ascii="Times New Roman" w:eastAsia="Calibri" w:hAnsi="Times New Roman"/>
          <w:b/>
          <w:szCs w:val="24"/>
          <w:lang w:eastAsia="en-US"/>
        </w:rPr>
        <w:tab/>
      </w:r>
      <w:r w:rsidRPr="00983F45">
        <w:rPr>
          <w:rFonts w:ascii="Times New Roman" w:eastAsia="Calibri" w:hAnsi="Times New Roman"/>
          <w:b/>
          <w:szCs w:val="24"/>
          <w:lang w:eastAsia="en-US"/>
        </w:rPr>
        <w:t xml:space="preserve">Response to requests and overview of action taken, or </w:t>
      </w:r>
      <w:proofErr w:type="gramStart"/>
      <w:r w:rsidRPr="00983F45">
        <w:rPr>
          <w:rFonts w:ascii="Times New Roman" w:eastAsia="Calibri" w:hAnsi="Times New Roman"/>
          <w:b/>
          <w:szCs w:val="24"/>
          <w:lang w:eastAsia="en-US"/>
        </w:rPr>
        <w:t>intended to be taken</w:t>
      </w:r>
      <w:proofErr w:type="gramEnd"/>
      <w:r w:rsidRPr="00983F45">
        <w:rPr>
          <w:rFonts w:ascii="Times New Roman" w:eastAsia="Calibri" w:hAnsi="Times New Roman"/>
          <w:b/>
          <w:szCs w:val="24"/>
          <w:lang w:eastAsia="en-US"/>
        </w:rPr>
        <w:t>, by the Commission:</w:t>
      </w:r>
    </w:p>
    <w:p w:rsidR="00A6426D" w:rsidRDefault="00A6426D" w:rsidP="00A6426D">
      <w:pPr>
        <w:keepNext/>
        <w:keepLines/>
        <w:spacing w:after="120"/>
        <w:rPr>
          <w:rFonts w:ascii="Times New Roman" w:eastAsia="Calibri" w:hAnsi="Times New Roman"/>
          <w:szCs w:val="24"/>
          <w:lang w:eastAsia="en-US"/>
        </w:rPr>
      </w:pPr>
      <w:r w:rsidRPr="001D4DAE">
        <w:rPr>
          <w:rFonts w:ascii="Times New Roman" w:eastAsia="Calibri" w:hAnsi="Times New Roman"/>
          <w:b/>
          <w:szCs w:val="24"/>
          <w:lang w:eastAsia="en-US"/>
        </w:rPr>
        <w:t>Paragraph 2</w:t>
      </w:r>
      <w:r w:rsidRPr="00230BBD">
        <w:rPr>
          <w:rFonts w:ascii="Times New Roman" w:eastAsia="Calibri" w:hAnsi="Times New Roman"/>
          <w:b/>
          <w:szCs w:val="24"/>
          <w:lang w:eastAsia="en-US"/>
        </w:rPr>
        <w:t>:</w:t>
      </w:r>
    </w:p>
    <w:p w:rsidR="00A6426D" w:rsidRPr="00854679" w:rsidRDefault="00A6426D" w:rsidP="00A6426D">
      <w:pPr>
        <w:spacing w:after="120"/>
        <w:rPr>
          <w:rFonts w:ascii="Times New Roman" w:eastAsia="Calibri" w:hAnsi="Times New Roman"/>
          <w:szCs w:val="24"/>
          <w:lang w:eastAsia="en-US"/>
        </w:rPr>
      </w:pPr>
      <w:r w:rsidRPr="00E53439">
        <w:rPr>
          <w:rFonts w:ascii="Times New Roman" w:eastAsia="Calibri" w:hAnsi="Times New Roman"/>
          <w:szCs w:val="24"/>
          <w:lang w:eastAsia="en-US"/>
        </w:rPr>
        <w:t xml:space="preserve">This is </w:t>
      </w:r>
      <w:r>
        <w:rPr>
          <w:rFonts w:ascii="Times New Roman" w:eastAsia="Calibri" w:hAnsi="Times New Roman"/>
          <w:szCs w:val="24"/>
          <w:lang w:eastAsia="en-US"/>
        </w:rPr>
        <w:t xml:space="preserve">in line with the </w:t>
      </w:r>
      <w:r w:rsidRPr="00854679">
        <w:rPr>
          <w:rFonts w:ascii="Times New Roman" w:eastAsia="Calibri" w:hAnsi="Times New Roman"/>
          <w:szCs w:val="24"/>
          <w:lang w:eastAsia="en-US"/>
        </w:rPr>
        <w:t xml:space="preserve">Communication on the </w:t>
      </w:r>
      <w:r>
        <w:rPr>
          <w:rFonts w:ascii="Times New Roman" w:eastAsia="Calibri" w:hAnsi="Times New Roman"/>
          <w:szCs w:val="24"/>
          <w:lang w:eastAsia="en-US"/>
        </w:rPr>
        <w:t>p</w:t>
      </w:r>
      <w:r w:rsidRPr="00854679">
        <w:rPr>
          <w:rFonts w:ascii="Times New Roman" w:eastAsia="Calibri" w:hAnsi="Times New Roman"/>
          <w:szCs w:val="24"/>
          <w:lang w:eastAsia="en-US"/>
        </w:rPr>
        <w:t xml:space="preserve">rotection of </w:t>
      </w:r>
      <w:r>
        <w:rPr>
          <w:rFonts w:ascii="Times New Roman" w:eastAsia="Calibri" w:hAnsi="Times New Roman"/>
          <w:szCs w:val="24"/>
          <w:lang w:eastAsia="en-US"/>
        </w:rPr>
        <w:t>c</w:t>
      </w:r>
      <w:r w:rsidRPr="00854679">
        <w:rPr>
          <w:rFonts w:ascii="Times New Roman" w:eastAsia="Calibri" w:hAnsi="Times New Roman"/>
          <w:szCs w:val="24"/>
          <w:lang w:eastAsia="en-US"/>
        </w:rPr>
        <w:t xml:space="preserve">hildren in </w:t>
      </w:r>
      <w:r>
        <w:rPr>
          <w:rFonts w:ascii="Times New Roman" w:eastAsia="Calibri" w:hAnsi="Times New Roman"/>
          <w:szCs w:val="24"/>
          <w:lang w:eastAsia="en-US"/>
        </w:rPr>
        <w:t>m</w:t>
      </w:r>
      <w:r w:rsidRPr="00854679">
        <w:rPr>
          <w:rFonts w:ascii="Times New Roman" w:eastAsia="Calibri" w:hAnsi="Times New Roman"/>
          <w:szCs w:val="24"/>
          <w:lang w:eastAsia="en-US"/>
        </w:rPr>
        <w:t>igration</w:t>
      </w:r>
      <w:r>
        <w:rPr>
          <w:rFonts w:ascii="Times New Roman" w:eastAsia="Calibri" w:hAnsi="Times New Roman"/>
          <w:szCs w:val="24"/>
          <w:lang w:eastAsia="en-US"/>
        </w:rPr>
        <w:t xml:space="preserve"> of 12 April 2017</w:t>
      </w:r>
      <w:r w:rsidRPr="00854679">
        <w:rPr>
          <w:rFonts w:ascii="Times New Roman" w:eastAsia="Calibri" w:hAnsi="Times New Roman"/>
          <w:szCs w:val="24"/>
          <w:vertAlign w:val="superscript"/>
          <w:lang w:eastAsia="en-US"/>
        </w:rPr>
        <w:footnoteReference w:id="1"/>
      </w:r>
      <w:r>
        <w:rPr>
          <w:rFonts w:ascii="Times New Roman" w:eastAsia="Calibri" w:hAnsi="Times New Roman"/>
          <w:szCs w:val="24"/>
          <w:lang w:eastAsia="en-US"/>
        </w:rPr>
        <w:t xml:space="preserve">, which calls for </w:t>
      </w:r>
      <w:r w:rsidRPr="002E5073">
        <w:rPr>
          <w:rFonts w:ascii="Times New Roman" w:eastAsia="Calibri" w:hAnsi="Times New Roman"/>
          <w:szCs w:val="24"/>
          <w:lang w:eastAsia="en-US"/>
        </w:rPr>
        <w:t>a comprehensive</w:t>
      </w:r>
      <w:r>
        <w:rPr>
          <w:rFonts w:ascii="Times New Roman" w:eastAsia="Calibri" w:hAnsi="Times New Roman"/>
          <w:szCs w:val="24"/>
          <w:lang w:eastAsia="en-US"/>
        </w:rPr>
        <w:t xml:space="preserve"> approach to ensure effective protection of children in migration irrespective of their status, with a focus on strengthening cross-border cooperation. The Communication contains a set of actions addressed to Member States and underlines that while Member States remain at the forefront in taking adequate measures to protect the rights of children in migration, the Commission and the relevant EU agencies will offer support. Progress on the actions set out in the Communication </w:t>
      </w:r>
      <w:proofErr w:type="gramStart"/>
      <w:r>
        <w:rPr>
          <w:rFonts w:ascii="Times New Roman" w:eastAsia="Calibri" w:hAnsi="Times New Roman"/>
          <w:szCs w:val="24"/>
          <w:lang w:eastAsia="en-US"/>
        </w:rPr>
        <w:t>is regularly monitored</w:t>
      </w:r>
      <w:proofErr w:type="gramEnd"/>
      <w:r>
        <w:rPr>
          <w:rStyle w:val="FootnoteReference"/>
          <w:rFonts w:ascii="Times New Roman" w:eastAsia="Calibri" w:hAnsi="Times New Roman"/>
          <w:szCs w:val="24"/>
          <w:lang w:eastAsia="en-US"/>
        </w:rPr>
        <w:footnoteReference w:id="2"/>
      </w:r>
      <w:r>
        <w:rPr>
          <w:rFonts w:ascii="Times New Roman" w:eastAsia="Calibri" w:hAnsi="Times New Roman"/>
          <w:szCs w:val="24"/>
          <w:lang w:eastAsia="en-US"/>
        </w:rPr>
        <w:t>.</w:t>
      </w:r>
    </w:p>
    <w:p w:rsidR="00A6426D" w:rsidRDefault="00A6426D" w:rsidP="00A6426D">
      <w:pPr>
        <w:spacing w:after="120"/>
        <w:rPr>
          <w:rFonts w:ascii="Times New Roman" w:eastAsia="Calibri" w:hAnsi="Times New Roman"/>
          <w:szCs w:val="24"/>
          <w:lang w:eastAsia="en-US"/>
        </w:rPr>
      </w:pPr>
      <w:r w:rsidRPr="00E53439">
        <w:rPr>
          <w:rFonts w:ascii="Times New Roman" w:eastAsia="Calibri" w:hAnsi="Times New Roman"/>
          <w:b/>
          <w:szCs w:val="24"/>
          <w:lang w:eastAsia="en-US"/>
        </w:rPr>
        <w:t>Paragraph 5</w:t>
      </w:r>
      <w:r w:rsidRPr="00230BBD">
        <w:rPr>
          <w:rFonts w:ascii="Times New Roman" w:eastAsia="Calibri" w:hAnsi="Times New Roman"/>
          <w:b/>
          <w:szCs w:val="24"/>
          <w:lang w:eastAsia="en-US"/>
        </w:rPr>
        <w:t>:</w:t>
      </w:r>
    </w:p>
    <w:p w:rsidR="00A6426D" w:rsidRPr="001945F1" w:rsidRDefault="00A6426D" w:rsidP="00A6426D">
      <w:pPr>
        <w:spacing w:after="120"/>
        <w:rPr>
          <w:rFonts w:ascii="Times New Roman" w:eastAsia="Calibri" w:hAnsi="Times New Roman"/>
          <w:szCs w:val="24"/>
          <w:lang w:eastAsia="en-US"/>
        </w:rPr>
      </w:pPr>
      <w:r>
        <w:rPr>
          <w:rFonts w:ascii="Times New Roman" w:eastAsia="Calibri" w:hAnsi="Times New Roman"/>
          <w:szCs w:val="24"/>
          <w:lang w:eastAsia="en-US"/>
        </w:rPr>
        <w:t xml:space="preserve">As expressed in the Commission's Communication on the protection of the children in migration of 12 April 2017, Member States </w:t>
      </w:r>
      <w:r w:rsidRPr="00F37F25">
        <w:rPr>
          <w:rFonts w:ascii="Times New Roman" w:eastAsia="Calibri" w:hAnsi="Times New Roman"/>
          <w:szCs w:val="24"/>
          <w:lang w:eastAsia="en-US"/>
        </w:rPr>
        <w:t>are obliged</w:t>
      </w:r>
      <w:r>
        <w:rPr>
          <w:rFonts w:ascii="Times New Roman" w:eastAsia="Calibri" w:hAnsi="Times New Roman"/>
          <w:szCs w:val="24"/>
          <w:lang w:eastAsia="en-US"/>
        </w:rPr>
        <w:t xml:space="preserve"> </w:t>
      </w:r>
      <w:r w:rsidRPr="00F37F25">
        <w:rPr>
          <w:rFonts w:ascii="Times New Roman" w:eastAsia="Calibri" w:hAnsi="Times New Roman"/>
          <w:szCs w:val="24"/>
          <w:lang w:eastAsia="en-US"/>
        </w:rPr>
        <w:t>to provid</w:t>
      </w:r>
      <w:r>
        <w:rPr>
          <w:rFonts w:ascii="Times New Roman" w:eastAsia="Calibri" w:hAnsi="Times New Roman"/>
          <w:szCs w:val="24"/>
          <w:lang w:eastAsia="en-US"/>
        </w:rPr>
        <w:t xml:space="preserve">e child-friendly, adequate, age and context appropriate information material to children, which is in line with Member States' obligations under EU asylum law (Article 8 of the Asylum Procedure Directive). The </w:t>
      </w:r>
      <w:r w:rsidRPr="00AB00DE">
        <w:rPr>
          <w:rFonts w:ascii="Times New Roman" w:eastAsia="Calibri" w:hAnsi="Times New Roman"/>
          <w:szCs w:val="24"/>
          <w:lang w:eastAsia="en-US"/>
        </w:rPr>
        <w:t xml:space="preserve">European Asylum Support Office </w:t>
      </w:r>
      <w:r>
        <w:rPr>
          <w:rFonts w:ascii="Times New Roman" w:eastAsia="Calibri" w:hAnsi="Times New Roman"/>
          <w:szCs w:val="24"/>
          <w:lang w:eastAsia="en-US"/>
        </w:rPr>
        <w:t>(</w:t>
      </w:r>
      <w:r w:rsidRPr="001945F1">
        <w:rPr>
          <w:rFonts w:ascii="Times New Roman" w:eastAsia="Calibri" w:hAnsi="Times New Roman"/>
          <w:szCs w:val="24"/>
          <w:lang w:eastAsia="en-US"/>
        </w:rPr>
        <w:t>EASO</w:t>
      </w:r>
      <w:r>
        <w:rPr>
          <w:rFonts w:ascii="Times New Roman" w:eastAsia="Calibri" w:hAnsi="Times New Roman"/>
          <w:szCs w:val="24"/>
          <w:lang w:eastAsia="en-US"/>
        </w:rPr>
        <w:t>)</w:t>
      </w:r>
      <w:r w:rsidRPr="001945F1">
        <w:rPr>
          <w:rFonts w:ascii="Times New Roman" w:eastAsia="Calibri" w:hAnsi="Times New Roman"/>
          <w:szCs w:val="24"/>
          <w:lang w:eastAsia="en-US"/>
        </w:rPr>
        <w:t xml:space="preserve"> already assisted the Italian authorities in this regard and is </w:t>
      </w:r>
      <w:r>
        <w:rPr>
          <w:rFonts w:ascii="Times New Roman" w:eastAsia="Calibri" w:hAnsi="Times New Roman"/>
          <w:szCs w:val="24"/>
          <w:lang w:eastAsia="en-US"/>
        </w:rPr>
        <w:t xml:space="preserve">currently </w:t>
      </w:r>
      <w:r w:rsidRPr="001945F1">
        <w:rPr>
          <w:rFonts w:ascii="Times New Roman" w:eastAsia="Calibri" w:hAnsi="Times New Roman"/>
          <w:szCs w:val="24"/>
          <w:lang w:eastAsia="en-US"/>
        </w:rPr>
        <w:t xml:space="preserve">working on guidance on </w:t>
      </w:r>
      <w:r>
        <w:rPr>
          <w:rFonts w:ascii="Times New Roman" w:eastAsia="Calibri" w:hAnsi="Times New Roman"/>
          <w:szCs w:val="24"/>
          <w:lang w:eastAsia="en-US"/>
        </w:rPr>
        <w:t xml:space="preserve">operational </w:t>
      </w:r>
      <w:r w:rsidRPr="001945F1">
        <w:rPr>
          <w:rFonts w:ascii="Times New Roman" w:eastAsia="Calibri" w:hAnsi="Times New Roman"/>
          <w:szCs w:val="24"/>
          <w:lang w:eastAsia="en-US"/>
        </w:rPr>
        <w:t>standards</w:t>
      </w:r>
      <w:r>
        <w:rPr>
          <w:rFonts w:ascii="Times New Roman" w:eastAsia="Calibri" w:hAnsi="Times New Roman"/>
          <w:szCs w:val="24"/>
          <w:lang w:eastAsia="en-US"/>
        </w:rPr>
        <w:t xml:space="preserve"> and indicators</w:t>
      </w:r>
      <w:r w:rsidRPr="001945F1">
        <w:rPr>
          <w:rFonts w:ascii="Times New Roman" w:eastAsia="Calibri" w:hAnsi="Times New Roman"/>
          <w:szCs w:val="24"/>
          <w:lang w:eastAsia="en-US"/>
        </w:rPr>
        <w:t xml:space="preserve"> on reception conditions for unaccompanied children</w:t>
      </w:r>
      <w:r>
        <w:rPr>
          <w:rFonts w:ascii="Times New Roman" w:eastAsia="Calibri" w:hAnsi="Times New Roman"/>
          <w:szCs w:val="24"/>
          <w:lang w:eastAsia="en-US"/>
        </w:rPr>
        <w:t>.</w:t>
      </w:r>
    </w:p>
    <w:p w:rsidR="00A6426D" w:rsidRDefault="00A6426D" w:rsidP="00A6426D">
      <w:pPr>
        <w:spacing w:after="120"/>
        <w:rPr>
          <w:rFonts w:ascii="Times New Roman" w:eastAsia="Calibri" w:hAnsi="Times New Roman"/>
          <w:szCs w:val="24"/>
          <w:lang w:eastAsia="en-US"/>
        </w:rPr>
      </w:pPr>
      <w:r w:rsidRPr="00B23984">
        <w:rPr>
          <w:rFonts w:ascii="Times New Roman" w:eastAsia="Calibri" w:hAnsi="Times New Roman"/>
          <w:b/>
          <w:szCs w:val="24"/>
          <w:lang w:eastAsia="en-US"/>
        </w:rPr>
        <w:t>Paragraph 10</w:t>
      </w:r>
      <w:r w:rsidRPr="00230BBD">
        <w:rPr>
          <w:rFonts w:ascii="Times New Roman" w:eastAsia="Calibri" w:hAnsi="Times New Roman"/>
          <w:b/>
          <w:szCs w:val="24"/>
          <w:lang w:eastAsia="en-US"/>
        </w:rPr>
        <w:t>:</w:t>
      </w:r>
    </w:p>
    <w:p w:rsidR="00A6426D" w:rsidRDefault="00A6426D" w:rsidP="00A6426D">
      <w:pPr>
        <w:spacing w:after="120"/>
        <w:rPr>
          <w:rFonts w:ascii="Times New Roman" w:eastAsia="Calibri" w:hAnsi="Times New Roman"/>
          <w:szCs w:val="24"/>
          <w:lang w:eastAsia="en-US"/>
        </w:rPr>
      </w:pPr>
      <w:r>
        <w:rPr>
          <w:rFonts w:ascii="Times New Roman" w:eastAsia="Calibri" w:hAnsi="Times New Roman"/>
          <w:szCs w:val="24"/>
          <w:lang w:eastAsia="en-US"/>
        </w:rPr>
        <w:t>As stated in the last report on the implementation of the European Agenda on migration</w:t>
      </w:r>
      <w:r>
        <w:rPr>
          <w:rStyle w:val="FootnoteReference"/>
          <w:rFonts w:ascii="Times New Roman" w:eastAsia="Calibri" w:hAnsi="Times New Roman"/>
          <w:szCs w:val="24"/>
          <w:lang w:eastAsia="en-US"/>
        </w:rPr>
        <w:footnoteReference w:id="3"/>
      </w:r>
      <w:r>
        <w:rPr>
          <w:rFonts w:ascii="Times New Roman" w:eastAsia="Calibri" w:hAnsi="Times New Roman"/>
          <w:szCs w:val="24"/>
          <w:lang w:eastAsia="en-US"/>
        </w:rPr>
        <w:t xml:space="preserve"> b</w:t>
      </w:r>
      <w:r w:rsidRPr="004B48D8">
        <w:rPr>
          <w:rFonts w:ascii="Times New Roman" w:eastAsia="Calibri" w:hAnsi="Times New Roman"/>
          <w:szCs w:val="24"/>
          <w:lang w:eastAsia="en-US"/>
        </w:rPr>
        <w:t xml:space="preserve">y the end of March 2018, all eligible applicants </w:t>
      </w:r>
      <w:proofErr w:type="gramStart"/>
      <w:r w:rsidRPr="004B48D8">
        <w:rPr>
          <w:rFonts w:ascii="Times New Roman" w:eastAsia="Calibri" w:hAnsi="Times New Roman"/>
          <w:szCs w:val="24"/>
          <w:lang w:eastAsia="en-US"/>
        </w:rPr>
        <w:t>had been relocated</w:t>
      </w:r>
      <w:proofErr w:type="gramEnd"/>
      <w:r w:rsidRPr="004B48D8">
        <w:rPr>
          <w:rFonts w:ascii="Times New Roman" w:eastAsia="Calibri" w:hAnsi="Times New Roman"/>
          <w:szCs w:val="24"/>
          <w:lang w:eastAsia="en-US"/>
        </w:rPr>
        <w:t xml:space="preserve"> from Greece to other Member States, in total 21</w:t>
      </w:r>
      <w:r>
        <w:rPr>
          <w:rFonts w:ascii="Times New Roman" w:eastAsia="Calibri" w:hAnsi="Times New Roman"/>
          <w:szCs w:val="24"/>
          <w:lang w:eastAsia="en-US"/>
        </w:rPr>
        <w:t>,</w:t>
      </w:r>
      <w:r w:rsidRPr="004B48D8">
        <w:rPr>
          <w:rFonts w:ascii="Times New Roman" w:eastAsia="Calibri" w:hAnsi="Times New Roman"/>
          <w:szCs w:val="24"/>
          <w:lang w:eastAsia="en-US"/>
        </w:rPr>
        <w:t>999 persons, including 546 unaccompanied minors to 24 countries. From Italy, as of 7 May 2018, 12</w:t>
      </w:r>
      <w:r>
        <w:rPr>
          <w:rFonts w:ascii="Times New Roman" w:eastAsia="Calibri" w:hAnsi="Times New Roman"/>
          <w:szCs w:val="24"/>
          <w:lang w:eastAsia="en-US"/>
        </w:rPr>
        <w:t>,</w:t>
      </w:r>
      <w:r w:rsidRPr="004B48D8">
        <w:rPr>
          <w:rFonts w:ascii="Times New Roman" w:eastAsia="Calibri" w:hAnsi="Times New Roman"/>
          <w:szCs w:val="24"/>
          <w:lang w:eastAsia="en-US"/>
        </w:rPr>
        <w:t xml:space="preserve">691 people have been relocated (including 256 unaccompanied minors), with 31 applicants (including 26 unaccompanied minors) already accepted for relocation, waiting to be transferred. Four relocation requests for unaccompanied minors </w:t>
      </w:r>
      <w:proofErr w:type="gramStart"/>
      <w:r w:rsidRPr="004B48D8">
        <w:rPr>
          <w:rFonts w:ascii="Times New Roman" w:eastAsia="Calibri" w:hAnsi="Times New Roman"/>
          <w:szCs w:val="24"/>
          <w:lang w:eastAsia="en-US"/>
        </w:rPr>
        <w:t>have been sent</w:t>
      </w:r>
      <w:proofErr w:type="gramEnd"/>
      <w:r w:rsidRPr="004B48D8">
        <w:rPr>
          <w:rFonts w:ascii="Times New Roman" w:eastAsia="Calibri" w:hAnsi="Times New Roman"/>
          <w:szCs w:val="24"/>
          <w:lang w:eastAsia="en-US"/>
        </w:rPr>
        <w:t xml:space="preserve"> by Italy and have not yet been answered. Relocation has been a success, with overall 96% of eligible persons </w:t>
      </w:r>
      <w:proofErr w:type="gramStart"/>
      <w:r w:rsidRPr="004B48D8">
        <w:rPr>
          <w:rFonts w:ascii="Times New Roman" w:eastAsia="Calibri" w:hAnsi="Times New Roman"/>
          <w:szCs w:val="24"/>
          <w:lang w:eastAsia="en-US"/>
        </w:rPr>
        <w:t>having been relocated</w:t>
      </w:r>
      <w:proofErr w:type="gramEnd"/>
      <w:r w:rsidRPr="004B48D8">
        <w:rPr>
          <w:rFonts w:ascii="Times New Roman" w:eastAsia="Calibri" w:hAnsi="Times New Roman"/>
          <w:szCs w:val="24"/>
          <w:lang w:eastAsia="en-US"/>
        </w:rPr>
        <w:t>.</w:t>
      </w:r>
    </w:p>
    <w:p w:rsidR="00A6426D" w:rsidRDefault="00A6426D" w:rsidP="00A6426D">
      <w:pPr>
        <w:spacing w:after="120"/>
        <w:rPr>
          <w:rFonts w:ascii="Times New Roman" w:eastAsia="Calibri" w:hAnsi="Times New Roman"/>
          <w:szCs w:val="24"/>
          <w:lang w:eastAsia="en-US"/>
        </w:rPr>
      </w:pPr>
      <w:r>
        <w:rPr>
          <w:rFonts w:ascii="Times New Roman" w:eastAsia="Calibri" w:hAnsi="Times New Roman"/>
          <w:szCs w:val="24"/>
          <w:lang w:eastAsia="en-US"/>
        </w:rPr>
        <w:t>In the Communication on the</w:t>
      </w:r>
      <w:r w:rsidRPr="00C85DCA">
        <w:rPr>
          <w:rFonts w:ascii="Times New Roman" w:eastAsia="Calibri" w:hAnsi="Times New Roman"/>
          <w:szCs w:val="24"/>
          <w:lang w:eastAsia="en-US"/>
        </w:rPr>
        <w:t xml:space="preserve"> Delivery of the European Agenda on Migration</w:t>
      </w:r>
      <w:r>
        <w:rPr>
          <w:rFonts w:ascii="Times New Roman" w:eastAsia="Calibri" w:hAnsi="Times New Roman"/>
          <w:szCs w:val="24"/>
          <w:lang w:eastAsia="en-US"/>
        </w:rPr>
        <w:t xml:space="preserve"> of 27 September 2017</w:t>
      </w:r>
      <w:r>
        <w:rPr>
          <w:rStyle w:val="FootnoteReference"/>
          <w:rFonts w:ascii="Times New Roman" w:eastAsia="Calibri" w:hAnsi="Times New Roman"/>
          <w:szCs w:val="24"/>
          <w:lang w:eastAsia="en-US"/>
        </w:rPr>
        <w:footnoteReference w:id="4"/>
      </w:r>
      <w:r w:rsidRPr="004B48D8">
        <w:rPr>
          <w:rFonts w:ascii="Times New Roman" w:eastAsia="Calibri" w:hAnsi="Times New Roman"/>
          <w:szCs w:val="24"/>
          <w:lang w:eastAsia="en-US"/>
        </w:rPr>
        <w:t xml:space="preserve">, given the continuing migratory pressure on Greece and Italy, the Commission </w:t>
      </w:r>
      <w:r>
        <w:rPr>
          <w:rFonts w:ascii="Times New Roman" w:eastAsia="Calibri" w:hAnsi="Times New Roman"/>
          <w:szCs w:val="24"/>
          <w:lang w:eastAsia="en-US"/>
        </w:rPr>
        <w:t xml:space="preserve">already </w:t>
      </w:r>
      <w:r w:rsidRPr="004B48D8">
        <w:rPr>
          <w:rFonts w:ascii="Times New Roman" w:eastAsia="Calibri" w:hAnsi="Times New Roman"/>
          <w:szCs w:val="24"/>
          <w:lang w:eastAsia="en-US"/>
        </w:rPr>
        <w:t>called on all Member States to consider continuing relocations on a voluntary basis, beyond the emergency relocation schemes, and committed to provide necessary financial support. The Commission encourages all Member States to engage with Greece and Italy and to make use of this option as appropriate.</w:t>
      </w:r>
      <w:r>
        <w:rPr>
          <w:rFonts w:ascii="Times New Roman" w:eastAsia="Calibri" w:hAnsi="Times New Roman"/>
          <w:szCs w:val="24"/>
          <w:lang w:eastAsia="en-US"/>
        </w:rPr>
        <w:t xml:space="preserve"> This could in particular concern vulnerable migrants such as minors.</w:t>
      </w:r>
    </w:p>
    <w:p w:rsidR="00A6426D" w:rsidRDefault="00A6426D" w:rsidP="00A6426D">
      <w:pPr>
        <w:spacing w:after="120"/>
        <w:rPr>
          <w:rFonts w:ascii="Times New Roman" w:eastAsia="Calibri" w:hAnsi="Times New Roman"/>
          <w:szCs w:val="24"/>
          <w:lang w:eastAsia="en-US"/>
        </w:rPr>
      </w:pPr>
      <w:r w:rsidRPr="001D4DAE">
        <w:rPr>
          <w:rFonts w:ascii="Times New Roman" w:eastAsia="Calibri" w:hAnsi="Times New Roman"/>
          <w:b/>
          <w:szCs w:val="24"/>
          <w:lang w:eastAsia="en-US"/>
        </w:rPr>
        <w:t>Paragraph 15</w:t>
      </w:r>
      <w:r w:rsidRPr="00230BBD">
        <w:rPr>
          <w:rFonts w:ascii="Times New Roman" w:eastAsia="Calibri" w:hAnsi="Times New Roman"/>
          <w:b/>
          <w:szCs w:val="24"/>
          <w:lang w:eastAsia="en-US"/>
        </w:rPr>
        <w:t>:</w:t>
      </w:r>
    </w:p>
    <w:p w:rsidR="00A6426D" w:rsidRPr="00ED2ED6" w:rsidRDefault="00A6426D" w:rsidP="00A6426D">
      <w:pPr>
        <w:spacing w:after="120"/>
        <w:rPr>
          <w:rFonts w:ascii="Times New Roman" w:eastAsia="Calibri" w:hAnsi="Times New Roman"/>
          <w:szCs w:val="24"/>
          <w:lang w:eastAsia="en-US"/>
        </w:rPr>
      </w:pPr>
      <w:r>
        <w:rPr>
          <w:rFonts w:ascii="Times New Roman" w:eastAsia="Calibri" w:hAnsi="Times New Roman"/>
          <w:szCs w:val="24"/>
          <w:lang w:eastAsia="en-US"/>
        </w:rPr>
        <w:t xml:space="preserve">Failure to uphold the </w:t>
      </w:r>
      <w:r w:rsidRPr="00ED2ED6">
        <w:rPr>
          <w:rFonts w:ascii="Times New Roman" w:eastAsia="Calibri" w:hAnsi="Times New Roman"/>
          <w:szCs w:val="24"/>
          <w:lang w:eastAsia="en-US"/>
        </w:rPr>
        <w:t>rights of children in migration</w:t>
      </w:r>
      <w:r>
        <w:rPr>
          <w:rFonts w:ascii="Times New Roman" w:eastAsia="Calibri" w:hAnsi="Times New Roman"/>
          <w:szCs w:val="24"/>
          <w:lang w:eastAsia="en-US"/>
        </w:rPr>
        <w:t>,</w:t>
      </w:r>
      <w:r w:rsidRPr="00ED2ED6">
        <w:rPr>
          <w:rFonts w:ascii="Times New Roman" w:eastAsia="Calibri" w:hAnsi="Times New Roman"/>
          <w:szCs w:val="24"/>
          <w:lang w:eastAsia="en-US"/>
        </w:rPr>
        <w:t xml:space="preserve"> </w:t>
      </w:r>
      <w:r>
        <w:rPr>
          <w:rFonts w:ascii="Times New Roman" w:eastAsia="Calibri" w:hAnsi="Times New Roman"/>
          <w:szCs w:val="24"/>
          <w:lang w:eastAsia="en-US"/>
        </w:rPr>
        <w:t>as stemming from international and EU law, is</w:t>
      </w:r>
      <w:r w:rsidRPr="00ED2ED6">
        <w:rPr>
          <w:rFonts w:ascii="Times New Roman" w:eastAsia="Calibri" w:hAnsi="Times New Roman"/>
          <w:szCs w:val="24"/>
          <w:lang w:eastAsia="en-US"/>
        </w:rPr>
        <w:t xml:space="preserve"> </w:t>
      </w:r>
      <w:r>
        <w:rPr>
          <w:rFonts w:ascii="Times New Roman" w:eastAsia="Calibri" w:hAnsi="Times New Roman"/>
          <w:szCs w:val="24"/>
          <w:lang w:eastAsia="en-US"/>
        </w:rPr>
        <w:t xml:space="preserve">an issue that </w:t>
      </w:r>
      <w:proofErr w:type="gramStart"/>
      <w:r>
        <w:rPr>
          <w:rFonts w:ascii="Times New Roman" w:eastAsia="Calibri" w:hAnsi="Times New Roman"/>
          <w:szCs w:val="24"/>
          <w:lang w:eastAsia="en-US"/>
        </w:rPr>
        <w:t>is</w:t>
      </w:r>
      <w:r w:rsidRPr="00ED2ED6">
        <w:rPr>
          <w:rFonts w:ascii="Times New Roman" w:eastAsia="Calibri" w:hAnsi="Times New Roman"/>
          <w:szCs w:val="24"/>
          <w:lang w:eastAsia="en-US"/>
        </w:rPr>
        <w:t xml:space="preserve"> </w:t>
      </w:r>
      <w:r>
        <w:rPr>
          <w:rFonts w:ascii="Times New Roman" w:eastAsia="Calibri" w:hAnsi="Times New Roman"/>
          <w:szCs w:val="24"/>
          <w:lang w:eastAsia="en-US"/>
        </w:rPr>
        <w:t>being addressed</w:t>
      </w:r>
      <w:proofErr w:type="gramEnd"/>
      <w:r w:rsidRPr="00ED2ED6">
        <w:rPr>
          <w:rFonts w:ascii="Times New Roman" w:eastAsia="Calibri" w:hAnsi="Times New Roman"/>
          <w:szCs w:val="24"/>
          <w:lang w:eastAsia="en-US"/>
        </w:rPr>
        <w:t xml:space="preserve"> in the context of </w:t>
      </w:r>
      <w:r>
        <w:rPr>
          <w:rFonts w:ascii="Times New Roman" w:eastAsia="Calibri" w:hAnsi="Times New Roman"/>
          <w:szCs w:val="24"/>
          <w:lang w:eastAsia="en-US"/>
        </w:rPr>
        <w:t xml:space="preserve">several ongoing </w:t>
      </w:r>
      <w:r w:rsidRPr="00ED2ED6">
        <w:rPr>
          <w:rFonts w:ascii="Times New Roman" w:eastAsia="Calibri" w:hAnsi="Times New Roman"/>
          <w:szCs w:val="24"/>
          <w:lang w:eastAsia="en-US"/>
        </w:rPr>
        <w:t>infringement proceedings against Member States on asylum and return. In addition, the Schengen evaluation mechanism monitors Member States' compliance with children’s rights when assessing the implementation of the Schengen acquis.</w:t>
      </w:r>
      <w:r>
        <w:rPr>
          <w:rFonts w:ascii="Times New Roman" w:eastAsia="Calibri" w:hAnsi="Times New Roman"/>
          <w:szCs w:val="24"/>
          <w:lang w:eastAsia="en-US"/>
        </w:rPr>
        <w:t xml:space="preserve"> </w:t>
      </w:r>
      <w:r w:rsidRPr="00ED2ED6">
        <w:rPr>
          <w:rFonts w:ascii="Times New Roman" w:eastAsia="Calibri" w:hAnsi="Times New Roman"/>
          <w:szCs w:val="24"/>
          <w:lang w:eastAsia="en-US"/>
        </w:rPr>
        <w:t xml:space="preserve">Given the confidential nature of both types of proceedings, it is not possible to provide more details. </w:t>
      </w:r>
      <w:r>
        <w:rPr>
          <w:rFonts w:ascii="Times New Roman" w:eastAsia="Calibri" w:hAnsi="Times New Roman"/>
          <w:szCs w:val="24"/>
          <w:lang w:eastAsia="en-US"/>
        </w:rPr>
        <w:t xml:space="preserve">The Communication on the protection of children in migration of 12 April 2017 encourages Member States to ensure and monitor the </w:t>
      </w:r>
      <w:r>
        <w:rPr>
          <w:rFonts w:ascii="Times New Roman" w:eastAsia="Calibri" w:hAnsi="Times New Roman"/>
          <w:szCs w:val="24"/>
          <w:lang w:eastAsia="en-US"/>
        </w:rPr>
        <w:lastRenderedPageBreak/>
        <w:t xml:space="preserve">availability and accessibility of a viable range of alternatives to the administrative detention of children. </w:t>
      </w:r>
      <w:r w:rsidRPr="00711508">
        <w:rPr>
          <w:rFonts w:ascii="Times New Roman" w:eastAsia="Calibri" w:hAnsi="Times New Roman"/>
          <w:szCs w:val="24"/>
          <w:lang w:eastAsia="en-US"/>
        </w:rPr>
        <w:t xml:space="preserve">This is in line with the Joint General Comment by the UN Committee on the Rights of the Child and the </w:t>
      </w:r>
      <w:r w:rsidRPr="001945F1">
        <w:rPr>
          <w:rStyle w:val="lblnewsfulltext"/>
          <w:rFonts w:ascii="Times New Roman" w:hAnsi="Times New Roman"/>
        </w:rPr>
        <w:t>Committee on the Protection of the Rights of All Migrant Workers and Members of Their Families</w:t>
      </w:r>
      <w:r w:rsidRPr="00711508">
        <w:rPr>
          <w:rFonts w:ascii="Times New Roman" w:eastAsia="Calibri" w:hAnsi="Times New Roman"/>
          <w:szCs w:val="24"/>
          <w:lang w:eastAsia="en-US"/>
        </w:rPr>
        <w:t xml:space="preserve"> of November 2017</w:t>
      </w:r>
      <w:r>
        <w:rPr>
          <w:rFonts w:ascii="Times New Roman" w:eastAsia="Calibri" w:hAnsi="Times New Roman"/>
          <w:szCs w:val="24"/>
          <w:lang w:eastAsia="en-US"/>
        </w:rPr>
        <w:t>,</w:t>
      </w:r>
      <w:r w:rsidRPr="00711508">
        <w:rPr>
          <w:rFonts w:ascii="Times New Roman" w:eastAsia="Calibri" w:hAnsi="Times New Roman"/>
          <w:szCs w:val="24"/>
          <w:lang w:eastAsia="en-US"/>
        </w:rPr>
        <w:t xml:space="preserve"> stating that detention of children in migration </w:t>
      </w:r>
      <w:r w:rsidRPr="00D6703A">
        <w:rPr>
          <w:rFonts w:ascii="Times New Roman" w:eastAsia="Calibri" w:hAnsi="Times New Roman"/>
          <w:szCs w:val="24"/>
          <w:lang w:eastAsia="en-US"/>
        </w:rPr>
        <w:t>contravenes the principle of the best interests of the child.</w:t>
      </w:r>
    </w:p>
    <w:p w:rsidR="00A6426D" w:rsidRDefault="00A6426D" w:rsidP="00A6426D">
      <w:pPr>
        <w:spacing w:after="120"/>
        <w:rPr>
          <w:rFonts w:ascii="Times New Roman" w:eastAsia="Calibri" w:hAnsi="Times New Roman"/>
          <w:szCs w:val="24"/>
          <w:lang w:eastAsia="en-US"/>
        </w:rPr>
      </w:pPr>
      <w:r w:rsidRPr="00380601">
        <w:rPr>
          <w:rFonts w:ascii="Times New Roman" w:eastAsia="Calibri" w:hAnsi="Times New Roman"/>
          <w:b/>
          <w:szCs w:val="24"/>
          <w:lang w:eastAsia="en-US"/>
        </w:rPr>
        <w:t xml:space="preserve">Paragraph </w:t>
      </w:r>
      <w:r w:rsidRPr="00EA7B2F">
        <w:rPr>
          <w:rFonts w:ascii="Times New Roman" w:eastAsia="Calibri" w:hAnsi="Times New Roman"/>
          <w:b/>
          <w:szCs w:val="24"/>
          <w:lang w:eastAsia="en-US"/>
        </w:rPr>
        <w:t>20</w:t>
      </w:r>
      <w:r w:rsidRPr="00230BBD">
        <w:rPr>
          <w:rFonts w:ascii="Times New Roman" w:eastAsia="Calibri" w:hAnsi="Times New Roman"/>
          <w:b/>
          <w:szCs w:val="24"/>
          <w:lang w:eastAsia="en-US"/>
        </w:rPr>
        <w:t>:</w:t>
      </w:r>
    </w:p>
    <w:p w:rsidR="00A6426D" w:rsidRDefault="00A6426D" w:rsidP="00A6426D">
      <w:pPr>
        <w:spacing w:after="120"/>
        <w:rPr>
          <w:rFonts w:ascii="Times New Roman" w:eastAsia="Calibri" w:hAnsi="Times New Roman"/>
          <w:szCs w:val="24"/>
          <w:lang w:eastAsia="en-US"/>
        </w:rPr>
      </w:pPr>
      <w:r>
        <w:rPr>
          <w:rFonts w:ascii="Times New Roman" w:eastAsia="Calibri" w:hAnsi="Times New Roman"/>
          <w:szCs w:val="24"/>
          <w:lang w:eastAsia="en-US"/>
        </w:rPr>
        <w:t xml:space="preserve">The Communication of 12 April 2017 recognises that </w:t>
      </w:r>
      <w:proofErr w:type="gramStart"/>
      <w:r>
        <w:rPr>
          <w:rFonts w:ascii="Times New Roman" w:eastAsia="Calibri" w:hAnsi="Times New Roman"/>
          <w:szCs w:val="24"/>
          <w:lang w:eastAsia="en-US"/>
        </w:rPr>
        <w:t>children who are stateless</w:t>
      </w:r>
      <w:proofErr w:type="gramEnd"/>
      <w:r>
        <w:rPr>
          <w:rFonts w:ascii="Times New Roman" w:eastAsia="Calibri" w:hAnsi="Times New Roman"/>
          <w:szCs w:val="24"/>
          <w:lang w:eastAsia="en-US"/>
        </w:rPr>
        <w:t xml:space="preserve"> may face delays in status determination. T</w:t>
      </w:r>
      <w:r w:rsidRPr="00EF5245">
        <w:rPr>
          <w:rFonts w:ascii="Times New Roman" w:eastAsia="Calibri" w:hAnsi="Times New Roman"/>
          <w:szCs w:val="24"/>
          <w:lang w:eastAsia="en-US"/>
        </w:rPr>
        <w:t xml:space="preserve">he Justice and Home Affairs Council conclusions of </w:t>
      </w:r>
      <w:proofErr w:type="gramStart"/>
      <w:r w:rsidRPr="00EF5245">
        <w:rPr>
          <w:rFonts w:ascii="Times New Roman" w:eastAsia="Calibri" w:hAnsi="Times New Roman"/>
          <w:szCs w:val="24"/>
          <w:lang w:eastAsia="en-US"/>
        </w:rPr>
        <w:t>3</w:t>
      </w:r>
      <w:proofErr w:type="gramEnd"/>
      <w:r w:rsidRPr="00EF5245">
        <w:rPr>
          <w:rFonts w:ascii="Times New Roman" w:eastAsia="Calibri" w:hAnsi="Times New Roman"/>
          <w:szCs w:val="24"/>
          <w:lang w:eastAsia="en-US"/>
        </w:rPr>
        <w:t xml:space="preserve"> and 4</w:t>
      </w:r>
      <w:r>
        <w:rPr>
          <w:rFonts w:ascii="Times New Roman" w:eastAsia="Calibri" w:hAnsi="Times New Roman"/>
          <w:szCs w:val="24"/>
          <w:lang w:eastAsia="en-US"/>
        </w:rPr>
        <w:t> </w:t>
      </w:r>
      <w:r w:rsidRPr="00EF5245">
        <w:rPr>
          <w:rFonts w:ascii="Times New Roman" w:eastAsia="Calibri" w:hAnsi="Times New Roman"/>
          <w:szCs w:val="24"/>
          <w:lang w:eastAsia="en-US"/>
        </w:rPr>
        <w:t>December</w:t>
      </w:r>
      <w:r>
        <w:rPr>
          <w:rFonts w:ascii="Times New Roman" w:eastAsia="Calibri" w:hAnsi="Times New Roman"/>
          <w:szCs w:val="24"/>
          <w:lang w:eastAsia="en-US"/>
        </w:rPr>
        <w:t> </w:t>
      </w:r>
      <w:r w:rsidRPr="00EF5245">
        <w:rPr>
          <w:rFonts w:ascii="Times New Roman" w:eastAsia="Calibri" w:hAnsi="Times New Roman"/>
          <w:szCs w:val="24"/>
          <w:lang w:eastAsia="en-US"/>
        </w:rPr>
        <w:t xml:space="preserve">2015 mandated the European Migration Network (EMN) to establish a platform for exchange of information and good practices. The </w:t>
      </w:r>
      <w:proofErr w:type="gramStart"/>
      <w:r w:rsidRPr="00EF5245">
        <w:rPr>
          <w:rFonts w:ascii="Times New Roman" w:eastAsia="Calibri" w:hAnsi="Times New Roman"/>
          <w:szCs w:val="24"/>
          <w:lang w:eastAsia="en-US"/>
        </w:rPr>
        <w:t>EMN Platform on Statelessness was established by the Steering Board of EMN</w:t>
      </w:r>
      <w:proofErr w:type="gramEnd"/>
      <w:r w:rsidRPr="00EF5245">
        <w:rPr>
          <w:rFonts w:ascii="Times New Roman" w:eastAsia="Calibri" w:hAnsi="Times New Roman"/>
          <w:szCs w:val="24"/>
          <w:lang w:eastAsia="en-US"/>
        </w:rPr>
        <w:t xml:space="preserve"> on 20 May 2016.</w:t>
      </w:r>
      <w:r w:rsidRPr="00CD20C0">
        <w:rPr>
          <w:rFonts w:ascii="Times New Roman" w:hAnsi="Times New Roman"/>
        </w:rPr>
        <w:t xml:space="preserve"> </w:t>
      </w:r>
      <w:r w:rsidRPr="00EF5245">
        <w:rPr>
          <w:rFonts w:ascii="Times New Roman" w:eastAsia="Calibri" w:hAnsi="Times New Roman"/>
          <w:szCs w:val="24"/>
          <w:lang w:eastAsia="en-US"/>
        </w:rPr>
        <w:t xml:space="preserve">The first objective of this platform was to determine the state of play of statelessness in the European Union. The platform used the EMN ad-hoc query system in order to obtain the information from Member States. The key findings of this </w:t>
      </w:r>
      <w:r>
        <w:rPr>
          <w:rFonts w:ascii="Times New Roman" w:eastAsia="Calibri" w:hAnsi="Times New Roman"/>
          <w:szCs w:val="24"/>
          <w:lang w:eastAsia="en-US"/>
        </w:rPr>
        <w:t>query are available in the EMN Inform of 11 November 2016</w:t>
      </w:r>
      <w:r>
        <w:rPr>
          <w:rStyle w:val="FootnoteReference"/>
          <w:rFonts w:ascii="Times New Roman" w:eastAsia="Calibri" w:hAnsi="Times New Roman"/>
          <w:szCs w:val="24"/>
          <w:lang w:eastAsia="en-US"/>
        </w:rPr>
        <w:footnoteReference w:id="5"/>
      </w:r>
      <w:r>
        <w:rPr>
          <w:rFonts w:ascii="Times New Roman" w:eastAsia="Calibri" w:hAnsi="Times New Roman"/>
          <w:szCs w:val="24"/>
          <w:lang w:eastAsia="en-US"/>
        </w:rPr>
        <w:t xml:space="preserve">, which identifies key challenges to address in relation to statelessness and good practices for addressing them. Member States are encouraged to </w:t>
      </w:r>
      <w:proofErr w:type="gramStart"/>
      <w:r>
        <w:rPr>
          <w:rFonts w:ascii="Times New Roman" w:eastAsia="Calibri" w:hAnsi="Times New Roman"/>
          <w:szCs w:val="24"/>
          <w:lang w:eastAsia="en-US"/>
        </w:rPr>
        <w:t>take those into consideration</w:t>
      </w:r>
      <w:proofErr w:type="gramEnd"/>
      <w:r>
        <w:rPr>
          <w:rFonts w:ascii="Times New Roman" w:eastAsia="Calibri" w:hAnsi="Times New Roman"/>
          <w:szCs w:val="24"/>
          <w:lang w:eastAsia="en-US"/>
        </w:rPr>
        <w:t xml:space="preserve"> in the search for solutions to statelessness that can be embedded in the national law and practice.</w:t>
      </w:r>
    </w:p>
    <w:p w:rsidR="00A6426D" w:rsidRDefault="00A6426D" w:rsidP="00A6426D">
      <w:pPr>
        <w:spacing w:after="120"/>
        <w:rPr>
          <w:rFonts w:ascii="Times New Roman" w:eastAsia="Calibri" w:hAnsi="Times New Roman"/>
          <w:szCs w:val="24"/>
          <w:lang w:eastAsia="en-US"/>
        </w:rPr>
      </w:pPr>
      <w:r w:rsidRPr="004E2601">
        <w:rPr>
          <w:rFonts w:ascii="Times New Roman" w:eastAsia="Calibri" w:hAnsi="Times New Roman"/>
          <w:b/>
          <w:szCs w:val="24"/>
          <w:lang w:eastAsia="en-US"/>
        </w:rPr>
        <w:t>Paragraph 2</w:t>
      </w:r>
      <w:r>
        <w:rPr>
          <w:rFonts w:ascii="Times New Roman" w:eastAsia="Calibri" w:hAnsi="Times New Roman"/>
          <w:b/>
          <w:szCs w:val="24"/>
          <w:lang w:eastAsia="en-US"/>
        </w:rPr>
        <w:t>6:</w:t>
      </w:r>
    </w:p>
    <w:p w:rsidR="00A6426D" w:rsidRDefault="00A6426D" w:rsidP="00A6426D">
      <w:pPr>
        <w:spacing w:after="120"/>
        <w:rPr>
          <w:rFonts w:ascii="Times New Roman" w:eastAsia="Calibri" w:hAnsi="Times New Roman"/>
          <w:szCs w:val="24"/>
          <w:lang w:eastAsia="en-US"/>
        </w:rPr>
      </w:pPr>
      <w:r w:rsidRPr="00E53439">
        <w:rPr>
          <w:rFonts w:ascii="Times New Roman" w:eastAsia="Calibri" w:hAnsi="Times New Roman"/>
          <w:szCs w:val="24"/>
          <w:lang w:eastAsia="en-US"/>
        </w:rPr>
        <w:t xml:space="preserve">In the </w:t>
      </w:r>
      <w:r>
        <w:rPr>
          <w:rFonts w:ascii="Times New Roman" w:eastAsia="Calibri" w:hAnsi="Times New Roman"/>
          <w:szCs w:val="24"/>
          <w:lang w:eastAsia="en-US"/>
        </w:rPr>
        <w:t>C</w:t>
      </w:r>
      <w:r w:rsidRPr="00E53439">
        <w:rPr>
          <w:rFonts w:ascii="Times New Roman" w:eastAsia="Calibri" w:hAnsi="Times New Roman"/>
          <w:szCs w:val="24"/>
          <w:lang w:eastAsia="en-US"/>
        </w:rPr>
        <w:t xml:space="preserve">ommunication on the </w:t>
      </w:r>
      <w:r>
        <w:rPr>
          <w:rFonts w:ascii="Times New Roman" w:eastAsia="Calibri" w:hAnsi="Times New Roman"/>
          <w:szCs w:val="24"/>
          <w:lang w:eastAsia="en-US"/>
        </w:rPr>
        <w:t>p</w:t>
      </w:r>
      <w:r w:rsidRPr="00E53439">
        <w:rPr>
          <w:rFonts w:ascii="Times New Roman" w:eastAsia="Calibri" w:hAnsi="Times New Roman"/>
          <w:szCs w:val="24"/>
          <w:lang w:eastAsia="en-US"/>
        </w:rPr>
        <w:t xml:space="preserve">rotection of </w:t>
      </w:r>
      <w:r>
        <w:rPr>
          <w:rFonts w:ascii="Times New Roman" w:eastAsia="Calibri" w:hAnsi="Times New Roman"/>
          <w:szCs w:val="24"/>
          <w:lang w:eastAsia="en-US"/>
        </w:rPr>
        <w:t>c</w:t>
      </w:r>
      <w:r w:rsidRPr="00E53439">
        <w:rPr>
          <w:rFonts w:ascii="Times New Roman" w:eastAsia="Calibri" w:hAnsi="Times New Roman"/>
          <w:szCs w:val="24"/>
          <w:lang w:eastAsia="en-US"/>
        </w:rPr>
        <w:t xml:space="preserve">hildren in </w:t>
      </w:r>
      <w:r>
        <w:rPr>
          <w:rFonts w:ascii="Times New Roman" w:eastAsia="Calibri" w:hAnsi="Times New Roman"/>
          <w:szCs w:val="24"/>
          <w:lang w:eastAsia="en-US"/>
        </w:rPr>
        <w:t>m</w:t>
      </w:r>
      <w:r w:rsidRPr="00E53439">
        <w:rPr>
          <w:rFonts w:ascii="Times New Roman" w:eastAsia="Calibri" w:hAnsi="Times New Roman"/>
          <w:szCs w:val="24"/>
          <w:lang w:eastAsia="en-US"/>
        </w:rPr>
        <w:t>igration</w:t>
      </w:r>
      <w:r>
        <w:rPr>
          <w:rFonts w:ascii="Times New Roman" w:eastAsia="Calibri" w:hAnsi="Times New Roman"/>
          <w:szCs w:val="24"/>
          <w:lang w:eastAsia="en-US"/>
        </w:rPr>
        <w:t xml:space="preserve"> of 12 April 2017,</w:t>
      </w:r>
      <w:r w:rsidRPr="00E53439">
        <w:rPr>
          <w:rFonts w:ascii="Times New Roman" w:eastAsia="Calibri" w:hAnsi="Times New Roman"/>
          <w:szCs w:val="24"/>
          <w:lang w:eastAsia="en-US"/>
        </w:rPr>
        <w:t xml:space="preserve"> the Commission underlined that EU funding must contribute to the protection of children in migration and support integrated child protection systems.</w:t>
      </w:r>
      <w:r w:rsidRPr="001945F1">
        <w:rPr>
          <w:rFonts w:ascii="Times New Roman" w:eastAsia="Calibri" w:hAnsi="Times New Roman"/>
          <w:szCs w:val="24"/>
          <w:lang w:eastAsia="en-US"/>
        </w:rPr>
        <w:t xml:space="preserve"> It also recalls that children</w:t>
      </w:r>
      <w:r>
        <w:rPr>
          <w:rFonts w:ascii="Times New Roman" w:eastAsia="Calibri" w:hAnsi="Times New Roman"/>
          <w:szCs w:val="24"/>
          <w:lang w:eastAsia="en-US"/>
        </w:rPr>
        <w:t>’s</w:t>
      </w:r>
      <w:r w:rsidRPr="00711508">
        <w:rPr>
          <w:rFonts w:ascii="Times New Roman" w:eastAsia="Calibri" w:hAnsi="Times New Roman"/>
          <w:szCs w:val="24"/>
          <w:lang w:eastAsia="en-US"/>
        </w:rPr>
        <w:t xml:space="preserve"> needs have to be </w:t>
      </w:r>
      <w:proofErr w:type="gramStart"/>
      <w:r w:rsidRPr="001945F1">
        <w:rPr>
          <w:rFonts w:ascii="Times New Roman" w:eastAsia="Calibri" w:hAnsi="Times New Roman"/>
          <w:szCs w:val="24"/>
          <w:lang w:eastAsia="en-US"/>
        </w:rPr>
        <w:t>addressed</w:t>
      </w:r>
      <w:proofErr w:type="gramEnd"/>
      <w:r w:rsidRPr="001945F1">
        <w:rPr>
          <w:rFonts w:ascii="Times New Roman" w:eastAsia="Calibri" w:hAnsi="Times New Roman"/>
          <w:szCs w:val="24"/>
          <w:lang w:eastAsia="en-US"/>
        </w:rPr>
        <w:t xml:space="preserve"> and prioritised in accordance with the scale of the migration phenomenon in national programmes of Member States under e.g. </w:t>
      </w:r>
      <w:r>
        <w:rPr>
          <w:rFonts w:ascii="Times New Roman" w:eastAsia="Calibri" w:hAnsi="Times New Roman"/>
          <w:szCs w:val="24"/>
          <w:lang w:eastAsia="en-US"/>
        </w:rPr>
        <w:t xml:space="preserve">the </w:t>
      </w:r>
      <w:r w:rsidRPr="00F25969">
        <w:rPr>
          <w:rFonts w:ascii="Times New Roman" w:eastAsia="Calibri" w:hAnsi="Times New Roman"/>
          <w:szCs w:val="24"/>
          <w:lang w:eastAsia="en-US"/>
        </w:rPr>
        <w:t xml:space="preserve">Asylum, Migration and Integration Fund </w:t>
      </w:r>
      <w:r>
        <w:rPr>
          <w:rFonts w:ascii="Times New Roman" w:eastAsia="Calibri" w:hAnsi="Times New Roman"/>
          <w:szCs w:val="24"/>
          <w:lang w:eastAsia="en-US"/>
        </w:rPr>
        <w:t>(</w:t>
      </w:r>
      <w:r w:rsidRPr="001945F1">
        <w:rPr>
          <w:rFonts w:ascii="Times New Roman" w:eastAsia="Calibri" w:hAnsi="Times New Roman"/>
          <w:szCs w:val="24"/>
          <w:lang w:eastAsia="en-US"/>
        </w:rPr>
        <w:t>AMIF</w:t>
      </w:r>
      <w:r>
        <w:rPr>
          <w:rFonts w:ascii="Times New Roman" w:eastAsia="Calibri" w:hAnsi="Times New Roman"/>
          <w:szCs w:val="24"/>
          <w:lang w:eastAsia="en-US"/>
        </w:rPr>
        <w:t>)</w:t>
      </w:r>
      <w:r w:rsidRPr="001945F1">
        <w:rPr>
          <w:rFonts w:ascii="Times New Roman" w:eastAsia="Calibri" w:hAnsi="Times New Roman"/>
          <w:szCs w:val="24"/>
          <w:lang w:eastAsia="en-US"/>
        </w:rPr>
        <w:t>.</w:t>
      </w:r>
    </w:p>
    <w:p w:rsidR="00A6426D" w:rsidRDefault="00A6426D" w:rsidP="00A6426D">
      <w:pPr>
        <w:spacing w:after="120"/>
        <w:rPr>
          <w:rFonts w:ascii="Times New Roman" w:eastAsia="Calibri" w:hAnsi="Times New Roman"/>
          <w:szCs w:val="24"/>
          <w:lang w:eastAsia="en-US"/>
        </w:rPr>
      </w:pPr>
      <w:proofErr w:type="gramStart"/>
      <w:r>
        <w:rPr>
          <w:rFonts w:ascii="Times New Roman" w:eastAsia="Calibri" w:hAnsi="Times New Roman"/>
          <w:szCs w:val="24"/>
          <w:lang w:eastAsia="en-US"/>
        </w:rPr>
        <w:t xml:space="preserve">In the </w:t>
      </w:r>
      <w:r w:rsidRPr="00AE1E60">
        <w:rPr>
          <w:rFonts w:ascii="Times New Roman" w:eastAsia="Calibri" w:hAnsi="Times New Roman"/>
          <w:szCs w:val="24"/>
          <w:lang w:eastAsia="en-US"/>
        </w:rPr>
        <w:t>Communication for the post-2020 Multiannual Financial Framework</w:t>
      </w:r>
      <w:r>
        <w:rPr>
          <w:rStyle w:val="FootnoteReference"/>
          <w:rFonts w:ascii="Times New Roman" w:eastAsia="Calibri" w:hAnsi="Times New Roman"/>
          <w:szCs w:val="24"/>
          <w:lang w:eastAsia="en-US"/>
        </w:rPr>
        <w:footnoteReference w:id="6"/>
      </w:r>
      <w:r>
        <w:rPr>
          <w:rFonts w:ascii="Times New Roman" w:eastAsia="Calibri" w:hAnsi="Times New Roman"/>
          <w:szCs w:val="24"/>
          <w:lang w:eastAsia="en-US"/>
        </w:rPr>
        <w:t>,</w:t>
      </w:r>
      <w:r w:rsidRPr="00CD20C0">
        <w:rPr>
          <w:rFonts w:ascii="Times New Roman" w:hAnsi="Times New Roman"/>
        </w:rPr>
        <w:t xml:space="preserve"> </w:t>
      </w:r>
      <w:r w:rsidRPr="00E53439">
        <w:rPr>
          <w:rFonts w:ascii="Times New Roman" w:eastAsia="Calibri" w:hAnsi="Times New Roman"/>
          <w:szCs w:val="24"/>
          <w:lang w:eastAsia="en-US"/>
        </w:rPr>
        <w:t xml:space="preserve">the </w:t>
      </w:r>
      <w:r>
        <w:rPr>
          <w:rFonts w:ascii="Times New Roman" w:eastAsia="Calibri" w:hAnsi="Times New Roman"/>
          <w:szCs w:val="24"/>
          <w:lang w:eastAsia="en-US"/>
        </w:rPr>
        <w:t>Commission emphasised that t</w:t>
      </w:r>
      <w:r w:rsidRPr="00AE1E60">
        <w:rPr>
          <w:rFonts w:ascii="Times New Roman" w:eastAsia="Calibri" w:hAnsi="Times New Roman"/>
          <w:szCs w:val="24"/>
          <w:lang w:eastAsia="en-US"/>
        </w:rPr>
        <w:t>he role of the Union budget is pivotal in supporting the management of asylum seekers</w:t>
      </w:r>
      <w:r>
        <w:rPr>
          <w:rFonts w:ascii="Times New Roman" w:eastAsia="Calibri" w:hAnsi="Times New Roman"/>
          <w:szCs w:val="24"/>
          <w:lang w:eastAsia="en-US"/>
        </w:rPr>
        <w:t xml:space="preserve"> </w:t>
      </w:r>
      <w:r w:rsidRPr="00AE1E60">
        <w:rPr>
          <w:rFonts w:ascii="Times New Roman" w:eastAsia="Calibri" w:hAnsi="Times New Roman"/>
          <w:szCs w:val="24"/>
          <w:lang w:eastAsia="en-US"/>
        </w:rPr>
        <w:t>and migrants</w:t>
      </w:r>
      <w:r>
        <w:rPr>
          <w:rFonts w:ascii="Times New Roman" w:eastAsia="Calibri" w:hAnsi="Times New Roman"/>
          <w:szCs w:val="24"/>
          <w:lang w:eastAsia="en-US"/>
        </w:rPr>
        <w:t xml:space="preserve">, </w:t>
      </w:r>
      <w:r w:rsidRPr="00AE1E60">
        <w:rPr>
          <w:rFonts w:ascii="Times New Roman" w:eastAsia="Calibri" w:hAnsi="Times New Roman"/>
          <w:szCs w:val="24"/>
          <w:lang w:eastAsia="en-US"/>
        </w:rPr>
        <w:t>in developing search and rescue capacities to save the lives of those attempting to reach Europe, in managing effective returns and in other actions that need a coordinated response beyond the capacity of individual Member States.</w:t>
      </w:r>
      <w:proofErr w:type="gramEnd"/>
      <w:r w:rsidRPr="00CD20C0">
        <w:rPr>
          <w:rFonts w:ascii="Times New Roman" w:hAnsi="Times New Roman"/>
        </w:rPr>
        <w:t xml:space="preserve"> </w:t>
      </w:r>
      <w:r w:rsidRPr="00C03071">
        <w:rPr>
          <w:rFonts w:ascii="Times New Roman" w:eastAsia="Calibri" w:hAnsi="Times New Roman"/>
          <w:szCs w:val="24"/>
          <w:lang w:eastAsia="en-US"/>
        </w:rPr>
        <w:t xml:space="preserve">The EU budget for the management of external borders, migration and asylum will be significantly reinforced, overall, reaching more than </w:t>
      </w:r>
      <w:r w:rsidRPr="001525F3">
        <w:rPr>
          <w:rFonts w:ascii="Times New Roman" w:eastAsia="Calibri" w:hAnsi="Times New Roman"/>
          <w:szCs w:val="24"/>
          <w:lang w:eastAsia="en-US"/>
        </w:rPr>
        <w:t xml:space="preserve">EUR </w:t>
      </w:r>
      <w:r w:rsidRPr="00C03071">
        <w:rPr>
          <w:rFonts w:ascii="Times New Roman" w:eastAsia="Calibri" w:hAnsi="Times New Roman"/>
          <w:szCs w:val="24"/>
          <w:lang w:eastAsia="en-US"/>
        </w:rPr>
        <w:t xml:space="preserve">34.9 </w:t>
      </w:r>
      <w:proofErr w:type="gramStart"/>
      <w:r w:rsidRPr="00C03071">
        <w:rPr>
          <w:rFonts w:ascii="Times New Roman" w:eastAsia="Calibri" w:hAnsi="Times New Roman"/>
          <w:szCs w:val="24"/>
          <w:lang w:eastAsia="en-US"/>
        </w:rPr>
        <w:t>billion</w:t>
      </w:r>
      <w:proofErr w:type="gramEnd"/>
      <w:r w:rsidRPr="00C03071">
        <w:rPr>
          <w:rFonts w:ascii="Times New Roman" w:eastAsia="Calibri" w:hAnsi="Times New Roman"/>
          <w:szCs w:val="24"/>
          <w:lang w:eastAsia="en-US"/>
        </w:rPr>
        <w:t xml:space="preserve">, compared to </w:t>
      </w:r>
      <w:r>
        <w:rPr>
          <w:rFonts w:ascii="Times New Roman" w:eastAsia="Calibri" w:hAnsi="Times New Roman"/>
          <w:szCs w:val="24"/>
          <w:lang w:eastAsia="en-US"/>
        </w:rPr>
        <w:t xml:space="preserve">EUR </w:t>
      </w:r>
      <w:r w:rsidRPr="00C03071">
        <w:rPr>
          <w:rFonts w:ascii="Times New Roman" w:eastAsia="Calibri" w:hAnsi="Times New Roman"/>
          <w:szCs w:val="24"/>
          <w:lang w:eastAsia="en-US"/>
        </w:rPr>
        <w:t>13</w:t>
      </w:r>
      <w:r>
        <w:rPr>
          <w:rFonts w:ascii="Times New Roman" w:eastAsia="Calibri" w:hAnsi="Times New Roman"/>
          <w:szCs w:val="24"/>
          <w:lang w:eastAsia="en-US"/>
        </w:rPr>
        <w:t xml:space="preserve"> </w:t>
      </w:r>
      <w:r w:rsidRPr="00C03071">
        <w:rPr>
          <w:rFonts w:ascii="Times New Roman" w:eastAsia="Calibri" w:hAnsi="Times New Roman"/>
          <w:szCs w:val="24"/>
          <w:lang w:eastAsia="en-US"/>
        </w:rPr>
        <w:t>billion for the period 2014-2020.</w:t>
      </w:r>
      <w:r w:rsidRPr="00CD20C0">
        <w:rPr>
          <w:rFonts w:ascii="Times New Roman" w:hAnsi="Times New Roman"/>
        </w:rPr>
        <w:t xml:space="preserve"> </w:t>
      </w:r>
      <w:r w:rsidRPr="00C03071">
        <w:rPr>
          <w:rFonts w:ascii="Times New Roman" w:eastAsia="Calibri" w:hAnsi="Times New Roman"/>
          <w:szCs w:val="24"/>
          <w:lang w:eastAsia="en-US"/>
        </w:rPr>
        <w:t>While the Asylum and Migration Fund will support the social integration of migrants and asylum seekers, the medium</w:t>
      </w:r>
      <w:r>
        <w:rPr>
          <w:rFonts w:ascii="Times New Roman" w:eastAsia="Calibri" w:hAnsi="Times New Roman"/>
          <w:szCs w:val="24"/>
          <w:lang w:eastAsia="en-US"/>
        </w:rPr>
        <w:t>-</w:t>
      </w:r>
      <w:r w:rsidRPr="00C03071">
        <w:rPr>
          <w:rFonts w:ascii="Times New Roman" w:eastAsia="Calibri" w:hAnsi="Times New Roman"/>
          <w:szCs w:val="24"/>
          <w:lang w:eastAsia="en-US"/>
        </w:rPr>
        <w:t xml:space="preserve"> and long-term integration of non-EU nationals and people with refugee status </w:t>
      </w:r>
      <w:proofErr w:type="gramStart"/>
      <w:r w:rsidRPr="00C03071">
        <w:rPr>
          <w:rFonts w:ascii="Times New Roman" w:eastAsia="Calibri" w:hAnsi="Times New Roman"/>
          <w:szCs w:val="24"/>
          <w:lang w:eastAsia="en-US"/>
        </w:rPr>
        <w:t>will be supported</w:t>
      </w:r>
      <w:proofErr w:type="gramEnd"/>
      <w:r w:rsidRPr="00C03071">
        <w:rPr>
          <w:rFonts w:ascii="Times New Roman" w:eastAsia="Calibri" w:hAnsi="Times New Roman"/>
          <w:szCs w:val="24"/>
          <w:lang w:eastAsia="en-US"/>
        </w:rPr>
        <w:t xml:space="preserve"> through the European Social Fund+ and the</w:t>
      </w:r>
      <w:r>
        <w:rPr>
          <w:rFonts w:ascii="Times New Roman" w:eastAsia="Calibri" w:hAnsi="Times New Roman"/>
          <w:szCs w:val="24"/>
          <w:lang w:eastAsia="en-US"/>
        </w:rPr>
        <w:t xml:space="preserve"> </w:t>
      </w:r>
      <w:r w:rsidRPr="00C03071">
        <w:rPr>
          <w:rFonts w:ascii="Times New Roman" w:eastAsia="Calibri" w:hAnsi="Times New Roman"/>
          <w:szCs w:val="24"/>
          <w:lang w:eastAsia="en-US"/>
        </w:rPr>
        <w:t>European Regional Development Fund</w:t>
      </w:r>
      <w:r>
        <w:rPr>
          <w:rFonts w:ascii="Times New Roman" w:eastAsia="Calibri" w:hAnsi="Times New Roman"/>
          <w:szCs w:val="24"/>
          <w:lang w:eastAsia="en-US"/>
        </w:rPr>
        <w:t xml:space="preserve">. </w:t>
      </w:r>
      <w:r w:rsidRPr="00412DB3">
        <w:rPr>
          <w:rFonts w:ascii="Times New Roman" w:eastAsia="Calibri" w:hAnsi="Times New Roman"/>
          <w:szCs w:val="24"/>
          <w:lang w:eastAsia="en-US"/>
        </w:rPr>
        <w:t xml:space="preserve">In line with the Communication on the </w:t>
      </w:r>
      <w:r>
        <w:rPr>
          <w:rFonts w:ascii="Times New Roman" w:eastAsia="Calibri" w:hAnsi="Times New Roman"/>
          <w:szCs w:val="24"/>
          <w:lang w:eastAsia="en-US"/>
        </w:rPr>
        <w:t>p</w:t>
      </w:r>
      <w:r w:rsidRPr="00412DB3">
        <w:rPr>
          <w:rFonts w:ascii="Times New Roman" w:eastAsia="Calibri" w:hAnsi="Times New Roman"/>
          <w:szCs w:val="24"/>
          <w:lang w:eastAsia="en-US"/>
        </w:rPr>
        <w:t xml:space="preserve">rotection of </w:t>
      </w:r>
      <w:r>
        <w:rPr>
          <w:rFonts w:ascii="Times New Roman" w:eastAsia="Calibri" w:hAnsi="Times New Roman"/>
          <w:szCs w:val="24"/>
          <w:lang w:eastAsia="en-US"/>
        </w:rPr>
        <w:t>c</w:t>
      </w:r>
      <w:r w:rsidRPr="00412DB3">
        <w:rPr>
          <w:rFonts w:ascii="Times New Roman" w:eastAsia="Calibri" w:hAnsi="Times New Roman"/>
          <w:szCs w:val="24"/>
          <w:lang w:eastAsia="en-US"/>
        </w:rPr>
        <w:t xml:space="preserve">hildren in </w:t>
      </w:r>
      <w:r>
        <w:rPr>
          <w:rFonts w:ascii="Times New Roman" w:eastAsia="Calibri" w:hAnsi="Times New Roman"/>
          <w:szCs w:val="24"/>
          <w:lang w:eastAsia="en-US"/>
        </w:rPr>
        <w:t>m</w:t>
      </w:r>
      <w:r w:rsidRPr="00412DB3">
        <w:rPr>
          <w:rFonts w:ascii="Times New Roman" w:eastAsia="Calibri" w:hAnsi="Times New Roman"/>
          <w:szCs w:val="24"/>
          <w:lang w:eastAsia="en-US"/>
        </w:rPr>
        <w:t>igration</w:t>
      </w:r>
      <w:r>
        <w:rPr>
          <w:rFonts w:ascii="Times New Roman" w:eastAsia="Calibri" w:hAnsi="Times New Roman"/>
          <w:szCs w:val="24"/>
          <w:lang w:eastAsia="en-US"/>
        </w:rPr>
        <w:t xml:space="preserve"> of 12 April 2017</w:t>
      </w:r>
      <w:r w:rsidRPr="00412DB3">
        <w:rPr>
          <w:rFonts w:ascii="Times New Roman" w:eastAsia="Calibri" w:hAnsi="Times New Roman"/>
          <w:szCs w:val="24"/>
          <w:lang w:eastAsia="en-US"/>
        </w:rPr>
        <w:t>, the Commission will promote within the new framework the prioritising of measures aiming to enhance the protection of children in migration.</w:t>
      </w:r>
    </w:p>
    <w:p w:rsidR="00A6426D" w:rsidRDefault="00A6426D" w:rsidP="00A6426D">
      <w:pPr>
        <w:spacing w:after="120"/>
        <w:rPr>
          <w:rFonts w:ascii="Times New Roman" w:eastAsia="Calibri" w:hAnsi="Times New Roman"/>
          <w:szCs w:val="24"/>
          <w:lang w:eastAsia="en-US"/>
        </w:rPr>
      </w:pPr>
      <w:r w:rsidRPr="00412DB3">
        <w:rPr>
          <w:rFonts w:ascii="Times New Roman" w:eastAsia="Calibri" w:hAnsi="Times New Roman"/>
          <w:szCs w:val="24"/>
          <w:lang w:eastAsia="en-US"/>
        </w:rPr>
        <w:t xml:space="preserve">Under the Rights, Equality and Citizenship Programme, grants of about </w:t>
      </w:r>
      <w:r w:rsidRPr="001525F3">
        <w:rPr>
          <w:rFonts w:ascii="Times New Roman" w:eastAsia="Calibri" w:hAnsi="Times New Roman"/>
          <w:szCs w:val="24"/>
          <w:lang w:eastAsia="en-US"/>
        </w:rPr>
        <w:t xml:space="preserve">EUR </w:t>
      </w:r>
      <w:r w:rsidRPr="00412DB3">
        <w:rPr>
          <w:rFonts w:ascii="Times New Roman" w:eastAsia="Calibri" w:hAnsi="Times New Roman"/>
          <w:szCs w:val="24"/>
          <w:lang w:eastAsia="en-US"/>
        </w:rPr>
        <w:t>4 m</w:t>
      </w:r>
      <w:r>
        <w:rPr>
          <w:rFonts w:ascii="Times New Roman" w:eastAsia="Calibri" w:hAnsi="Times New Roman"/>
          <w:szCs w:val="24"/>
          <w:lang w:eastAsia="en-US"/>
        </w:rPr>
        <w:t>illion</w:t>
      </w:r>
      <w:r w:rsidRPr="00412DB3">
        <w:rPr>
          <w:rFonts w:ascii="Times New Roman" w:eastAsia="Calibri" w:hAnsi="Times New Roman"/>
          <w:szCs w:val="24"/>
          <w:lang w:eastAsia="en-US"/>
        </w:rPr>
        <w:t xml:space="preserve"> are currently being awarded, for the coordination and/</w:t>
      </w:r>
      <w:r>
        <w:rPr>
          <w:rFonts w:ascii="Times New Roman" w:eastAsia="Calibri" w:hAnsi="Times New Roman"/>
          <w:szCs w:val="24"/>
          <w:lang w:eastAsia="en-US"/>
        </w:rPr>
        <w:t xml:space="preserve"> </w:t>
      </w:r>
      <w:r w:rsidRPr="00412DB3">
        <w:rPr>
          <w:rFonts w:ascii="Times New Roman" w:eastAsia="Calibri" w:hAnsi="Times New Roman"/>
          <w:szCs w:val="24"/>
          <w:lang w:eastAsia="en-US"/>
        </w:rPr>
        <w:t>or adaptation of support services for sexual and gender-based violence to include refugees and migrants (children, women, LGBTQI</w:t>
      </w:r>
      <w:r>
        <w:rPr>
          <w:rFonts w:ascii="Times New Roman" w:eastAsia="Calibri" w:hAnsi="Times New Roman"/>
          <w:szCs w:val="24"/>
          <w:lang w:eastAsia="en-US"/>
        </w:rPr>
        <w:t xml:space="preserve"> (</w:t>
      </w:r>
      <w:r w:rsidRPr="00B87222">
        <w:rPr>
          <w:rFonts w:ascii="Times New Roman" w:eastAsia="Calibri" w:hAnsi="Times New Roman"/>
          <w:szCs w:val="24"/>
          <w:lang w:eastAsia="en-US"/>
        </w:rPr>
        <w:t xml:space="preserve">Lesbian, Gay, Bisexual, Transgender, Queer </w:t>
      </w:r>
      <w:r>
        <w:rPr>
          <w:rFonts w:ascii="Times New Roman" w:eastAsia="Calibri" w:hAnsi="Times New Roman"/>
          <w:szCs w:val="24"/>
          <w:lang w:eastAsia="en-US"/>
        </w:rPr>
        <w:t xml:space="preserve">and </w:t>
      </w:r>
      <w:r w:rsidRPr="00B87222">
        <w:rPr>
          <w:rFonts w:ascii="Times New Roman" w:eastAsia="Calibri" w:hAnsi="Times New Roman"/>
          <w:szCs w:val="24"/>
          <w:lang w:eastAsia="en-US"/>
        </w:rPr>
        <w:t>Intersex</w:t>
      </w:r>
      <w:r>
        <w:rPr>
          <w:rFonts w:ascii="Times New Roman" w:eastAsia="Calibri" w:hAnsi="Times New Roman"/>
          <w:szCs w:val="24"/>
          <w:lang w:eastAsia="en-US"/>
        </w:rPr>
        <w:t>)</w:t>
      </w:r>
      <w:r w:rsidRPr="00412DB3">
        <w:rPr>
          <w:rFonts w:ascii="Times New Roman" w:eastAsia="Calibri" w:hAnsi="Times New Roman"/>
          <w:szCs w:val="24"/>
          <w:lang w:eastAsia="en-US"/>
        </w:rPr>
        <w:t xml:space="preserve"> persons, young men and boys</w:t>
      </w:r>
      <w:r w:rsidRPr="00412DB3">
        <w:rPr>
          <w:rStyle w:val="FootnoteReference"/>
          <w:rFonts w:ascii="Times New Roman" w:eastAsia="Calibri" w:hAnsi="Times New Roman"/>
          <w:szCs w:val="24"/>
          <w:lang w:eastAsia="en-US"/>
        </w:rPr>
        <w:footnoteReference w:id="7"/>
      </w:r>
      <w:r w:rsidRPr="00412DB3">
        <w:rPr>
          <w:rFonts w:ascii="Times New Roman" w:eastAsia="Calibri" w:hAnsi="Times New Roman"/>
          <w:szCs w:val="24"/>
          <w:lang w:eastAsia="en-US"/>
        </w:rPr>
        <w:t>. Ten projects have been awarded (</w:t>
      </w:r>
      <w:r w:rsidRPr="001525F3">
        <w:rPr>
          <w:rFonts w:ascii="Times New Roman" w:eastAsia="Calibri" w:hAnsi="Times New Roman"/>
          <w:szCs w:val="24"/>
          <w:lang w:eastAsia="en-US"/>
        </w:rPr>
        <w:t xml:space="preserve">EUR </w:t>
      </w:r>
      <w:r w:rsidRPr="00412DB3">
        <w:rPr>
          <w:rFonts w:ascii="Times New Roman" w:eastAsia="Calibri" w:hAnsi="Times New Roman"/>
          <w:szCs w:val="24"/>
          <w:lang w:eastAsia="en-US"/>
        </w:rPr>
        <w:t>3.6</w:t>
      </w:r>
      <w:r>
        <w:rPr>
          <w:rFonts w:ascii="Times New Roman" w:eastAsia="Calibri" w:hAnsi="Times New Roman"/>
          <w:szCs w:val="24"/>
          <w:lang w:eastAsia="en-US"/>
        </w:rPr>
        <w:t xml:space="preserve"> </w:t>
      </w:r>
      <w:r w:rsidRPr="00412DB3">
        <w:rPr>
          <w:rFonts w:ascii="Times New Roman" w:eastAsia="Calibri" w:hAnsi="Times New Roman"/>
          <w:szCs w:val="24"/>
          <w:lang w:eastAsia="en-US"/>
        </w:rPr>
        <w:t>m</w:t>
      </w:r>
      <w:r>
        <w:rPr>
          <w:rFonts w:ascii="Times New Roman" w:eastAsia="Calibri" w:hAnsi="Times New Roman"/>
          <w:szCs w:val="24"/>
          <w:lang w:eastAsia="en-US"/>
        </w:rPr>
        <w:t>illion</w:t>
      </w:r>
      <w:r w:rsidRPr="00412DB3">
        <w:rPr>
          <w:rFonts w:ascii="Times New Roman" w:eastAsia="Calibri" w:hAnsi="Times New Roman"/>
          <w:szCs w:val="24"/>
          <w:lang w:eastAsia="en-US"/>
        </w:rPr>
        <w:t xml:space="preserve">) under </w:t>
      </w:r>
      <w:r>
        <w:rPr>
          <w:rFonts w:ascii="Times New Roman" w:eastAsia="Calibri" w:hAnsi="Times New Roman"/>
          <w:szCs w:val="24"/>
          <w:lang w:eastAsia="en-US"/>
        </w:rPr>
        <w:t xml:space="preserve">a </w:t>
      </w:r>
      <w:r w:rsidRPr="00412DB3">
        <w:rPr>
          <w:rFonts w:ascii="Times New Roman" w:eastAsia="Calibri" w:hAnsi="Times New Roman"/>
          <w:szCs w:val="24"/>
          <w:lang w:eastAsia="en-US"/>
        </w:rPr>
        <w:t xml:space="preserve">2017 call on capacity building in the area of rights of the child for putting in place robust national or regional mechanisms to support </w:t>
      </w:r>
      <w:r w:rsidRPr="00412DB3">
        <w:rPr>
          <w:rFonts w:ascii="Times New Roman" w:eastAsia="Calibri" w:hAnsi="Times New Roman"/>
          <w:szCs w:val="24"/>
          <w:lang w:eastAsia="en-US"/>
        </w:rPr>
        <w:lastRenderedPageBreak/>
        <w:t xml:space="preserve">children ageing put </w:t>
      </w:r>
      <w:proofErr w:type="spellStart"/>
      <w:r w:rsidRPr="00412DB3">
        <w:rPr>
          <w:rFonts w:ascii="Times New Roman" w:eastAsia="Calibri" w:hAnsi="Times New Roman"/>
          <w:szCs w:val="24"/>
          <w:lang w:eastAsia="en-US"/>
        </w:rPr>
        <w:t>of</w:t>
      </w:r>
      <w:proofErr w:type="spellEnd"/>
      <w:r w:rsidRPr="00412DB3">
        <w:rPr>
          <w:rFonts w:ascii="Times New Roman" w:eastAsia="Calibri" w:hAnsi="Times New Roman"/>
          <w:szCs w:val="24"/>
          <w:lang w:eastAsia="en-US"/>
        </w:rPr>
        <w:t>/</w:t>
      </w:r>
      <w:r>
        <w:rPr>
          <w:rFonts w:ascii="Times New Roman" w:eastAsia="Calibri" w:hAnsi="Times New Roman"/>
          <w:szCs w:val="24"/>
          <w:lang w:eastAsia="en-US"/>
        </w:rPr>
        <w:t xml:space="preserve"> </w:t>
      </w:r>
      <w:r w:rsidRPr="00412DB3">
        <w:rPr>
          <w:rFonts w:ascii="Times New Roman" w:eastAsia="Calibri" w:hAnsi="Times New Roman"/>
          <w:szCs w:val="24"/>
          <w:lang w:eastAsia="en-US"/>
        </w:rPr>
        <w:t>leaving alternative care (including third-country national/</w:t>
      </w:r>
      <w:r>
        <w:rPr>
          <w:rFonts w:ascii="Times New Roman" w:eastAsia="Calibri" w:hAnsi="Times New Roman"/>
          <w:szCs w:val="24"/>
          <w:lang w:eastAsia="en-US"/>
        </w:rPr>
        <w:t xml:space="preserve"> </w:t>
      </w:r>
      <w:r w:rsidRPr="00412DB3">
        <w:rPr>
          <w:rFonts w:ascii="Times New Roman" w:eastAsia="Calibri" w:hAnsi="Times New Roman"/>
          <w:szCs w:val="24"/>
          <w:lang w:eastAsia="en-US"/>
        </w:rPr>
        <w:t>migrant children, also unaccompanied)</w:t>
      </w:r>
      <w:r w:rsidRPr="00412DB3">
        <w:rPr>
          <w:rStyle w:val="FootnoteReference"/>
          <w:rFonts w:ascii="Times New Roman" w:eastAsia="Calibri" w:hAnsi="Times New Roman"/>
          <w:szCs w:val="24"/>
          <w:lang w:eastAsia="en-US"/>
        </w:rPr>
        <w:footnoteReference w:id="8"/>
      </w:r>
      <w:r w:rsidRPr="00412DB3">
        <w:rPr>
          <w:rFonts w:ascii="Times New Roman" w:eastAsia="Calibri" w:hAnsi="Times New Roman"/>
          <w:szCs w:val="24"/>
          <w:lang w:eastAsia="en-US"/>
        </w:rPr>
        <w:t>. In view of the needs, the same funding priority is currently running for</w:t>
      </w:r>
      <w:r>
        <w:rPr>
          <w:rFonts w:ascii="Times New Roman" w:eastAsia="Calibri" w:hAnsi="Times New Roman"/>
          <w:szCs w:val="24"/>
          <w:lang w:eastAsia="en-US"/>
        </w:rPr>
        <w:t> </w:t>
      </w:r>
      <w:r w:rsidRPr="00412DB3">
        <w:rPr>
          <w:rFonts w:ascii="Times New Roman" w:eastAsia="Calibri" w:hAnsi="Times New Roman"/>
          <w:szCs w:val="24"/>
          <w:lang w:eastAsia="en-US"/>
        </w:rPr>
        <w:t>2018</w:t>
      </w:r>
      <w:r w:rsidRPr="00412DB3">
        <w:rPr>
          <w:rStyle w:val="FootnoteReference"/>
          <w:rFonts w:ascii="Times New Roman" w:eastAsia="Calibri" w:hAnsi="Times New Roman"/>
          <w:szCs w:val="24"/>
          <w:lang w:eastAsia="en-US"/>
        </w:rPr>
        <w:footnoteReference w:id="9"/>
      </w:r>
      <w:r w:rsidRPr="00412DB3">
        <w:rPr>
          <w:rFonts w:ascii="Times New Roman" w:eastAsia="Calibri" w:hAnsi="Times New Roman"/>
          <w:szCs w:val="24"/>
          <w:lang w:eastAsia="en-US"/>
        </w:rPr>
        <w:t>.</w:t>
      </w:r>
    </w:p>
    <w:p w:rsidR="00A6426D" w:rsidRPr="00C03071" w:rsidRDefault="00A6426D" w:rsidP="00A6426D">
      <w:pPr>
        <w:spacing w:after="120"/>
        <w:rPr>
          <w:rFonts w:ascii="Times New Roman" w:eastAsia="Calibri" w:hAnsi="Times New Roman"/>
          <w:szCs w:val="24"/>
          <w:lang w:eastAsia="en-US"/>
        </w:rPr>
      </w:pPr>
      <w:r w:rsidRPr="00D26D05">
        <w:rPr>
          <w:rFonts w:ascii="Times New Roman" w:eastAsia="Calibri" w:hAnsi="Times New Roman"/>
          <w:szCs w:val="24"/>
          <w:lang w:eastAsia="en-US"/>
        </w:rPr>
        <w:t xml:space="preserve">Concrete actions </w:t>
      </w:r>
      <w:r>
        <w:rPr>
          <w:rFonts w:ascii="Times New Roman" w:eastAsia="Calibri" w:hAnsi="Times New Roman"/>
          <w:szCs w:val="24"/>
          <w:lang w:eastAsia="en-US"/>
        </w:rPr>
        <w:t>are ongoing</w:t>
      </w:r>
      <w:r w:rsidRPr="00D26D05">
        <w:rPr>
          <w:rFonts w:ascii="Times New Roman" w:eastAsia="Calibri" w:hAnsi="Times New Roman"/>
          <w:szCs w:val="24"/>
          <w:lang w:eastAsia="en-US"/>
        </w:rPr>
        <w:t xml:space="preserve"> to</w:t>
      </w:r>
      <w:r>
        <w:rPr>
          <w:rFonts w:ascii="Times New Roman" w:eastAsia="Calibri" w:hAnsi="Times New Roman"/>
          <w:szCs w:val="24"/>
          <w:lang w:eastAsia="en-US"/>
        </w:rPr>
        <w:t xml:space="preserve"> support</w:t>
      </w:r>
      <w:r w:rsidRPr="00D26D05">
        <w:rPr>
          <w:rFonts w:ascii="Times New Roman" w:eastAsia="Calibri" w:hAnsi="Times New Roman"/>
          <w:szCs w:val="24"/>
          <w:lang w:eastAsia="en-US"/>
        </w:rPr>
        <w:t xml:space="preserve"> the development of integrated child protection mechanisms in partner countries</w:t>
      </w:r>
      <w:r>
        <w:rPr>
          <w:rFonts w:ascii="Times New Roman" w:eastAsia="Calibri" w:hAnsi="Times New Roman"/>
          <w:szCs w:val="24"/>
          <w:lang w:eastAsia="en-US"/>
        </w:rPr>
        <w:t xml:space="preserve"> and</w:t>
      </w:r>
      <w:r w:rsidRPr="00D26D05">
        <w:rPr>
          <w:rFonts w:ascii="Times New Roman" w:eastAsia="Calibri" w:hAnsi="Times New Roman"/>
          <w:szCs w:val="24"/>
          <w:lang w:eastAsia="en-US"/>
        </w:rPr>
        <w:t xml:space="preserve"> to provide a safe environment for children along the migration route.</w:t>
      </w:r>
      <w:r w:rsidRPr="00CD20C0">
        <w:rPr>
          <w:rFonts w:ascii="Times New Roman" w:hAnsi="Times New Roman"/>
        </w:rPr>
        <w:t xml:space="preserve"> </w:t>
      </w:r>
      <w:r w:rsidRPr="00D26D05">
        <w:rPr>
          <w:rFonts w:ascii="Times New Roman" w:eastAsia="Calibri" w:hAnsi="Times New Roman"/>
          <w:szCs w:val="24"/>
          <w:lang w:eastAsia="en-US"/>
        </w:rPr>
        <w:t xml:space="preserve">For instance, the Regional Development and Protection Programme (RDPP) framework, for which projects are </w:t>
      </w:r>
      <w:proofErr w:type="gramStart"/>
      <w:r w:rsidRPr="00D26D05">
        <w:rPr>
          <w:rFonts w:ascii="Times New Roman" w:eastAsia="Calibri" w:hAnsi="Times New Roman"/>
          <w:szCs w:val="24"/>
          <w:lang w:eastAsia="en-US"/>
        </w:rPr>
        <w:t>on-going</w:t>
      </w:r>
      <w:proofErr w:type="gramEnd"/>
      <w:r w:rsidRPr="00D26D05">
        <w:rPr>
          <w:rFonts w:ascii="Times New Roman" w:eastAsia="Calibri" w:hAnsi="Times New Roman"/>
          <w:szCs w:val="24"/>
          <w:lang w:eastAsia="en-US"/>
        </w:rPr>
        <w:t xml:space="preserve"> in Ethiopia (</w:t>
      </w:r>
      <w:r w:rsidRPr="001525F3">
        <w:rPr>
          <w:rFonts w:ascii="Times New Roman" w:eastAsia="Calibri" w:hAnsi="Times New Roman"/>
          <w:szCs w:val="24"/>
          <w:lang w:eastAsia="en-US"/>
        </w:rPr>
        <w:t xml:space="preserve">EUR </w:t>
      </w:r>
      <w:r w:rsidRPr="00D26D05">
        <w:rPr>
          <w:rFonts w:ascii="Times New Roman" w:eastAsia="Calibri" w:hAnsi="Times New Roman"/>
          <w:szCs w:val="24"/>
          <w:lang w:eastAsia="en-US"/>
        </w:rPr>
        <w:t>30 million), Kenya (</w:t>
      </w:r>
      <w:r w:rsidRPr="001525F3">
        <w:rPr>
          <w:rFonts w:ascii="Times New Roman" w:eastAsia="Calibri" w:hAnsi="Times New Roman"/>
          <w:szCs w:val="24"/>
          <w:lang w:eastAsia="en-US"/>
        </w:rPr>
        <w:t>EUR</w:t>
      </w:r>
      <w:r>
        <w:rPr>
          <w:rFonts w:ascii="Times New Roman" w:eastAsia="Calibri" w:hAnsi="Times New Roman"/>
          <w:szCs w:val="24"/>
          <w:lang w:eastAsia="en-US"/>
        </w:rPr>
        <w:t> </w:t>
      </w:r>
      <w:r w:rsidRPr="00D26D05">
        <w:rPr>
          <w:rFonts w:ascii="Times New Roman" w:eastAsia="Calibri" w:hAnsi="Times New Roman"/>
          <w:szCs w:val="24"/>
          <w:lang w:eastAsia="en-US"/>
        </w:rPr>
        <w:t>15</w:t>
      </w:r>
      <w:r>
        <w:rPr>
          <w:rFonts w:ascii="Times New Roman" w:eastAsia="Calibri" w:hAnsi="Times New Roman"/>
          <w:szCs w:val="24"/>
          <w:lang w:eastAsia="en-US"/>
        </w:rPr>
        <w:t> </w:t>
      </w:r>
      <w:r w:rsidRPr="00D26D05">
        <w:rPr>
          <w:rFonts w:ascii="Times New Roman" w:eastAsia="Calibri" w:hAnsi="Times New Roman"/>
          <w:szCs w:val="24"/>
          <w:lang w:eastAsia="en-US"/>
        </w:rPr>
        <w:t>million), Somalia (</w:t>
      </w:r>
      <w:r w:rsidRPr="001525F3">
        <w:rPr>
          <w:rFonts w:ascii="Times New Roman" w:eastAsia="Calibri" w:hAnsi="Times New Roman"/>
          <w:szCs w:val="24"/>
          <w:lang w:eastAsia="en-US"/>
        </w:rPr>
        <w:t xml:space="preserve">EUR </w:t>
      </w:r>
      <w:r w:rsidRPr="00D26D05">
        <w:rPr>
          <w:rFonts w:ascii="Times New Roman" w:eastAsia="Calibri" w:hAnsi="Times New Roman"/>
          <w:szCs w:val="24"/>
          <w:lang w:eastAsia="en-US"/>
        </w:rPr>
        <w:t>50 million), Sudan (</w:t>
      </w:r>
      <w:r w:rsidRPr="001525F3">
        <w:rPr>
          <w:rFonts w:ascii="Times New Roman" w:eastAsia="Calibri" w:hAnsi="Times New Roman"/>
          <w:szCs w:val="24"/>
          <w:lang w:eastAsia="en-US"/>
        </w:rPr>
        <w:t xml:space="preserve">EUR </w:t>
      </w:r>
      <w:r w:rsidRPr="00D26D05">
        <w:rPr>
          <w:rFonts w:ascii="Times New Roman" w:eastAsia="Calibri" w:hAnsi="Times New Roman"/>
          <w:szCs w:val="24"/>
          <w:lang w:eastAsia="en-US"/>
        </w:rPr>
        <w:t>15 million) and Uganda (</w:t>
      </w:r>
      <w:r w:rsidRPr="001525F3">
        <w:rPr>
          <w:rFonts w:ascii="Times New Roman" w:eastAsia="Calibri" w:hAnsi="Times New Roman"/>
          <w:szCs w:val="24"/>
          <w:lang w:eastAsia="en-US"/>
        </w:rPr>
        <w:t>EUR</w:t>
      </w:r>
      <w:r>
        <w:rPr>
          <w:rFonts w:ascii="Times New Roman" w:eastAsia="Calibri" w:hAnsi="Times New Roman"/>
          <w:szCs w:val="24"/>
          <w:lang w:eastAsia="en-US"/>
        </w:rPr>
        <w:t> </w:t>
      </w:r>
      <w:r w:rsidRPr="00D26D05">
        <w:rPr>
          <w:rFonts w:ascii="Times New Roman" w:eastAsia="Calibri" w:hAnsi="Times New Roman"/>
          <w:szCs w:val="24"/>
          <w:lang w:eastAsia="en-US"/>
        </w:rPr>
        <w:t>20</w:t>
      </w:r>
      <w:r>
        <w:rPr>
          <w:rFonts w:ascii="Times New Roman" w:eastAsia="Calibri" w:hAnsi="Times New Roman"/>
          <w:szCs w:val="24"/>
          <w:lang w:eastAsia="en-US"/>
        </w:rPr>
        <w:t> </w:t>
      </w:r>
      <w:r w:rsidRPr="00D26D05">
        <w:rPr>
          <w:rFonts w:ascii="Times New Roman" w:eastAsia="Calibri" w:hAnsi="Times New Roman"/>
          <w:szCs w:val="24"/>
          <w:lang w:eastAsia="en-US"/>
        </w:rPr>
        <w:t xml:space="preserve">million), focuses on the protection of unaccompanied minors to create evidence-based, innovative and sustainable development and protection solutions. In West Africa, support </w:t>
      </w:r>
      <w:proofErr w:type="gramStart"/>
      <w:r w:rsidRPr="00D26D05">
        <w:rPr>
          <w:rFonts w:ascii="Times New Roman" w:eastAsia="Calibri" w:hAnsi="Times New Roman"/>
          <w:szCs w:val="24"/>
          <w:lang w:eastAsia="en-US"/>
        </w:rPr>
        <w:t>is provided</w:t>
      </w:r>
      <w:proofErr w:type="gramEnd"/>
      <w:r w:rsidRPr="00D26D05">
        <w:rPr>
          <w:rFonts w:ascii="Times New Roman" w:eastAsia="Calibri" w:hAnsi="Times New Roman"/>
          <w:szCs w:val="24"/>
          <w:lang w:eastAsia="en-US"/>
        </w:rPr>
        <w:t xml:space="preserve"> to countries of origin and transit to strengthen regional and cross-border cooperation on child protection supporting the West Africa Network for the protection of children on the move, providing assistance in developing common child protection standards and sustainable return and reintegration mechanisms</w:t>
      </w:r>
      <w:r>
        <w:rPr>
          <w:rFonts w:ascii="Times New Roman" w:eastAsia="Calibri" w:hAnsi="Times New Roman"/>
          <w:szCs w:val="24"/>
          <w:lang w:eastAsia="en-US"/>
        </w:rPr>
        <w:t xml:space="preserve">, </w:t>
      </w:r>
      <w:r w:rsidRPr="00876AC0">
        <w:rPr>
          <w:rFonts w:ascii="Times New Roman" w:hAnsi="Times New Roman"/>
          <w:szCs w:val="24"/>
        </w:rPr>
        <w:t>thus reducing their vulnerability and improving their access</w:t>
      </w:r>
      <w:r>
        <w:rPr>
          <w:rFonts w:ascii="Times New Roman" w:hAnsi="Times New Roman"/>
          <w:szCs w:val="24"/>
        </w:rPr>
        <w:t xml:space="preserve"> to development opportunities.</w:t>
      </w:r>
      <w:r w:rsidRPr="00D26D05">
        <w:rPr>
          <w:rFonts w:ascii="Times New Roman" w:eastAsia="Calibri" w:hAnsi="Times New Roman"/>
          <w:szCs w:val="24"/>
          <w:lang w:eastAsia="en-US"/>
        </w:rPr>
        <w:t xml:space="preserve"> Other specific targeted actions </w:t>
      </w:r>
      <w:proofErr w:type="gramStart"/>
      <w:r w:rsidRPr="00D26D05">
        <w:rPr>
          <w:rFonts w:ascii="Times New Roman" w:eastAsia="Calibri" w:hAnsi="Times New Roman"/>
          <w:szCs w:val="24"/>
          <w:lang w:eastAsia="en-US"/>
        </w:rPr>
        <w:t>are currently implemented</w:t>
      </w:r>
      <w:proofErr w:type="gramEnd"/>
      <w:r w:rsidRPr="00D26D05">
        <w:rPr>
          <w:rFonts w:ascii="Times New Roman" w:eastAsia="Calibri" w:hAnsi="Times New Roman"/>
          <w:szCs w:val="24"/>
          <w:lang w:eastAsia="en-US"/>
        </w:rPr>
        <w:t xml:space="preserve"> in the region, for example in Mauritania, focused on potential victims of child trafficking</w:t>
      </w:r>
      <w:r>
        <w:rPr>
          <w:rFonts w:ascii="Times New Roman" w:eastAsia="Calibri" w:hAnsi="Times New Roman"/>
          <w:szCs w:val="24"/>
          <w:lang w:eastAsia="en-US"/>
        </w:rPr>
        <w:t>.</w:t>
      </w:r>
    </w:p>
    <w:p w:rsidR="00A6426D" w:rsidRDefault="00A6426D" w:rsidP="00A6426D">
      <w:pPr>
        <w:spacing w:after="120"/>
        <w:rPr>
          <w:rFonts w:ascii="Times New Roman" w:eastAsia="Calibri" w:hAnsi="Times New Roman"/>
          <w:szCs w:val="24"/>
          <w:lang w:eastAsia="en-US"/>
        </w:rPr>
      </w:pPr>
      <w:r w:rsidRPr="006E7100">
        <w:rPr>
          <w:rFonts w:ascii="Times New Roman" w:eastAsia="Calibri" w:hAnsi="Times New Roman"/>
          <w:b/>
          <w:szCs w:val="24"/>
          <w:lang w:eastAsia="en-US"/>
        </w:rPr>
        <w:t>Paragraph 2</w:t>
      </w:r>
      <w:r w:rsidRPr="00EA7B2F">
        <w:rPr>
          <w:rFonts w:ascii="Times New Roman" w:eastAsia="Calibri" w:hAnsi="Times New Roman"/>
          <w:b/>
          <w:szCs w:val="24"/>
          <w:lang w:eastAsia="en-US"/>
        </w:rPr>
        <w:t>7</w:t>
      </w:r>
      <w:r w:rsidRPr="00230BBD">
        <w:rPr>
          <w:rFonts w:ascii="Times New Roman" w:eastAsia="Calibri" w:hAnsi="Times New Roman"/>
          <w:b/>
          <w:szCs w:val="24"/>
          <w:lang w:eastAsia="en-US"/>
        </w:rPr>
        <w:t>:</w:t>
      </w:r>
    </w:p>
    <w:p w:rsidR="00A6426D" w:rsidRPr="00770553" w:rsidRDefault="00A6426D" w:rsidP="00A6426D">
      <w:pPr>
        <w:spacing w:after="120"/>
        <w:rPr>
          <w:rFonts w:ascii="Times New Roman" w:hAnsi="Times New Roman"/>
          <w:szCs w:val="24"/>
          <w:lang w:val="fr-BE" w:eastAsia="en-US"/>
        </w:rPr>
      </w:pPr>
      <w:proofErr w:type="gramStart"/>
      <w:r>
        <w:rPr>
          <w:rFonts w:ascii="Times New Roman" w:eastAsia="Calibri" w:hAnsi="Times New Roman"/>
          <w:szCs w:val="24"/>
          <w:lang w:eastAsia="en-US"/>
        </w:rPr>
        <w:t>In the context of the implementation of the actions in the Communication on the protection of children in migration of 12 April 2017, the Commission has set up a joint asylum and rights of the child informal expert group which aims to discuss how child protection gaps can be better addressed, fostering mutual learning and the sharing of good practices, including on how to increase cross-border cooperation.</w:t>
      </w:r>
      <w:proofErr w:type="gramEnd"/>
      <w:r>
        <w:rPr>
          <w:rFonts w:ascii="Times New Roman" w:eastAsia="Calibri" w:hAnsi="Times New Roman"/>
          <w:szCs w:val="24"/>
          <w:lang w:eastAsia="en-US"/>
        </w:rPr>
        <w:t xml:space="preserve"> The informal expert group meets on a bi-annual basis. With a view to support Member States in better coordination and </w:t>
      </w:r>
      <w:proofErr w:type="gramStart"/>
      <w:r>
        <w:rPr>
          <w:rFonts w:ascii="Times New Roman" w:eastAsia="Calibri" w:hAnsi="Times New Roman"/>
          <w:szCs w:val="24"/>
          <w:lang w:eastAsia="en-US"/>
        </w:rPr>
        <w:t>information-sharing</w:t>
      </w:r>
      <w:proofErr w:type="gramEnd"/>
      <w:r>
        <w:rPr>
          <w:rFonts w:ascii="Times New Roman" w:eastAsia="Calibri" w:hAnsi="Times New Roman"/>
          <w:szCs w:val="24"/>
          <w:lang w:eastAsia="en-US"/>
        </w:rPr>
        <w:t>, the Commission is also supporting the establishment of a European Guardianship Network and launching an online database on good practices on the protection of children in migration. Both will be operational as from June/ July 2018.</w:t>
      </w:r>
    </w:p>
    <w:p w:rsidR="00D252EB" w:rsidRDefault="00A6426D"/>
    <w:sectPr w:rsidR="00D252EB" w:rsidSect="009C4496">
      <w:footnotePr>
        <w:numRestart w:val="eachSect"/>
      </w:footnotePr>
      <w:pgSz w:w="11906" w:h="16838" w:code="9"/>
      <w:pgMar w:top="1021" w:right="1133"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26D" w:rsidRDefault="00A6426D" w:rsidP="00A6426D">
      <w:pPr>
        <w:spacing w:after="0"/>
      </w:pPr>
      <w:r>
        <w:separator/>
      </w:r>
    </w:p>
  </w:endnote>
  <w:endnote w:type="continuationSeparator" w:id="0">
    <w:p w:rsidR="00A6426D" w:rsidRDefault="00A6426D" w:rsidP="00A642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26D" w:rsidRDefault="00A6426D" w:rsidP="00A6426D">
      <w:pPr>
        <w:spacing w:after="0"/>
      </w:pPr>
      <w:r>
        <w:separator/>
      </w:r>
    </w:p>
  </w:footnote>
  <w:footnote w:type="continuationSeparator" w:id="0">
    <w:p w:rsidR="00A6426D" w:rsidRDefault="00A6426D" w:rsidP="00A6426D">
      <w:pPr>
        <w:spacing w:after="0"/>
      </w:pPr>
      <w:r>
        <w:continuationSeparator/>
      </w:r>
    </w:p>
  </w:footnote>
  <w:footnote w:id="1">
    <w:p w:rsidR="00A6426D" w:rsidRPr="00D65E3D" w:rsidRDefault="00A6426D" w:rsidP="00A6426D">
      <w:pPr>
        <w:pStyle w:val="FootnoteText"/>
        <w:spacing w:after="120"/>
        <w:ind w:left="284" w:hanging="284"/>
        <w:rPr>
          <w:rFonts w:ascii="Times New Roman" w:hAnsi="Times New Roman"/>
          <w:lang w:val="pt-PT"/>
        </w:rPr>
      </w:pPr>
      <w:r w:rsidRPr="00230BBD">
        <w:rPr>
          <w:rStyle w:val="FootnoteReference"/>
          <w:rFonts w:ascii="Times New Roman" w:hAnsi="Times New Roman"/>
        </w:rPr>
        <w:footnoteRef/>
      </w:r>
      <w:r w:rsidRPr="00D65E3D">
        <w:rPr>
          <w:rFonts w:ascii="Times New Roman" w:hAnsi="Times New Roman"/>
          <w:lang w:val="pt-PT"/>
        </w:rPr>
        <w:tab/>
      </w:r>
      <w:proofErr w:type="gramStart"/>
      <w:r w:rsidRPr="00D65E3D">
        <w:rPr>
          <w:rStyle w:val="Hyperlink"/>
          <w:rFonts w:ascii="Times New Roman" w:hAnsi="Times New Roman"/>
          <w:lang w:val="pt-PT"/>
        </w:rPr>
        <w:t>COM(</w:t>
      </w:r>
      <w:proofErr w:type="gramEnd"/>
      <w:r w:rsidRPr="00D65E3D">
        <w:rPr>
          <w:rStyle w:val="Hyperlink"/>
          <w:rFonts w:ascii="Times New Roman" w:hAnsi="Times New Roman"/>
          <w:lang w:val="pt-PT"/>
        </w:rPr>
        <w:t>2017) 211 final.</w:t>
      </w:r>
    </w:p>
  </w:footnote>
  <w:footnote w:id="2">
    <w:p w:rsidR="00A6426D" w:rsidRPr="00D65E3D" w:rsidRDefault="00A6426D" w:rsidP="00A6426D">
      <w:pPr>
        <w:pStyle w:val="FootnoteText"/>
        <w:spacing w:after="120"/>
        <w:ind w:left="284" w:hanging="284"/>
        <w:rPr>
          <w:rFonts w:ascii="Times New Roman" w:hAnsi="Times New Roman"/>
          <w:lang w:val="pt-PT"/>
        </w:rPr>
      </w:pPr>
      <w:r w:rsidRPr="00D65E3D">
        <w:rPr>
          <w:rStyle w:val="FootnoteReference"/>
          <w:rFonts w:ascii="Times New Roman" w:hAnsi="Times New Roman"/>
        </w:rPr>
        <w:footnoteRef/>
      </w:r>
      <w:r w:rsidRPr="00D65E3D">
        <w:rPr>
          <w:rFonts w:ascii="Times New Roman" w:hAnsi="Times New Roman"/>
          <w:lang w:val="pt-PT"/>
        </w:rPr>
        <w:tab/>
      </w:r>
      <w:r w:rsidRPr="00D65E3D">
        <w:rPr>
          <w:rStyle w:val="Hyperlink"/>
          <w:rFonts w:ascii="Times New Roman" w:hAnsi="Times New Roman"/>
          <w:lang w:val="pt-PT"/>
        </w:rPr>
        <w:t>https://ec.europa.eu/info/policies/justice-and-fundamental-rights/rights-child/children-migration_en</w:t>
      </w:r>
    </w:p>
  </w:footnote>
  <w:footnote w:id="3">
    <w:p w:rsidR="00A6426D" w:rsidRPr="00D65E3D" w:rsidRDefault="00A6426D" w:rsidP="00A6426D">
      <w:pPr>
        <w:pStyle w:val="Default"/>
        <w:spacing w:after="120"/>
        <w:ind w:left="284" w:hanging="284"/>
        <w:rPr>
          <w:color w:val="auto"/>
          <w:sz w:val="20"/>
          <w:szCs w:val="20"/>
          <w:lang w:val="pt-PT"/>
        </w:rPr>
      </w:pPr>
      <w:r w:rsidRPr="00D65E3D">
        <w:rPr>
          <w:rStyle w:val="FootnoteReference"/>
          <w:color w:val="auto"/>
          <w:sz w:val="20"/>
          <w:szCs w:val="20"/>
        </w:rPr>
        <w:footnoteRef/>
      </w:r>
      <w:r w:rsidRPr="00D65E3D">
        <w:rPr>
          <w:rFonts w:eastAsia="Calibri"/>
          <w:color w:val="auto"/>
          <w:sz w:val="20"/>
          <w:szCs w:val="20"/>
          <w:lang w:val="pt-PT" w:eastAsia="en-US"/>
        </w:rPr>
        <w:tab/>
      </w:r>
      <w:proofErr w:type="gramStart"/>
      <w:r w:rsidRPr="00D65E3D">
        <w:rPr>
          <w:rStyle w:val="Hyperlink"/>
          <w:color w:val="auto"/>
          <w:sz w:val="20"/>
          <w:szCs w:val="20"/>
          <w:lang w:val="pt-PT" w:eastAsia="en-GB"/>
        </w:rPr>
        <w:t>COM(</w:t>
      </w:r>
      <w:proofErr w:type="gramEnd"/>
      <w:r w:rsidRPr="00D65E3D">
        <w:rPr>
          <w:rStyle w:val="Hyperlink"/>
          <w:color w:val="auto"/>
          <w:sz w:val="20"/>
          <w:szCs w:val="20"/>
          <w:lang w:val="pt-PT" w:eastAsia="en-GB"/>
        </w:rPr>
        <w:t>2018) 301 final, 16.5.2018</w:t>
      </w:r>
    </w:p>
  </w:footnote>
  <w:footnote w:id="4">
    <w:p w:rsidR="00A6426D" w:rsidRPr="00CD20C0" w:rsidRDefault="00A6426D" w:rsidP="00A6426D">
      <w:pPr>
        <w:spacing w:after="120"/>
        <w:ind w:left="284" w:hanging="284"/>
        <w:rPr>
          <w:rFonts w:ascii="Times New Roman" w:hAnsi="Times New Roman"/>
          <w:sz w:val="20"/>
          <w:lang w:val="pt-PT"/>
        </w:rPr>
      </w:pPr>
      <w:r w:rsidRPr="00D65E3D">
        <w:rPr>
          <w:rFonts w:ascii="Times New Roman" w:hAnsi="Times New Roman"/>
          <w:sz w:val="20"/>
          <w:vertAlign w:val="superscript"/>
          <w:lang w:val="pt-PT"/>
        </w:rPr>
        <w:t>18</w:t>
      </w:r>
      <w:r w:rsidRPr="00D65E3D">
        <w:rPr>
          <w:rFonts w:ascii="Times New Roman" w:hAnsi="Times New Roman"/>
          <w:sz w:val="20"/>
          <w:lang w:val="pt-PT"/>
        </w:rPr>
        <w:tab/>
      </w:r>
      <w:r w:rsidRPr="00D65E3D">
        <w:rPr>
          <w:rStyle w:val="Hyperlink"/>
          <w:rFonts w:ascii="Times New Roman" w:hAnsi="Times New Roman"/>
          <w:sz w:val="20"/>
          <w:lang w:val="pt-PT"/>
        </w:rPr>
        <w:t>https://ec.europa.eu/home-affairs/sites/homeaffairs/files/what-we-do/policies/european-agenda-migration/20170927_communication_on_the_delivery_of_the_eam_en.pdf</w:t>
      </w:r>
    </w:p>
  </w:footnote>
  <w:footnote w:id="5">
    <w:p w:rsidR="00A6426D" w:rsidRPr="00D65E3D" w:rsidRDefault="00A6426D" w:rsidP="00A6426D">
      <w:pPr>
        <w:pStyle w:val="FootnoteText"/>
        <w:spacing w:after="120"/>
        <w:ind w:left="284" w:hanging="284"/>
        <w:rPr>
          <w:rStyle w:val="Hyperlink"/>
          <w:rFonts w:ascii="Times New Roman" w:hAnsi="Times New Roman"/>
          <w:lang w:val="pt-PT"/>
        </w:rPr>
      </w:pPr>
      <w:r w:rsidRPr="0085592C">
        <w:rPr>
          <w:rStyle w:val="FootnoteReference"/>
          <w:rFonts w:ascii="Times New Roman" w:hAnsi="Times New Roman"/>
        </w:rPr>
        <w:footnoteRef/>
      </w:r>
      <w:r w:rsidRPr="0085592C">
        <w:rPr>
          <w:rFonts w:ascii="Times New Roman" w:hAnsi="Times New Roman"/>
          <w:lang w:val="pt-PT"/>
        </w:rPr>
        <w:tab/>
      </w:r>
      <w:r w:rsidRPr="00D65E3D">
        <w:rPr>
          <w:rStyle w:val="Hyperlink"/>
          <w:rFonts w:ascii="Times New Roman" w:hAnsi="Times New Roman"/>
          <w:lang w:val="pt-PT"/>
        </w:rPr>
        <w:t>https://ec.europa.eu/home-affairs/sites/homeaffairs/files/what-we-do/networks/european_migration_network/</w:t>
      </w:r>
      <w:r w:rsidRPr="00D65E3D">
        <w:rPr>
          <w:rStyle w:val="Hyperlink"/>
          <w:rFonts w:ascii="Times New Roman" w:hAnsi="Times New Roman"/>
          <w:lang w:val="pt-PT"/>
        </w:rPr>
        <w:br/>
        <w:t>reports/docs/emn-informs/emn-informs-00_inform_statelessness_final.pdf</w:t>
      </w:r>
    </w:p>
  </w:footnote>
  <w:footnote w:id="6">
    <w:p w:rsidR="00A6426D" w:rsidRPr="00D65E3D" w:rsidRDefault="00A6426D" w:rsidP="00A6426D">
      <w:pPr>
        <w:pStyle w:val="FootnoteText"/>
        <w:spacing w:after="120"/>
        <w:ind w:left="284" w:hanging="284"/>
        <w:rPr>
          <w:rFonts w:ascii="Times New Roman" w:hAnsi="Times New Roman"/>
          <w:lang w:val="pt-PT"/>
        </w:rPr>
      </w:pPr>
      <w:r w:rsidRPr="00D65E3D">
        <w:rPr>
          <w:rStyle w:val="Hyperlink"/>
          <w:rFonts w:ascii="Times New Roman" w:hAnsi="Times New Roman"/>
          <w:vertAlign w:val="superscript"/>
        </w:rPr>
        <w:footnoteRef/>
      </w:r>
      <w:r w:rsidRPr="00D65E3D">
        <w:rPr>
          <w:rStyle w:val="Hyperlink"/>
          <w:rFonts w:ascii="Times New Roman" w:hAnsi="Times New Roman"/>
          <w:lang w:val="pt-PT"/>
        </w:rPr>
        <w:tab/>
        <w:t>https://ec.europa.eu/commission/sites/beta-political/files/communication-modern-budget-may_2018_en.pdf.</w:t>
      </w:r>
    </w:p>
  </w:footnote>
  <w:footnote w:id="7">
    <w:p w:rsidR="00A6426D" w:rsidRPr="00230BBD" w:rsidRDefault="00A6426D" w:rsidP="00A6426D">
      <w:pPr>
        <w:pStyle w:val="FootnoteText"/>
        <w:ind w:left="284" w:hanging="284"/>
        <w:jc w:val="left"/>
        <w:rPr>
          <w:rFonts w:ascii="Times New Roman" w:hAnsi="Times New Roman"/>
        </w:rPr>
      </w:pPr>
      <w:r w:rsidRPr="00D65E3D">
        <w:rPr>
          <w:rStyle w:val="FootnoteReference"/>
          <w:rFonts w:ascii="Times New Roman" w:hAnsi="Times New Roman"/>
        </w:rPr>
        <w:footnoteRef/>
      </w:r>
      <w:r w:rsidRPr="00D65E3D">
        <w:rPr>
          <w:rFonts w:ascii="Times New Roman" w:hAnsi="Times New Roman"/>
        </w:rPr>
        <w:tab/>
      </w:r>
      <w:hyperlink r:id="rId1" w:history="1">
        <w:r w:rsidRPr="00D65E3D">
          <w:rPr>
            <w:rStyle w:val="Hyperlink"/>
            <w:rFonts w:ascii="Times New Roman" w:hAnsi="Times New Roman"/>
          </w:rPr>
          <w:t>http://ec.europa.eu/research/participants/portal/desktop/en/opportunities/rec/topics/rec-rdap-gbv-ag-2017.html and http://ec.europa.eu/research/participants/portal/doc/call/rec/rec-rdap-gbv-ag-2017/1815137-call_update_flash_info_rec-rdap-gbv-ag-2017_results_en.pdf</w:t>
        </w:r>
      </w:hyperlink>
    </w:p>
  </w:footnote>
  <w:footnote w:id="8">
    <w:p w:rsidR="00A6426D" w:rsidRPr="00D65E3D" w:rsidRDefault="00A6426D" w:rsidP="00A6426D">
      <w:pPr>
        <w:pStyle w:val="FootnoteText"/>
        <w:spacing w:after="120"/>
        <w:ind w:left="284" w:hanging="284"/>
        <w:rPr>
          <w:rFonts w:ascii="Times New Roman" w:hAnsi="Times New Roman"/>
        </w:rPr>
      </w:pPr>
      <w:r w:rsidRPr="007C65DB">
        <w:rPr>
          <w:rStyle w:val="FootnoteReference"/>
          <w:rFonts w:ascii="Times New Roman" w:hAnsi="Times New Roman"/>
        </w:rPr>
        <w:footnoteRef/>
      </w:r>
      <w:r w:rsidRPr="007C65DB">
        <w:rPr>
          <w:rFonts w:ascii="Times New Roman" w:hAnsi="Times New Roman"/>
        </w:rPr>
        <w:tab/>
      </w:r>
      <w:r w:rsidRPr="00D65E3D">
        <w:rPr>
          <w:rStyle w:val="Hyperlink"/>
          <w:rFonts w:ascii="Times New Roman" w:hAnsi="Times New Roman"/>
        </w:rPr>
        <w:t>http://ec.europa.eu/research/participants/portal/desktop/en/opportunities/rec/topics/rec-rchi-prof-ag-2017.html</w:t>
      </w:r>
    </w:p>
  </w:footnote>
  <w:footnote w:id="9">
    <w:p w:rsidR="00A6426D" w:rsidRPr="00CD20C0" w:rsidRDefault="00A6426D" w:rsidP="00A6426D">
      <w:pPr>
        <w:pStyle w:val="FootnoteText"/>
        <w:spacing w:after="120"/>
        <w:ind w:left="284" w:hanging="284"/>
        <w:rPr>
          <w:rFonts w:ascii="Times New Roman" w:hAnsi="Times New Roman"/>
        </w:rPr>
      </w:pPr>
      <w:r w:rsidRPr="00D65E3D">
        <w:rPr>
          <w:rStyle w:val="FootnoteReference"/>
          <w:rFonts w:ascii="Times New Roman" w:hAnsi="Times New Roman"/>
        </w:rPr>
        <w:footnoteRef/>
      </w:r>
      <w:hyperlink r:id="rId2" w:history="1">
        <w:r w:rsidRPr="00D65E3D">
          <w:rPr>
            <w:rStyle w:val="Hyperlink"/>
            <w:rFonts w:ascii="Times New Roman" w:hAnsi="Times New Roman"/>
          </w:rPr>
          <w:tab/>
          <w:t>https://ec.europa.eu/research/participants/portal/desktop/en/opportunities/rec/topics/rec-rdap-gbv-ag-2018.html</w:t>
        </w:r>
      </w:hyperlink>
      <w:r w:rsidRPr="00D65E3D">
        <w:rPr>
          <w:rFonts w:ascii="Times New Roman" w:hAnsi="Times New Roman"/>
        </w:rPr>
        <w:t xml:space="preserve"> and</w:t>
      </w:r>
      <w:r w:rsidRPr="00D65E3D">
        <w:rPr>
          <w:rFonts w:ascii="Times New Roman" w:hAnsi="Times New Roman"/>
        </w:rPr>
        <w:br/>
      </w:r>
      <w:r w:rsidRPr="00D65E3D">
        <w:rPr>
          <w:rStyle w:val="Hyperlink"/>
          <w:rFonts w:ascii="Times New Roman" w:hAnsi="Times New Roman"/>
        </w:rPr>
        <w:t>http://ec.europa.eu/research/participants/portal/desktop/en/opportunities/rec/topics/rec-rchi-prof-ag-2018.html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6D"/>
    <w:rsid w:val="00027B09"/>
    <w:rsid w:val="00054F89"/>
    <w:rsid w:val="000B22A1"/>
    <w:rsid w:val="000E11EF"/>
    <w:rsid w:val="000F2B09"/>
    <w:rsid w:val="001736A8"/>
    <w:rsid w:val="001B1D22"/>
    <w:rsid w:val="001D1570"/>
    <w:rsid w:val="001D4038"/>
    <w:rsid w:val="001F0E13"/>
    <w:rsid w:val="001F7C4A"/>
    <w:rsid w:val="001F7CFD"/>
    <w:rsid w:val="002572D7"/>
    <w:rsid w:val="00270DCC"/>
    <w:rsid w:val="00274C93"/>
    <w:rsid w:val="002B56D0"/>
    <w:rsid w:val="002C06DE"/>
    <w:rsid w:val="002C16A8"/>
    <w:rsid w:val="002D0452"/>
    <w:rsid w:val="002E0063"/>
    <w:rsid w:val="002E0392"/>
    <w:rsid w:val="00305E32"/>
    <w:rsid w:val="003173DE"/>
    <w:rsid w:val="003566FC"/>
    <w:rsid w:val="003725F5"/>
    <w:rsid w:val="00381B0C"/>
    <w:rsid w:val="003D6D65"/>
    <w:rsid w:val="00403761"/>
    <w:rsid w:val="0042368F"/>
    <w:rsid w:val="00433F70"/>
    <w:rsid w:val="004642FF"/>
    <w:rsid w:val="00480F53"/>
    <w:rsid w:val="0048169B"/>
    <w:rsid w:val="00491697"/>
    <w:rsid w:val="004E755F"/>
    <w:rsid w:val="005138D5"/>
    <w:rsid w:val="00521A67"/>
    <w:rsid w:val="005261E3"/>
    <w:rsid w:val="005773AA"/>
    <w:rsid w:val="005953F5"/>
    <w:rsid w:val="005969DF"/>
    <w:rsid w:val="005D1929"/>
    <w:rsid w:val="005E3B54"/>
    <w:rsid w:val="00616E5F"/>
    <w:rsid w:val="006326B8"/>
    <w:rsid w:val="00653B68"/>
    <w:rsid w:val="00654945"/>
    <w:rsid w:val="00690826"/>
    <w:rsid w:val="006C4266"/>
    <w:rsid w:val="006F55F6"/>
    <w:rsid w:val="007009B6"/>
    <w:rsid w:val="00734919"/>
    <w:rsid w:val="00737E68"/>
    <w:rsid w:val="0075237D"/>
    <w:rsid w:val="007901B5"/>
    <w:rsid w:val="00797105"/>
    <w:rsid w:val="007D2A1A"/>
    <w:rsid w:val="007E0BFC"/>
    <w:rsid w:val="00803B1F"/>
    <w:rsid w:val="00814714"/>
    <w:rsid w:val="00826DBB"/>
    <w:rsid w:val="008554BB"/>
    <w:rsid w:val="008850A9"/>
    <w:rsid w:val="008A703E"/>
    <w:rsid w:val="008C59B5"/>
    <w:rsid w:val="008D5CC4"/>
    <w:rsid w:val="008E2B38"/>
    <w:rsid w:val="008E4BB0"/>
    <w:rsid w:val="00964B60"/>
    <w:rsid w:val="00987D3F"/>
    <w:rsid w:val="009B1F6A"/>
    <w:rsid w:val="009D6CF0"/>
    <w:rsid w:val="009D7CC7"/>
    <w:rsid w:val="009F43D7"/>
    <w:rsid w:val="00A037F5"/>
    <w:rsid w:val="00A6426D"/>
    <w:rsid w:val="00AB11D1"/>
    <w:rsid w:val="00B36703"/>
    <w:rsid w:val="00B7520E"/>
    <w:rsid w:val="00BC34C3"/>
    <w:rsid w:val="00BC5884"/>
    <w:rsid w:val="00BE4FF7"/>
    <w:rsid w:val="00BE7767"/>
    <w:rsid w:val="00C227BA"/>
    <w:rsid w:val="00C52BFA"/>
    <w:rsid w:val="00C93913"/>
    <w:rsid w:val="00CD1B0E"/>
    <w:rsid w:val="00CD247A"/>
    <w:rsid w:val="00D02DD3"/>
    <w:rsid w:val="00D266AC"/>
    <w:rsid w:val="00D31207"/>
    <w:rsid w:val="00D34A95"/>
    <w:rsid w:val="00D704B2"/>
    <w:rsid w:val="00DC15AB"/>
    <w:rsid w:val="00DE50BD"/>
    <w:rsid w:val="00DF7B65"/>
    <w:rsid w:val="00E843E4"/>
    <w:rsid w:val="00EC2FE8"/>
    <w:rsid w:val="00ED279C"/>
    <w:rsid w:val="00EE3407"/>
    <w:rsid w:val="00EF4CD4"/>
    <w:rsid w:val="00F02193"/>
    <w:rsid w:val="00F03C01"/>
    <w:rsid w:val="00F15167"/>
    <w:rsid w:val="00F21E50"/>
    <w:rsid w:val="00F86446"/>
    <w:rsid w:val="00FB132C"/>
    <w:rsid w:val="00FC1717"/>
    <w:rsid w:val="00FF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2C8B0-E5DE-42E0-ACEB-5B5532E3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26D"/>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rsid w:val="00A6426D"/>
    <w:pPr>
      <w:ind w:left="357" w:hanging="357"/>
    </w:pPr>
    <w:rPr>
      <w:sz w:val="20"/>
    </w:rPr>
  </w:style>
  <w:style w:type="character" w:customStyle="1" w:styleId="FootnoteTextChar">
    <w:name w:val="Footnote Text Char"/>
    <w:basedOn w:val="DefaultParagraphFont"/>
    <w:uiPriority w:val="99"/>
    <w:semiHidden/>
    <w:rsid w:val="00A6426D"/>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A6426D"/>
    <w:rPr>
      <w:vertAlign w:val="superscript"/>
    </w:rPr>
  </w:style>
  <w:style w:type="character" w:styleId="Hyperlink">
    <w:name w:val="Hyperlink"/>
    <w:aliases w:val="Char1"/>
    <w:uiPriority w:val="99"/>
    <w:rsid w:val="00A6426D"/>
    <w:rPr>
      <w:color w:val="0000FF"/>
      <w:u w:val="single"/>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A6426D"/>
    <w:rPr>
      <w:rFonts w:ascii="Courier New" w:eastAsia="Times New Roman" w:hAnsi="Courier New" w:cs="Times New Roman"/>
      <w:sz w:val="20"/>
      <w:szCs w:val="20"/>
      <w:lang w:eastAsia="en-GB"/>
    </w:rPr>
  </w:style>
  <w:style w:type="paragraph" w:customStyle="1" w:styleId="Default">
    <w:name w:val="Default"/>
    <w:rsid w:val="00A6426D"/>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A6426D"/>
    <w:pPr>
      <w:spacing w:after="160" w:line="240" w:lineRule="exact"/>
      <w:jc w:val="left"/>
    </w:pPr>
    <w:rPr>
      <w:rFonts w:asciiTheme="minorHAnsi" w:eastAsiaTheme="minorHAnsi" w:hAnsiTheme="minorHAnsi" w:cstheme="minorBidi"/>
      <w:sz w:val="22"/>
      <w:szCs w:val="22"/>
      <w:vertAlign w:val="superscript"/>
      <w:lang w:eastAsia="en-US"/>
    </w:rPr>
  </w:style>
  <w:style w:type="character" w:customStyle="1" w:styleId="lblnewsfulltext">
    <w:name w:val="lblnewsfulltext"/>
    <w:rsid w:val="00A64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parl.europa.eu/oeil/popups/ficheprocedure.do?lang=en&amp;reference=2016/2891(RSP)"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09https:/ec.europa.eu/research/participants/portal/desktop/en/opportunities/rec/topics/rec-rdap-gbv-ag-2018.html" TargetMode="External"/><Relationship Id="rId1" Type="http://schemas.openxmlformats.org/officeDocument/2006/relationships/hyperlink" Target="http://ec.europa.eu/research/participants/portal/desktop/en/opportunities/rec/topics/rec-rdap-gbv-ag-2017.html%20and%20http:/ec.europa.eu/research/participants/portal/doc/call/rec/rec-rdap-gbv-ag-2017/1815137-call_update_flash_info_rec-rdap-gbv-ag-2017_result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1773</Words>
  <Characters>9969</Characters>
  <Application>Microsoft Office Word</Application>
  <DocSecurity>0</DocSecurity>
  <Lines>151</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MERVILLE Nicolas (SG)</dc:creator>
  <cp:keywords/>
  <dc:description/>
  <cp:lastModifiedBy>MERVILLE Nicolas (SG)</cp:lastModifiedBy>
  <cp:revision>1</cp:revision>
  <dcterms:created xsi:type="dcterms:W3CDTF">2018-07-23T11:44:00Z</dcterms:created>
  <dcterms:modified xsi:type="dcterms:W3CDTF">2018-07-23T11:45:00Z</dcterms:modified>
</cp:coreProperties>
</file>