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EF" w:rsidRPr="00D276FB" w:rsidRDefault="006131EF" w:rsidP="006131EF">
      <w:pPr>
        <w:pStyle w:val="NormalBold"/>
        <w:widowControl/>
        <w:spacing w:after="600"/>
        <w:jc w:val="center"/>
        <w:rPr>
          <w:bCs/>
          <w:szCs w:val="24"/>
        </w:rPr>
      </w:pPr>
      <w:r w:rsidRPr="00D276FB">
        <w:t>Suite donnée à la résolution non législative du Parlement européen du 29 mai 2018</w:t>
      </w:r>
      <w:r w:rsidRPr="00D276FB">
        <w:br/>
        <w:t>sur la mise en œuvre des instruments de la PAC en faveur des jeunes agriculteurs depuis la réforme de 2013</w:t>
      </w:r>
    </w:p>
    <w:p w:rsidR="006131EF" w:rsidRPr="000837ED" w:rsidRDefault="006131EF" w:rsidP="006131EF">
      <w:pPr>
        <w:pStyle w:val="NormalBold"/>
        <w:widowControl/>
        <w:spacing w:after="600"/>
        <w:jc w:val="center"/>
        <w:rPr>
          <w:szCs w:val="24"/>
          <w:lang w:val="it-IT"/>
        </w:rPr>
      </w:pPr>
      <w:r w:rsidRPr="000837ED">
        <w:rPr>
          <w:lang w:val="it-IT"/>
        </w:rPr>
        <w:t>2017/2088 (INI)</w:t>
      </w:r>
    </w:p>
    <w:p w:rsidR="006131EF" w:rsidRPr="000837ED" w:rsidRDefault="006131EF" w:rsidP="000837ED">
      <w:pPr>
        <w:pStyle w:val="ListParagraph"/>
        <w:numPr>
          <w:ilvl w:val="0"/>
          <w:numId w:val="50"/>
        </w:numPr>
        <w:spacing w:after="240" w:line="240" w:lineRule="auto"/>
        <w:ind w:left="426" w:hanging="426"/>
        <w:contextualSpacing w:val="0"/>
        <w:jc w:val="both"/>
        <w:rPr>
          <w:rFonts w:ascii="Times New Roman" w:hAnsi="Times New Roman"/>
          <w:sz w:val="24"/>
          <w:szCs w:val="24"/>
          <w:lang w:val="it-IT"/>
        </w:rPr>
      </w:pPr>
      <w:proofErr w:type="spellStart"/>
      <w:r w:rsidRPr="000837ED">
        <w:rPr>
          <w:rFonts w:ascii="Times New Roman" w:hAnsi="Times New Roman"/>
          <w:b/>
          <w:sz w:val="24"/>
          <w:lang w:val="it-IT"/>
        </w:rPr>
        <w:t>Rapporteur</w:t>
      </w:r>
      <w:proofErr w:type="spellEnd"/>
      <w:r w:rsidRPr="000837ED">
        <w:rPr>
          <w:rFonts w:ascii="Times New Roman" w:hAnsi="Times New Roman"/>
          <w:b/>
          <w:sz w:val="24"/>
          <w:lang w:val="it-IT"/>
        </w:rPr>
        <w:t>:</w:t>
      </w:r>
      <w:r w:rsidRPr="000837ED">
        <w:rPr>
          <w:rFonts w:ascii="Times New Roman" w:hAnsi="Times New Roman"/>
          <w:sz w:val="24"/>
          <w:lang w:val="it-IT"/>
        </w:rPr>
        <w:t xml:space="preserve"> Nicola CAPUTO (S&amp;D/IT)</w:t>
      </w:r>
    </w:p>
    <w:p w:rsidR="006131EF" w:rsidRPr="00D276FB" w:rsidRDefault="006131EF" w:rsidP="000837ED">
      <w:pPr>
        <w:pStyle w:val="ListParagraph"/>
        <w:numPr>
          <w:ilvl w:val="0"/>
          <w:numId w:val="50"/>
        </w:numPr>
        <w:spacing w:after="240" w:line="240" w:lineRule="auto"/>
        <w:ind w:left="426" w:hanging="426"/>
        <w:contextualSpacing w:val="0"/>
        <w:jc w:val="both"/>
        <w:rPr>
          <w:rFonts w:ascii="Times New Roman" w:hAnsi="Times New Roman"/>
          <w:sz w:val="24"/>
          <w:szCs w:val="24"/>
          <w:lang w:val="fr-FR"/>
        </w:rPr>
      </w:pPr>
      <w:r w:rsidRPr="00D276FB">
        <w:rPr>
          <w:rFonts w:ascii="Times New Roman" w:hAnsi="Times New Roman"/>
          <w:b/>
          <w:sz w:val="24"/>
          <w:lang w:val="fr-FR"/>
        </w:rPr>
        <w:t xml:space="preserve">Numéro de référence du PE: </w:t>
      </w:r>
      <w:r w:rsidRPr="00D276FB">
        <w:rPr>
          <w:rFonts w:ascii="Times New Roman" w:hAnsi="Times New Roman"/>
          <w:sz w:val="24"/>
          <w:lang w:val="fr-FR"/>
        </w:rPr>
        <w:t>A8-0157/2018 / P8_TA-PROV(2018)0211</w:t>
      </w:r>
    </w:p>
    <w:p w:rsidR="006131EF" w:rsidRPr="00D276FB" w:rsidRDefault="006131EF" w:rsidP="000837ED">
      <w:pPr>
        <w:pStyle w:val="ListParagraph"/>
        <w:numPr>
          <w:ilvl w:val="0"/>
          <w:numId w:val="50"/>
        </w:numPr>
        <w:spacing w:after="240" w:line="240" w:lineRule="auto"/>
        <w:ind w:left="426" w:hanging="426"/>
        <w:contextualSpacing w:val="0"/>
        <w:jc w:val="both"/>
        <w:rPr>
          <w:rFonts w:ascii="Times New Roman" w:hAnsi="Times New Roman"/>
          <w:sz w:val="24"/>
          <w:szCs w:val="24"/>
          <w:lang w:val="fr-FR"/>
        </w:rPr>
      </w:pPr>
      <w:r w:rsidRPr="00D276FB">
        <w:rPr>
          <w:rFonts w:ascii="Times New Roman" w:hAnsi="Times New Roman"/>
          <w:b/>
          <w:sz w:val="24"/>
          <w:lang w:val="fr-FR"/>
        </w:rPr>
        <w:t xml:space="preserve">Date d'adoption de la résolution: </w:t>
      </w:r>
      <w:r w:rsidRPr="00D276FB">
        <w:rPr>
          <w:rFonts w:ascii="Times New Roman" w:hAnsi="Times New Roman"/>
          <w:sz w:val="24"/>
          <w:lang w:val="fr-FR"/>
        </w:rPr>
        <w:t>29 mai 2018</w:t>
      </w:r>
    </w:p>
    <w:p w:rsidR="006131EF" w:rsidRPr="00D276FB" w:rsidRDefault="006131EF" w:rsidP="000837ED">
      <w:pPr>
        <w:pStyle w:val="ListParagraph"/>
        <w:numPr>
          <w:ilvl w:val="0"/>
          <w:numId w:val="50"/>
        </w:numPr>
        <w:spacing w:after="240" w:line="240" w:lineRule="auto"/>
        <w:ind w:left="426" w:hanging="426"/>
        <w:contextualSpacing w:val="0"/>
        <w:jc w:val="both"/>
        <w:rPr>
          <w:rFonts w:ascii="Times New Roman" w:hAnsi="Times New Roman"/>
          <w:sz w:val="24"/>
          <w:szCs w:val="24"/>
          <w:lang w:val="fr-FR"/>
        </w:rPr>
      </w:pPr>
      <w:r w:rsidRPr="00D276FB">
        <w:rPr>
          <w:rFonts w:ascii="Times New Roman" w:hAnsi="Times New Roman"/>
          <w:b/>
          <w:sz w:val="24"/>
          <w:lang w:val="fr-FR"/>
        </w:rPr>
        <w:t xml:space="preserve">Objet: </w:t>
      </w:r>
      <w:r w:rsidRPr="00D276FB">
        <w:rPr>
          <w:rFonts w:ascii="Times New Roman" w:hAnsi="Times New Roman"/>
          <w:sz w:val="24"/>
          <w:lang w:val="fr-FR"/>
        </w:rPr>
        <w:t>jeunes agriculteurs</w:t>
      </w:r>
    </w:p>
    <w:p w:rsidR="006131EF" w:rsidRPr="00D276FB" w:rsidRDefault="006131EF" w:rsidP="000837ED">
      <w:pPr>
        <w:pStyle w:val="ListParagraph"/>
        <w:numPr>
          <w:ilvl w:val="0"/>
          <w:numId w:val="50"/>
        </w:numPr>
        <w:spacing w:after="240" w:line="240" w:lineRule="auto"/>
        <w:ind w:left="426" w:hanging="426"/>
        <w:contextualSpacing w:val="0"/>
        <w:jc w:val="both"/>
        <w:rPr>
          <w:rFonts w:ascii="Times New Roman" w:hAnsi="Times New Roman"/>
          <w:sz w:val="24"/>
          <w:szCs w:val="24"/>
          <w:lang w:val="fr-FR"/>
        </w:rPr>
      </w:pPr>
      <w:r w:rsidRPr="00D276FB">
        <w:rPr>
          <w:rFonts w:ascii="Times New Roman" w:hAnsi="Times New Roman"/>
          <w:b/>
          <w:sz w:val="24"/>
          <w:lang w:val="fr-FR"/>
        </w:rPr>
        <w:t>Commission parlementaire compétente:</w:t>
      </w:r>
      <w:r w:rsidRPr="00D276FB">
        <w:rPr>
          <w:rFonts w:ascii="Times New Roman" w:hAnsi="Times New Roman"/>
          <w:sz w:val="24"/>
          <w:lang w:val="fr-FR"/>
        </w:rPr>
        <w:t xml:space="preserve"> commission de l’agriculture et du développement rural (AGRI)</w:t>
      </w:r>
    </w:p>
    <w:p w:rsidR="006131EF" w:rsidRPr="00D276FB" w:rsidRDefault="006131EF" w:rsidP="000837ED">
      <w:pPr>
        <w:pStyle w:val="ListParagraph"/>
        <w:numPr>
          <w:ilvl w:val="0"/>
          <w:numId w:val="50"/>
        </w:numPr>
        <w:spacing w:after="240" w:line="240" w:lineRule="auto"/>
        <w:ind w:left="426" w:hanging="426"/>
        <w:contextualSpacing w:val="0"/>
        <w:jc w:val="both"/>
        <w:rPr>
          <w:rFonts w:ascii="Times New Roman" w:hAnsi="Times New Roman"/>
          <w:b/>
          <w:sz w:val="24"/>
          <w:szCs w:val="24"/>
          <w:lang w:val="fr-FR"/>
        </w:rPr>
      </w:pPr>
      <w:r w:rsidRPr="00D276FB">
        <w:rPr>
          <w:rFonts w:ascii="Times New Roman" w:hAnsi="Times New Roman"/>
          <w:b/>
          <w:sz w:val="24"/>
          <w:lang w:val="fr-FR"/>
        </w:rPr>
        <w:t>Analyse/évaluation succincte de la résolution et des demandes qu’elle contient:</w:t>
      </w:r>
    </w:p>
    <w:p w:rsidR="006131EF" w:rsidRPr="00D276FB" w:rsidRDefault="006131EF" w:rsidP="006131EF">
      <w:pPr>
        <w:spacing w:after="120"/>
        <w:rPr>
          <w:rFonts w:ascii="Times New Roman" w:hAnsi="Times New Roman"/>
          <w:szCs w:val="24"/>
        </w:rPr>
      </w:pPr>
      <w:r w:rsidRPr="00D276FB">
        <w:rPr>
          <w:rFonts w:ascii="Times New Roman" w:hAnsi="Times New Roman"/>
        </w:rPr>
        <w:t xml:space="preserve">La résolution salue les modifications apportées au règlement «omnibus» et, d'un </w:t>
      </w:r>
      <w:r w:rsidRPr="00D276FB">
        <w:rPr>
          <w:rFonts w:ascii="Times New Roman" w:hAnsi="Times New Roman"/>
          <w:b/>
        </w:rPr>
        <w:t>point de vue budgétaire</w:t>
      </w:r>
      <w:r w:rsidRPr="00D276FB">
        <w:rPr>
          <w:rFonts w:ascii="Times New Roman" w:hAnsi="Times New Roman"/>
        </w:rPr>
        <w:t>, est favorable au maintien d'une politique agricole commune (PAC) forte pour l'avenir, car elle constituerait la principale incitation pour les jeunes; le niveau maximal des paiements obligatoires du premier pilier en faveur des jeunes agriculteurs devrait également être relevé. La résolution recommande en outre d'améliorer l'accès au crédit grâce à des taux d’intérêts subventionnés applicables aux prêts contractés par les nouveaux entrants, même s’ils ont été obtenus auprès d’opérateurs financiers privés, notamment par le recours à des instruments financiers et une amélioration de la coopération avec la BEI. L'aide devrait cibler davantage les besoins spécifiques des jeunes agriculteurs et être ajustée également en fonction de l'âge. En outre, la résolution invite la Commission à proposer des mesures de soutien en faveur des investissements dans l’agriculture intelligente.</w:t>
      </w:r>
    </w:p>
    <w:p w:rsidR="006131EF" w:rsidRPr="00D276FB" w:rsidRDefault="006131EF" w:rsidP="006131EF">
      <w:pPr>
        <w:spacing w:after="120"/>
        <w:rPr>
          <w:rFonts w:ascii="Times New Roman" w:hAnsi="Times New Roman"/>
          <w:szCs w:val="24"/>
        </w:rPr>
      </w:pPr>
      <w:r w:rsidRPr="00D276FB">
        <w:rPr>
          <w:rFonts w:ascii="Times New Roman" w:hAnsi="Times New Roman"/>
        </w:rPr>
        <w:t xml:space="preserve">Tout en appelant </w:t>
      </w:r>
      <w:r w:rsidRPr="00D276FB">
        <w:rPr>
          <w:rFonts w:ascii="Times New Roman" w:hAnsi="Times New Roman"/>
          <w:b/>
        </w:rPr>
        <w:t>à la</w:t>
      </w:r>
      <w:r w:rsidRPr="00D276FB">
        <w:rPr>
          <w:rFonts w:ascii="Times New Roman" w:hAnsi="Times New Roman"/>
        </w:rPr>
        <w:t xml:space="preserve"> </w:t>
      </w:r>
      <w:r w:rsidRPr="00D276FB">
        <w:rPr>
          <w:rFonts w:ascii="Times New Roman" w:hAnsi="Times New Roman"/>
          <w:b/>
        </w:rPr>
        <w:t>simplification et à la réduction de la charge administrative</w:t>
      </w:r>
      <w:r w:rsidRPr="00D276FB">
        <w:rPr>
          <w:rFonts w:ascii="Times New Roman" w:hAnsi="Times New Roman"/>
        </w:rPr>
        <w:t>, la résolution demande que la Commission développe une approche plus holistique permettant davantage de synergies entre les aides du premier pilier et celles du second pilier, ces dernières devant être mises en place par tous les États membres.</w:t>
      </w:r>
    </w:p>
    <w:p w:rsidR="006131EF" w:rsidRPr="00D276FB" w:rsidRDefault="006131EF" w:rsidP="006131EF">
      <w:pPr>
        <w:spacing w:after="120"/>
        <w:rPr>
          <w:rFonts w:ascii="Times New Roman" w:hAnsi="Times New Roman"/>
          <w:szCs w:val="24"/>
        </w:rPr>
      </w:pPr>
      <w:r w:rsidRPr="00D276FB">
        <w:rPr>
          <w:rFonts w:ascii="Times New Roman" w:hAnsi="Times New Roman"/>
        </w:rPr>
        <w:t>En ce qui concerne l'</w:t>
      </w:r>
      <w:r w:rsidRPr="00D276FB">
        <w:rPr>
          <w:rFonts w:ascii="Times New Roman" w:hAnsi="Times New Roman"/>
          <w:b/>
        </w:rPr>
        <w:t>accès à la terre</w:t>
      </w:r>
      <w:r w:rsidRPr="00D276FB">
        <w:rPr>
          <w:rFonts w:ascii="Times New Roman" w:hAnsi="Times New Roman"/>
        </w:rPr>
        <w:t>, la Commission est encouragée à faciliter la transmission des terres et à promouvoir de nouveaux modèles de collaboration entre les générations, tandis que les États membres devraient accorder la priorité aux nouveaux entrants et aux jeunes agriculteurs dans l’accès à la terre, soutenir la mobilité des terres et les services de planification successorale, et aider les agriculteurs plus âgés à quitter le secteur. Les autorités et les parties concernées devraient développer davantage encore les orientations sur la vente des terres agricoles. Le Parlement européen insiste également sur l’importance de la cohérence entre les mesures locales, nationales et de l’Union pour les jeunes agriculteurs; les États membres sont invités à faciliter le renouvellement générationnel, à travers par exemple, la législation fiscale et successorale. La Commission devrait financer une étude sur l’état actuel de la concentration des terres dans l’Union qui tienne compte du phénomène des grands groupes. La résolution observe également que le système actuel de paiements directs ne suffit pas à protéger les jeunes agriculteurs contre la volatilité des prix.</w:t>
      </w:r>
    </w:p>
    <w:p w:rsidR="006131EF" w:rsidRPr="00D276FB" w:rsidRDefault="006131EF" w:rsidP="006131EF">
      <w:pPr>
        <w:spacing w:after="120"/>
        <w:rPr>
          <w:rFonts w:ascii="Times New Roman" w:hAnsi="Times New Roman"/>
          <w:szCs w:val="24"/>
        </w:rPr>
      </w:pPr>
      <w:r w:rsidRPr="00D276FB">
        <w:rPr>
          <w:rFonts w:ascii="Times New Roman" w:hAnsi="Times New Roman"/>
        </w:rPr>
        <w:t xml:space="preserve">Il y a lieu d'améliorer </w:t>
      </w:r>
      <w:r w:rsidRPr="00D276FB">
        <w:rPr>
          <w:rFonts w:ascii="Times New Roman" w:hAnsi="Times New Roman"/>
          <w:b/>
        </w:rPr>
        <w:t>le transfert de connaissances et l'innovation</w:t>
      </w:r>
      <w:r w:rsidRPr="00D276FB">
        <w:rPr>
          <w:rFonts w:ascii="Times New Roman" w:hAnsi="Times New Roman"/>
        </w:rPr>
        <w:t xml:space="preserve"> et de multiplier les opportunités en proposant des systèmes de type Erasmus ainsi que des services de conseil et de formation professionnelle en matière de compétences pour le démarrage d'une startup agroindustrielle et de compétences dans le domaine de l'agriculture, des technologies et de l’entreprise. Des approches collectives et des structures de type «coopératives» devraient être davantage encouragées.</w:t>
      </w:r>
    </w:p>
    <w:p w:rsidR="006131EF" w:rsidRPr="00D276FB" w:rsidRDefault="006131EF" w:rsidP="006131EF">
      <w:pPr>
        <w:spacing w:after="120"/>
        <w:rPr>
          <w:rFonts w:ascii="Times New Roman" w:hAnsi="Times New Roman"/>
          <w:b/>
          <w:szCs w:val="24"/>
        </w:rPr>
      </w:pPr>
      <w:r w:rsidRPr="00D276FB">
        <w:rPr>
          <w:rFonts w:ascii="Times New Roman" w:hAnsi="Times New Roman"/>
        </w:rPr>
        <w:t xml:space="preserve">Concernant les </w:t>
      </w:r>
      <w:r w:rsidRPr="00D276FB">
        <w:rPr>
          <w:rFonts w:ascii="Times New Roman" w:hAnsi="Times New Roman"/>
          <w:b/>
        </w:rPr>
        <w:t>services publics</w:t>
      </w:r>
      <w:r w:rsidRPr="00D276FB">
        <w:rPr>
          <w:rFonts w:ascii="Times New Roman" w:hAnsi="Times New Roman"/>
        </w:rPr>
        <w:t xml:space="preserve">, la résolution appelle à un soutien en faveur de la mise en place d'infrastructures, d'installations publiques et de services, tels que les soins de santé, l’éducation ou la connectivité à haut débit, afin de rendre les zones rurales attrayantes pour les jeunes. Pour </w:t>
      </w:r>
      <w:r w:rsidRPr="00D276FB">
        <w:rPr>
          <w:rFonts w:ascii="Times New Roman" w:hAnsi="Times New Roman"/>
          <w:b/>
        </w:rPr>
        <w:t xml:space="preserve">mettre un terme à l'exode rural, </w:t>
      </w:r>
      <w:r w:rsidRPr="00D276FB">
        <w:rPr>
          <w:rFonts w:ascii="Times New Roman" w:hAnsi="Times New Roman"/>
        </w:rPr>
        <w:t xml:space="preserve">il y a lieu de favoriser une meilleure complémentarité entre les fonds de l'Union et les mesures nationales. Les initiatives dans le domaine des «villages intelligents» sont les bienvenues. En outre, dans le domaine </w:t>
      </w:r>
      <w:r w:rsidRPr="00D276FB">
        <w:rPr>
          <w:rFonts w:ascii="Times New Roman" w:hAnsi="Times New Roman"/>
          <w:b/>
        </w:rPr>
        <w:t>de l'environnement et de la durabilité</w:t>
      </w:r>
      <w:r w:rsidRPr="00D276FB">
        <w:rPr>
          <w:rFonts w:ascii="Times New Roman" w:hAnsi="Times New Roman"/>
        </w:rPr>
        <w:t>, la résolution recommande des mesures environnementales qui soient faciles à mettre en pratique, tandis que les barrières réglementaires et administratives doivent être éliminées pour permettre aux exploitants agricoles de pratiquer des activités complémentaires, notamment dans le secteur de la protection sociale, de la santé, du tourisme et de l'énergie.</w:t>
      </w:r>
    </w:p>
    <w:p w:rsidR="006131EF" w:rsidRPr="00D276FB" w:rsidRDefault="006131EF" w:rsidP="006131EF">
      <w:pPr>
        <w:spacing w:after="120"/>
        <w:rPr>
          <w:rFonts w:ascii="Times New Roman" w:hAnsi="Times New Roman"/>
          <w:szCs w:val="24"/>
        </w:rPr>
      </w:pPr>
      <w:r w:rsidRPr="00D276FB">
        <w:rPr>
          <w:rFonts w:ascii="Times New Roman" w:hAnsi="Times New Roman"/>
        </w:rPr>
        <w:t xml:space="preserve">Enfin, il y a lieu de renforcer les </w:t>
      </w:r>
      <w:r w:rsidRPr="00D276FB">
        <w:rPr>
          <w:rFonts w:ascii="Times New Roman" w:hAnsi="Times New Roman"/>
          <w:b/>
        </w:rPr>
        <w:t>outils de gestion des risques</w:t>
      </w:r>
      <w:r w:rsidRPr="00D276FB">
        <w:rPr>
          <w:rFonts w:ascii="Times New Roman" w:hAnsi="Times New Roman"/>
        </w:rPr>
        <w:t xml:space="preserve"> et de soutenir davantage les petites exploitations et les exploitations familiales.</w:t>
      </w:r>
    </w:p>
    <w:p w:rsidR="006131EF" w:rsidRPr="00D276FB" w:rsidRDefault="006131EF" w:rsidP="000837ED">
      <w:pPr>
        <w:numPr>
          <w:ilvl w:val="0"/>
          <w:numId w:val="50"/>
        </w:numPr>
        <w:spacing w:before="240"/>
        <w:ind w:left="426" w:hanging="426"/>
        <w:jc w:val="left"/>
        <w:rPr>
          <w:rFonts w:ascii="Times New Roman" w:hAnsi="Times New Roman"/>
          <w:b/>
          <w:szCs w:val="24"/>
        </w:rPr>
      </w:pPr>
      <w:r w:rsidRPr="00D276FB">
        <w:rPr>
          <w:rFonts w:ascii="Times New Roman" w:hAnsi="Times New Roman"/>
          <w:b/>
        </w:rPr>
        <w:t>Réponse à ces demandes et aperçu des mesures que la Commission a prises ou envisage de prendre:</w:t>
      </w:r>
    </w:p>
    <w:p w:rsidR="006131EF" w:rsidRPr="00D276FB" w:rsidRDefault="006131EF" w:rsidP="006131EF">
      <w:pPr>
        <w:spacing w:after="120"/>
        <w:rPr>
          <w:rFonts w:ascii="Times New Roman" w:hAnsi="Times New Roman"/>
          <w:szCs w:val="24"/>
        </w:rPr>
      </w:pPr>
      <w:r w:rsidRPr="00D276FB">
        <w:rPr>
          <w:rFonts w:ascii="Times New Roman" w:hAnsi="Times New Roman"/>
        </w:rPr>
        <w:t xml:space="preserve">La Commission convient avec le Parlement européen que le renouvellement de génération devrait constituer l'une des principales priorités de la future PAC. En fait, la Commission a proposé </w:t>
      </w:r>
      <w:proofErr w:type="gramStart"/>
      <w:r w:rsidRPr="00D276FB">
        <w:rPr>
          <w:rFonts w:ascii="Times New Roman" w:hAnsi="Times New Roman"/>
        </w:rPr>
        <w:t>«[</w:t>
      </w:r>
      <w:proofErr w:type="gramEnd"/>
      <w:r w:rsidRPr="00D276FB">
        <w:rPr>
          <w:rFonts w:ascii="Times New Roman" w:hAnsi="Times New Roman"/>
        </w:rPr>
        <w:t>d']attirer les jeunes agriculteurs et [de] faciliter le développement des entreprises dans les zones rurales» comme l'un des neuf objectifs spécifiques de la PAC après 2020. Le budget disponible pour la période 2021-2027 permettra toujours, comme préconisé par la résolution, de maintenir une PAC forte, qui sera dans le même temps plus intelligente, plus simple, moderne et plus durable, au bénéfice en particulier des générations plus jeunes d'agriculteurs.</w:t>
      </w:r>
    </w:p>
    <w:p w:rsidR="006131EF" w:rsidRPr="00D276FB" w:rsidRDefault="006131EF" w:rsidP="006131EF">
      <w:pPr>
        <w:spacing w:after="120"/>
        <w:rPr>
          <w:rFonts w:ascii="Times New Roman" w:hAnsi="Times New Roman"/>
          <w:szCs w:val="24"/>
        </w:rPr>
      </w:pPr>
      <w:r w:rsidRPr="00D276FB">
        <w:rPr>
          <w:rFonts w:ascii="Times New Roman" w:hAnsi="Times New Roman"/>
        </w:rPr>
        <w:t>Les recommandations proposées dans la résolution se reflètent dans une large mesure dans les propositions législatives de la Commission.</w:t>
      </w:r>
    </w:p>
    <w:p w:rsidR="006131EF" w:rsidRPr="00D276FB" w:rsidRDefault="006131EF" w:rsidP="006131EF">
      <w:pPr>
        <w:spacing w:after="120"/>
        <w:rPr>
          <w:rFonts w:ascii="Times New Roman" w:hAnsi="Times New Roman"/>
          <w:szCs w:val="24"/>
        </w:rPr>
      </w:pPr>
      <w:r w:rsidRPr="00D276FB">
        <w:rPr>
          <w:rFonts w:ascii="Times New Roman" w:hAnsi="Times New Roman"/>
        </w:rPr>
        <w:t xml:space="preserve">En ce qui concerne le niveau des paiements obligatoires, </w:t>
      </w:r>
      <w:r w:rsidRPr="00D276FB">
        <w:rPr>
          <w:rFonts w:ascii="Times New Roman" w:hAnsi="Times New Roman"/>
          <w:b/>
        </w:rPr>
        <w:t>au moins 2 % des dotations nationales</w:t>
      </w:r>
      <w:r w:rsidRPr="00D276FB">
        <w:rPr>
          <w:rFonts w:ascii="Times New Roman" w:hAnsi="Times New Roman"/>
        </w:rPr>
        <w:t xml:space="preserve"> au titre des paiements directs devront être consacrées à l'objectif de renouvellement de génération. Ce montant doit être alloué sous la forme d'une aide complémentaire au revenu (au titre du FEAGA) et/ou de subventions forfaitaires à l'installation (au titre du </w:t>
      </w:r>
      <w:proofErr w:type="spellStart"/>
      <w:r w:rsidRPr="00D276FB">
        <w:rPr>
          <w:rFonts w:ascii="Times New Roman" w:hAnsi="Times New Roman"/>
        </w:rPr>
        <w:t>Feader</w:t>
      </w:r>
      <w:proofErr w:type="spellEnd"/>
      <w:r w:rsidRPr="00D276FB">
        <w:rPr>
          <w:rFonts w:ascii="Times New Roman" w:hAnsi="Times New Roman"/>
        </w:rPr>
        <w:t>). Les jeunes agriculteurs pourront bénéficier d'une aide pour l'acquisition de terres si l'achat est effectué par l'intermédiaire d'</w:t>
      </w:r>
      <w:r w:rsidRPr="00D276FB">
        <w:rPr>
          <w:rFonts w:ascii="Times New Roman" w:hAnsi="Times New Roman"/>
          <w:b/>
        </w:rPr>
        <w:t>instruments financiers</w:t>
      </w:r>
      <w:r w:rsidRPr="00D276FB">
        <w:rPr>
          <w:rFonts w:ascii="Times New Roman" w:hAnsi="Times New Roman"/>
        </w:rPr>
        <w:t>. En outre, les États membres seront autorisés à créer des instruments financiers afin de soutenir les fonds de roulement: ce type d'instrument peut se révéler d'une importance capitale pour les jeunes agriculteurs, lesquels sont confrontés à plus de difficultés compte tenu du niveau élevé des investissements et des faibles retours en phase de démarrage. La Commission poursuivra également sa coopération avec la Banque européenne d’investissement, notamment au moyen de la plate-forme «fi-</w:t>
      </w:r>
      <w:proofErr w:type="spellStart"/>
      <w:r w:rsidRPr="00D276FB">
        <w:rPr>
          <w:rFonts w:ascii="Times New Roman" w:hAnsi="Times New Roman"/>
        </w:rPr>
        <w:t>compass</w:t>
      </w:r>
      <w:proofErr w:type="spellEnd"/>
      <w:r w:rsidRPr="00D276FB">
        <w:rPr>
          <w:rFonts w:ascii="Times New Roman" w:hAnsi="Times New Roman"/>
        </w:rPr>
        <w:t xml:space="preserve">», afin de tirer profit de l'expérience et des bonnes pratiques acquises en ce qui concerne les régimes spécifiques destinés aux jeunes agriculteurs. Ces derniers continueront également de bénéficier d'une </w:t>
      </w:r>
      <w:r w:rsidRPr="00D276FB">
        <w:rPr>
          <w:rFonts w:ascii="Times New Roman" w:hAnsi="Times New Roman"/>
          <w:b/>
        </w:rPr>
        <w:t>aide à l'investissement</w:t>
      </w:r>
      <w:r w:rsidRPr="00D276FB">
        <w:rPr>
          <w:rFonts w:ascii="Times New Roman" w:hAnsi="Times New Roman"/>
        </w:rPr>
        <w:t xml:space="preserve"> dans le cadre du second pilier de la PAC.</w:t>
      </w:r>
    </w:p>
    <w:p w:rsidR="006131EF" w:rsidRPr="00D276FB" w:rsidRDefault="006131EF" w:rsidP="006131EF">
      <w:pPr>
        <w:spacing w:after="120"/>
        <w:rPr>
          <w:rFonts w:ascii="Times New Roman" w:hAnsi="Times New Roman"/>
          <w:szCs w:val="24"/>
        </w:rPr>
      </w:pPr>
      <w:r w:rsidRPr="00D276FB">
        <w:rPr>
          <w:rFonts w:ascii="Times New Roman" w:hAnsi="Times New Roman"/>
        </w:rPr>
        <w:t xml:space="preserve">Concernant l'amélioration des synergies entre les premier et second piliers, un </w:t>
      </w:r>
      <w:r w:rsidRPr="00D276FB">
        <w:rPr>
          <w:rFonts w:ascii="Times New Roman" w:hAnsi="Times New Roman"/>
          <w:b/>
        </w:rPr>
        <w:t>plan relevant de la PAC unique</w:t>
      </w:r>
      <w:r w:rsidRPr="00D276FB">
        <w:rPr>
          <w:rFonts w:ascii="Times New Roman" w:hAnsi="Times New Roman"/>
        </w:rPr>
        <w:t xml:space="preserve"> garantira que les États membres établissent une stratégie exhaustive pour les jeunes agriculteurs, qui comprenne non seulement les interventions au titre des deux piliers de la PAC mais également des actions au niveau national. En fait, les États membres devront, d'une part, expliquer comment ils entendent, sur leur territoire, relever le défi du renouvellement de génération et, d'autre part, décrire les interactions avec les instruments nationaux dans un plus grand souci d’efficience et de complémentarité.</w:t>
      </w:r>
    </w:p>
    <w:p w:rsidR="006131EF" w:rsidRPr="00D276FB" w:rsidRDefault="006131EF" w:rsidP="006131EF">
      <w:pPr>
        <w:spacing w:after="120"/>
        <w:rPr>
          <w:rFonts w:ascii="Times New Roman" w:hAnsi="Times New Roman"/>
          <w:szCs w:val="24"/>
        </w:rPr>
      </w:pPr>
      <w:r w:rsidRPr="00D276FB">
        <w:rPr>
          <w:rFonts w:ascii="Times New Roman" w:hAnsi="Times New Roman"/>
        </w:rPr>
        <w:t xml:space="preserve">La Commission estime également qu'il convient de promouvoir des outils qui permettent de faciliter la </w:t>
      </w:r>
      <w:r w:rsidRPr="00D276FB">
        <w:rPr>
          <w:rFonts w:ascii="Times New Roman" w:hAnsi="Times New Roman"/>
          <w:b/>
        </w:rPr>
        <w:t>mobilité des terres et la succession des exploitations agricoles</w:t>
      </w:r>
      <w:r w:rsidRPr="00D276FB">
        <w:rPr>
          <w:rFonts w:ascii="Times New Roman" w:hAnsi="Times New Roman"/>
        </w:rPr>
        <w:t>. C'est pourquoi les propositions juridiques contiennent des dispositions prévoyant la possibilité de soutenir des formes de coopération entre agriculteurs, lesquelles pourraient englober des partenariats entre les différentes générations d'exploitants agricoles; la planification de la retraite et le versement de montants forfaitaires aux agriculteurs en âge de retraite qui transmettent de manière permanente les services relatifs aux successions ou à la planification de la transition pour leur exploitation; le courtage de l’acquisition de terres; les services de mise en correspondance entre agriculteurs jeunes et moins jeunes, etc. Les États membres seront également invités à décrire de quelle manière les instruments nationaux, tels que le système fiscal, le droit successoral, la réglementation des marchés fonciers ou l'aménagement du territoire, interagissent avec les interventions en faveur des jeunes agriculteurs soutenues par l'Union. Le réseau européen de développement rural fournira une aide supplémentaire pour la collecte d'informations sur les marchés fonciers en Europe et recueillera des expériences et des bonnes pratiques dans le domaine. En outre, la Commission lancera d'ici peu une évaluation des effets de la PAC sur le renouvellement de génération, le développement local et l'emploi dans les zones rurales.</w:t>
      </w:r>
    </w:p>
    <w:p w:rsidR="006131EF" w:rsidRPr="00D276FB" w:rsidRDefault="006131EF" w:rsidP="006131EF">
      <w:pPr>
        <w:spacing w:after="120"/>
        <w:rPr>
          <w:rFonts w:ascii="Times New Roman" w:hAnsi="Times New Roman"/>
          <w:szCs w:val="24"/>
        </w:rPr>
      </w:pPr>
      <w:r w:rsidRPr="00D276FB">
        <w:rPr>
          <w:rFonts w:ascii="Times New Roman" w:hAnsi="Times New Roman"/>
        </w:rPr>
        <w:t xml:space="preserve">Comme recommandé par la résolution, les jeunes agriculteurs et les nouveaux entrants pourront bénéficier d'un </w:t>
      </w:r>
      <w:r w:rsidRPr="00D276FB">
        <w:rPr>
          <w:rFonts w:ascii="Times New Roman" w:hAnsi="Times New Roman"/>
          <w:b/>
        </w:rPr>
        <w:t>transfert de connaissances</w:t>
      </w:r>
      <w:r w:rsidRPr="00D276FB">
        <w:rPr>
          <w:rFonts w:ascii="Times New Roman" w:hAnsi="Times New Roman"/>
        </w:rPr>
        <w:t xml:space="preserve">, d'interventions en matière de conseil et de formation (SCIA), du partenariat européen d’innovation (PEI), du programme LEADER, etc. Un budget spécifique de 10 milliards d'EUR provenant du programme Horizon Europe sera réservé à la recherche et à l'innovation dans les domaines de l'alimentation, de l'agriculture, du développement rural et de la </w:t>
      </w:r>
      <w:proofErr w:type="spellStart"/>
      <w:r w:rsidRPr="00D276FB">
        <w:rPr>
          <w:rFonts w:ascii="Times New Roman" w:hAnsi="Times New Roman"/>
        </w:rPr>
        <w:t>bioéconomie</w:t>
      </w:r>
      <w:proofErr w:type="spellEnd"/>
      <w:r w:rsidRPr="00D276FB">
        <w:rPr>
          <w:rFonts w:ascii="Times New Roman" w:hAnsi="Times New Roman"/>
        </w:rPr>
        <w:t xml:space="preserve">. En outre, les États membres peuvent décider d'utiliser une partie de la dotation au titre du </w:t>
      </w:r>
      <w:proofErr w:type="spellStart"/>
      <w:r w:rsidRPr="00D276FB">
        <w:rPr>
          <w:rFonts w:ascii="Times New Roman" w:hAnsi="Times New Roman"/>
        </w:rPr>
        <w:t>Feader</w:t>
      </w:r>
      <w:proofErr w:type="spellEnd"/>
      <w:r w:rsidRPr="00D276FB">
        <w:rPr>
          <w:rFonts w:ascii="Times New Roman" w:hAnsi="Times New Roman"/>
        </w:rPr>
        <w:t xml:space="preserve"> pour financer des activités d'apprentissage transnationales destinées aux jeunes agriculteurs, conformément au programme Erasmus.</w:t>
      </w:r>
    </w:p>
    <w:p w:rsidR="006131EF" w:rsidRPr="00D276FB" w:rsidRDefault="006131EF" w:rsidP="006131EF">
      <w:pPr>
        <w:spacing w:after="120"/>
        <w:rPr>
          <w:rFonts w:ascii="Times New Roman" w:hAnsi="Times New Roman"/>
          <w:szCs w:val="24"/>
        </w:rPr>
      </w:pPr>
      <w:r w:rsidRPr="00D276FB">
        <w:rPr>
          <w:rFonts w:ascii="Times New Roman" w:hAnsi="Times New Roman"/>
        </w:rPr>
        <w:t xml:space="preserve">En 2017, la Commission a lancé l'initiative baptisée «Villages intelligents» dans le but d'élaborer un modèle de </w:t>
      </w:r>
      <w:r w:rsidRPr="00D276FB">
        <w:rPr>
          <w:rFonts w:ascii="Times New Roman" w:hAnsi="Times New Roman"/>
          <w:b/>
        </w:rPr>
        <w:t>villages intelligents</w:t>
      </w:r>
      <w:r w:rsidRPr="00D276FB">
        <w:rPr>
          <w:rFonts w:ascii="Times New Roman" w:hAnsi="Times New Roman"/>
        </w:rPr>
        <w:t xml:space="preserve"> dont les communautés rurales peuvent s'inspirer pour améliorer leur situation. La PAC après 2020 prévoira des outils à l'appui de la numérisation et de l'innovation sociale, ainsi que la création et le développement de services ruraux, qui rendront les zones rurales attrayantes pour les jeunes. Les types d'intervention en faveur du développement rural pertinents à cet égard sont les investissements, l'aide au démarrage d'activités non agricoles, le programme LEADER, etc.</w:t>
      </w:r>
    </w:p>
    <w:p w:rsidR="006131EF" w:rsidRPr="00D276FB" w:rsidRDefault="006131EF" w:rsidP="006131EF">
      <w:pPr>
        <w:spacing w:after="120"/>
        <w:rPr>
          <w:rFonts w:ascii="Times New Roman" w:hAnsi="Times New Roman"/>
          <w:szCs w:val="24"/>
        </w:rPr>
      </w:pPr>
      <w:r w:rsidRPr="00D276FB">
        <w:rPr>
          <w:rFonts w:ascii="Times New Roman" w:hAnsi="Times New Roman"/>
        </w:rPr>
        <w:t xml:space="preserve">Les États membres auront la possibilité d'utiliser les aides de la PAC en complément d'autres financements, comme le Fonds européen de développement régional (FEDER) pour le financement du déploiement </w:t>
      </w:r>
      <w:proofErr w:type="gramStart"/>
      <w:r w:rsidRPr="00D276FB">
        <w:rPr>
          <w:rFonts w:ascii="Times New Roman" w:hAnsi="Times New Roman"/>
        </w:rPr>
        <w:t>du</w:t>
      </w:r>
      <w:proofErr w:type="gramEnd"/>
      <w:r w:rsidRPr="00D276FB">
        <w:rPr>
          <w:rFonts w:ascii="Times New Roman" w:hAnsi="Times New Roman"/>
        </w:rPr>
        <w:t xml:space="preserve"> large bande, d'autres infrastructures numériques ou de villages bioénergétiques. La </w:t>
      </w:r>
      <w:r w:rsidRPr="00D276FB">
        <w:rPr>
          <w:rFonts w:ascii="Times New Roman" w:hAnsi="Times New Roman"/>
          <w:b/>
        </w:rPr>
        <w:t>simplification</w:t>
      </w:r>
      <w:r w:rsidRPr="00D276FB">
        <w:rPr>
          <w:rFonts w:ascii="Times New Roman" w:hAnsi="Times New Roman"/>
        </w:rPr>
        <w:t xml:space="preserve"> a été l'un des principaux vecteurs des propositions de la Commission. Non seulement l'architecture écologique de la PAC a été simplifiée mais la charge administrative pour les bénéficiaires a été réduite, essentiellement grâce à l'utilisation des technologies numériques.</w:t>
      </w:r>
    </w:p>
    <w:p w:rsidR="006131EF" w:rsidRPr="00D276FB" w:rsidRDefault="006131EF" w:rsidP="006131EF">
      <w:pPr>
        <w:spacing w:after="120"/>
        <w:rPr>
          <w:rFonts w:ascii="Times New Roman" w:hAnsi="Times New Roman"/>
          <w:szCs w:val="24"/>
        </w:rPr>
      </w:pPr>
      <w:r w:rsidRPr="00D276FB">
        <w:rPr>
          <w:rFonts w:ascii="Times New Roman" w:hAnsi="Times New Roman"/>
        </w:rPr>
        <w:t xml:space="preserve">Concernant la gestion des risques, la Commission partage l'avis de la résolution selon lequel il convient de promouvoir à l'avenir des </w:t>
      </w:r>
      <w:r w:rsidRPr="00D276FB">
        <w:rPr>
          <w:rFonts w:ascii="Times New Roman" w:hAnsi="Times New Roman"/>
          <w:b/>
        </w:rPr>
        <w:t>outils de gestion des risques</w:t>
      </w:r>
      <w:r w:rsidRPr="00D276FB">
        <w:rPr>
          <w:rFonts w:ascii="Times New Roman" w:hAnsi="Times New Roman"/>
        </w:rPr>
        <w:t>. C'est pourquoi les propositions relatives à la PAC après 2020 amélioreront davantage encore le fonctionnement et l'efficacité des instruments existants, prévoiront de nouvelles pistes pour le transfert de connaissances et le partage de bonnes pratiques, et favoriseront la complémentarité entre les interventions menées au niveau national et européen, de manière à construire une architecture intégrée et cohérente pour la gestion des risques. Il est impératif pour les États membres de programmer, dans leur stratégie d'intervention au titre de la PAC, des outils de gestion des risques adaptés à leurs besoins. Les prescriptions juridiques ont été simplifiées tandis que plus de flexibilité a été instaurée pour permettre de concevoir des réponses sur mesure adaptées aux contextes locaux. En outre, le système de conseil agricole aura l'obligation de couvrir notamment la question de la gestion des risques et une plateforme au niveau de l'Union, consacrée à la gestion des risques, sera créée pour favoriser la création et le partage de connaissances et permettre le renforcement des capacités.</w:t>
      </w:r>
      <w:bookmarkStart w:id="0" w:name="_GoBack"/>
      <w:bookmarkEnd w:id="0"/>
    </w:p>
    <w:sectPr w:rsidR="006131EF" w:rsidRPr="00D276FB" w:rsidSect="005A4609">
      <w:footerReference w:type="default" r:id="rId9"/>
      <w:footerReference w:type="first" r:id="rId10"/>
      <w:footnotePr>
        <w:numRestart w:val="eachSect"/>
      </w:footnotePr>
      <w:pgSz w:w="11906" w:h="16838" w:code="9"/>
      <w:pgMar w:top="1021" w:right="1558" w:bottom="1021" w:left="1588" w:header="60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A19" w:rsidRDefault="003C7A19">
      <w:r>
        <w:separator/>
      </w:r>
    </w:p>
  </w:endnote>
  <w:endnote w:type="continuationSeparator" w:id="0">
    <w:p w:rsidR="003C7A19" w:rsidRDefault="003C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panose1 w:val="00000000000000000000"/>
    <w:charset w:val="00"/>
    <w:family w:val="roman"/>
    <w:notTrueType/>
    <w:pitch w:val="default"/>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19" w:rsidRDefault="003C7A19">
    <w:pPr>
      <w:pStyle w:val="Footer"/>
      <w:jc w:val="center"/>
    </w:pPr>
    <w:r>
      <w:fldChar w:fldCharType="begin"/>
    </w:r>
    <w:r>
      <w:instrText xml:space="preserve"> PAGE   \* MERGEFORMAT </w:instrText>
    </w:r>
    <w:r>
      <w:fldChar w:fldCharType="separate"/>
    </w:r>
    <w:r w:rsidR="00DA14C7">
      <w:rPr>
        <w:noProof/>
      </w:rPr>
      <w:t>3</w:t>
    </w:r>
    <w:r>
      <w:rPr>
        <w:noProof/>
      </w:rPr>
      <w:fldChar w:fldCharType="end"/>
    </w:r>
  </w:p>
  <w:p w:rsidR="003C7A19" w:rsidRDefault="003C7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19" w:rsidRDefault="003C7A19">
    <w:pPr>
      <w:pStyle w:val="Footer"/>
      <w:jc w:val="center"/>
    </w:pPr>
    <w:r>
      <w:fldChar w:fldCharType="begin"/>
    </w:r>
    <w:r>
      <w:instrText xml:space="preserve"> PAGE   \* MERGEFORMAT </w:instrText>
    </w:r>
    <w:r>
      <w:fldChar w:fldCharType="separate"/>
    </w:r>
    <w:r w:rsidR="00DA14C7">
      <w:rPr>
        <w:noProof/>
      </w:rPr>
      <w:t>1</w:t>
    </w:r>
    <w:r>
      <w:rPr>
        <w:noProof/>
      </w:rPr>
      <w:fldChar w:fldCharType="end"/>
    </w:r>
  </w:p>
  <w:p w:rsidR="003C7A19" w:rsidRDefault="003C7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A19" w:rsidRDefault="003C7A19">
      <w:r>
        <w:separator/>
      </w:r>
    </w:p>
  </w:footnote>
  <w:footnote w:type="continuationSeparator" w:id="0">
    <w:p w:rsidR="003C7A19" w:rsidRDefault="003C7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C76"/>
    <w:multiLevelType w:val="hybridMultilevel"/>
    <w:tmpl w:val="994A5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3">
    <w:nsid w:val="02FD5E00"/>
    <w:multiLevelType w:val="hybridMultilevel"/>
    <w:tmpl w:val="23CCA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681E82"/>
    <w:multiLevelType w:val="hybridMultilevel"/>
    <w:tmpl w:val="0316D07C"/>
    <w:lvl w:ilvl="0" w:tplc="010A33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D4D0411"/>
    <w:multiLevelType w:val="hybridMultilevel"/>
    <w:tmpl w:val="673855CC"/>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B46F45"/>
    <w:multiLevelType w:val="hybridMultilevel"/>
    <w:tmpl w:val="50D21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9">
    <w:nsid w:val="130D0618"/>
    <w:multiLevelType w:val="hybridMultilevel"/>
    <w:tmpl w:val="37A2CF10"/>
    <w:lvl w:ilvl="0" w:tplc="F82EC384">
      <w:start w:val="2016"/>
      <w:numFmt w:val="decimal"/>
      <w:lvlText w:val="%1"/>
      <w:lvlJc w:val="left"/>
      <w:pPr>
        <w:ind w:left="840" w:hanging="48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11">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2">
    <w:nsid w:val="15871932"/>
    <w:multiLevelType w:val="hybridMultilevel"/>
    <w:tmpl w:val="8A124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68407E8"/>
    <w:multiLevelType w:val="hybridMultilevel"/>
    <w:tmpl w:val="424A86AA"/>
    <w:lvl w:ilvl="0" w:tplc="90B27698">
      <w:start w:val="1"/>
      <w:numFmt w:val="decimal"/>
      <w:lvlText w:val="%1."/>
      <w:lvlJc w:val="left"/>
      <w:pPr>
        <w:ind w:left="1080" w:hanging="72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92973D2"/>
    <w:multiLevelType w:val="hybridMultilevel"/>
    <w:tmpl w:val="A2FAFC22"/>
    <w:lvl w:ilvl="0" w:tplc="28A25164">
      <w:start w:val="1"/>
      <w:numFmt w:val="decimal"/>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7">
    <w:nsid w:val="1F9015B4"/>
    <w:multiLevelType w:val="hybridMultilevel"/>
    <w:tmpl w:val="A7504770"/>
    <w:lvl w:ilvl="0" w:tplc="08090011">
      <w:start w:val="1"/>
      <w:numFmt w:val="decimal"/>
      <w:lvlText w:val="%1)"/>
      <w:lvlJc w:val="left"/>
      <w:pPr>
        <w:ind w:left="360" w:hanging="360"/>
      </w:pPr>
      <w:rPr>
        <w:b/>
      </w:rPr>
    </w:lvl>
    <w:lvl w:ilvl="1" w:tplc="08090011">
      <w:start w:val="1"/>
      <w:numFmt w:val="decimal"/>
      <w:lvlText w:val="%2)"/>
      <w:lvlJc w:val="left"/>
      <w:pPr>
        <w:ind w:left="1440" w:hanging="360"/>
      </w:pPr>
    </w:lvl>
    <w:lvl w:ilvl="2" w:tplc="26702276">
      <w:start w:val="1"/>
      <w:numFmt w:val="bullet"/>
      <w:lvlText w:val="-"/>
      <w:lvlJc w:val="left"/>
      <w:pPr>
        <w:ind w:left="2760" w:hanging="780"/>
      </w:pPr>
      <w:rPr>
        <w:rFonts w:ascii="Times New Roman" w:eastAsia="Calibri" w:hAnsi="Times New Roman" w:cs="Times New Roman"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20081441"/>
    <w:multiLevelType w:val="hybridMultilevel"/>
    <w:tmpl w:val="836C68BA"/>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1991F84"/>
    <w:multiLevelType w:val="hybridMultilevel"/>
    <w:tmpl w:val="32BCE1A0"/>
    <w:lvl w:ilvl="0" w:tplc="01FEB23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22">
    <w:nsid w:val="332B3941"/>
    <w:multiLevelType w:val="hybridMultilevel"/>
    <w:tmpl w:val="A7669DDE"/>
    <w:lvl w:ilvl="0" w:tplc="ECA2AED8">
      <w:start w:val="1"/>
      <w:numFmt w:val="decimal"/>
      <w:lvlText w:val="%1."/>
      <w:lvlJc w:val="left"/>
      <w:pPr>
        <w:ind w:left="1353" w:hanging="360"/>
      </w:pPr>
      <w:rPr>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3">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nsid w:val="36644752"/>
    <w:multiLevelType w:val="hybridMultilevel"/>
    <w:tmpl w:val="BB08B3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6807E46"/>
    <w:multiLevelType w:val="hybridMultilevel"/>
    <w:tmpl w:val="0B344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1324D01"/>
    <w:multiLevelType w:val="hybridMultilevel"/>
    <w:tmpl w:val="E280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259128D"/>
    <w:multiLevelType w:val="hybridMultilevel"/>
    <w:tmpl w:val="F8DA622E"/>
    <w:lvl w:ilvl="0" w:tplc="032ACD00">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494F2639"/>
    <w:multiLevelType w:val="hybridMultilevel"/>
    <w:tmpl w:val="03BC8946"/>
    <w:lvl w:ilvl="0" w:tplc="8E40B238">
      <w:numFmt w:val="bullet"/>
      <w:lvlText w:val="-"/>
      <w:lvlJc w:val="left"/>
      <w:pPr>
        <w:ind w:left="720" w:hanging="360"/>
      </w:pPr>
      <w:rPr>
        <w:rFonts w:ascii="Times New Roman" w:eastAsia="Calibr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4">
    <w:nsid w:val="4C947BFC"/>
    <w:multiLevelType w:val="hybridMultilevel"/>
    <w:tmpl w:val="A6B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6">
    <w:nsid w:val="5358149A"/>
    <w:multiLevelType w:val="hybridMultilevel"/>
    <w:tmpl w:val="C660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39">
    <w:nsid w:val="5C3073F9"/>
    <w:multiLevelType w:val="hybridMultilevel"/>
    <w:tmpl w:val="DA8A5DBE"/>
    <w:lvl w:ilvl="0" w:tplc="010A33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62076762"/>
    <w:multiLevelType w:val="hybridMultilevel"/>
    <w:tmpl w:val="DD047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2D37449"/>
    <w:multiLevelType w:val="hybridMultilevel"/>
    <w:tmpl w:val="6C2E98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A645398"/>
    <w:multiLevelType w:val="hybridMultilevel"/>
    <w:tmpl w:val="2E3C1EB0"/>
    <w:lvl w:ilvl="0" w:tplc="1504843A">
      <w:numFmt w:val="bullet"/>
      <w:lvlText w:val="•"/>
      <w:lvlJc w:val="left"/>
      <w:pPr>
        <w:ind w:left="1441" w:hanging="732"/>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4">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46">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48">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49">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50">
    <w:nsid w:val="7AAD218F"/>
    <w:multiLevelType w:val="hybridMultilevel"/>
    <w:tmpl w:val="85548C16"/>
    <w:lvl w:ilvl="0" w:tplc="82FEAE7E">
      <w:start w:val="1"/>
      <w:numFmt w:val="decimal"/>
      <w:lvlText w:val="%1)"/>
      <w:lvlJc w:val="left"/>
      <w:pPr>
        <w:ind w:left="930" w:hanging="57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11"/>
  </w:num>
  <w:num w:numId="2">
    <w:abstractNumId w:val="2"/>
  </w:num>
  <w:num w:numId="3">
    <w:abstractNumId w:val="49"/>
  </w:num>
  <w:num w:numId="4">
    <w:abstractNumId w:val="21"/>
  </w:num>
  <w:num w:numId="5">
    <w:abstractNumId w:val="45"/>
  </w:num>
  <w:num w:numId="6">
    <w:abstractNumId w:val="16"/>
  </w:num>
  <w:num w:numId="7">
    <w:abstractNumId w:val="10"/>
  </w:num>
  <w:num w:numId="8">
    <w:abstractNumId w:val="25"/>
  </w:num>
  <w:num w:numId="9">
    <w:abstractNumId w:val="48"/>
  </w:num>
  <w:num w:numId="10">
    <w:abstractNumId w:val="38"/>
  </w:num>
  <w:num w:numId="11">
    <w:abstractNumId w:val="42"/>
  </w:num>
  <w:num w:numId="12">
    <w:abstractNumId w:val="20"/>
  </w:num>
  <w:num w:numId="13">
    <w:abstractNumId w:val="29"/>
  </w:num>
  <w:num w:numId="14">
    <w:abstractNumId w:val="46"/>
  </w:num>
  <w:num w:numId="15">
    <w:abstractNumId w:val="24"/>
  </w:num>
  <w:num w:numId="16">
    <w:abstractNumId w:val="52"/>
  </w:num>
  <w:num w:numId="17">
    <w:abstractNumId w:val="47"/>
  </w:num>
  <w:num w:numId="18">
    <w:abstractNumId w:val="35"/>
  </w:num>
  <w:num w:numId="19">
    <w:abstractNumId w:val="37"/>
  </w:num>
  <w:num w:numId="20">
    <w:abstractNumId w:val="44"/>
  </w:num>
  <w:num w:numId="21">
    <w:abstractNumId w:val="5"/>
  </w:num>
  <w:num w:numId="22">
    <w:abstractNumId w:val="8"/>
  </w:num>
  <w:num w:numId="23">
    <w:abstractNumId w:val="23"/>
  </w:num>
  <w:num w:numId="24">
    <w:abstractNumId w:val="51"/>
  </w:num>
  <w:num w:numId="25">
    <w:abstractNumId w:val="28"/>
  </w:num>
  <w:num w:numId="26">
    <w:abstractNumId w:val="15"/>
  </w:num>
  <w:num w:numId="27">
    <w:abstractNumId w:val="22"/>
  </w:num>
  <w:num w:numId="28">
    <w:abstractNumId w:val="17"/>
  </w:num>
  <w:num w:numId="29">
    <w:abstractNumId w:val="39"/>
  </w:num>
  <w:num w:numId="30">
    <w:abstractNumId w:val="4"/>
  </w:num>
  <w:num w:numId="31">
    <w:abstractNumId w:val="13"/>
  </w:num>
  <w:num w:numId="32">
    <w:abstractNumId w:val="33"/>
  </w:num>
  <w:num w:numId="33">
    <w:abstractNumId w:val="27"/>
  </w:num>
  <w:num w:numId="34">
    <w:abstractNumId w:val="30"/>
  </w:num>
  <w:num w:numId="35">
    <w:abstractNumId w:val="0"/>
  </w:num>
  <w:num w:numId="36">
    <w:abstractNumId w:val="12"/>
  </w:num>
  <w:num w:numId="37">
    <w:abstractNumId w:val="19"/>
  </w:num>
  <w:num w:numId="38">
    <w:abstractNumId w:val="32"/>
  </w:num>
  <w:num w:numId="39">
    <w:abstractNumId w:val="41"/>
  </w:num>
  <w:num w:numId="40">
    <w:abstractNumId w:val="18"/>
  </w:num>
  <w:num w:numId="41">
    <w:abstractNumId w:val="3"/>
  </w:num>
  <w:num w:numId="42">
    <w:abstractNumId w:val="31"/>
  </w:num>
  <w:num w:numId="43">
    <w:abstractNumId w:val="34"/>
  </w:num>
  <w:num w:numId="44">
    <w:abstractNumId w:val="7"/>
  </w:num>
  <w:num w:numId="45">
    <w:abstractNumId w:val="36"/>
  </w:num>
  <w:num w:numId="46">
    <w:abstractNumId w:val="43"/>
  </w:num>
  <w:num w:numId="47">
    <w:abstractNumId w:val="9"/>
  </w:num>
  <w:num w:numId="48">
    <w:abstractNumId w:val="26"/>
  </w:num>
  <w:num w:numId="49">
    <w:abstractNumId w:val="6"/>
  </w:num>
  <w:num w:numId="50">
    <w:abstractNumId w:val="40"/>
  </w:num>
  <w:num w:numId="51">
    <w:abstractNumId w:val="5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173"/>
    <w:rsid w:val="00001369"/>
    <w:rsid w:val="00001C27"/>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51"/>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3F1"/>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6F38"/>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9E7"/>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BDB"/>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9B"/>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4C7"/>
    <w:rsid w:val="0004189C"/>
    <w:rsid w:val="0004193F"/>
    <w:rsid w:val="0004195A"/>
    <w:rsid w:val="00041A87"/>
    <w:rsid w:val="00041DA3"/>
    <w:rsid w:val="00041E47"/>
    <w:rsid w:val="00041F1F"/>
    <w:rsid w:val="0004209B"/>
    <w:rsid w:val="000420DB"/>
    <w:rsid w:val="000421A1"/>
    <w:rsid w:val="00042508"/>
    <w:rsid w:val="00042A8B"/>
    <w:rsid w:val="00042F4E"/>
    <w:rsid w:val="000434BD"/>
    <w:rsid w:val="000436A8"/>
    <w:rsid w:val="00043B7B"/>
    <w:rsid w:val="00043C04"/>
    <w:rsid w:val="00043CB6"/>
    <w:rsid w:val="00043E36"/>
    <w:rsid w:val="000443C3"/>
    <w:rsid w:val="0004455F"/>
    <w:rsid w:val="00044806"/>
    <w:rsid w:val="00044A2B"/>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E3C"/>
    <w:rsid w:val="000520B1"/>
    <w:rsid w:val="00052241"/>
    <w:rsid w:val="00052672"/>
    <w:rsid w:val="00052814"/>
    <w:rsid w:val="000529E9"/>
    <w:rsid w:val="00052C5E"/>
    <w:rsid w:val="00053766"/>
    <w:rsid w:val="0005398D"/>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61C"/>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06"/>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86C"/>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A26"/>
    <w:rsid w:val="00072D12"/>
    <w:rsid w:val="00072E6E"/>
    <w:rsid w:val="00072F6B"/>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33"/>
    <w:rsid w:val="000776B1"/>
    <w:rsid w:val="000776D8"/>
    <w:rsid w:val="00077912"/>
    <w:rsid w:val="00077B88"/>
    <w:rsid w:val="00077BFB"/>
    <w:rsid w:val="000800AF"/>
    <w:rsid w:val="00080191"/>
    <w:rsid w:val="0008029D"/>
    <w:rsid w:val="0008046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7ED"/>
    <w:rsid w:val="00083B96"/>
    <w:rsid w:val="00083EAD"/>
    <w:rsid w:val="00084044"/>
    <w:rsid w:val="00084211"/>
    <w:rsid w:val="00084419"/>
    <w:rsid w:val="0008449C"/>
    <w:rsid w:val="000845D7"/>
    <w:rsid w:val="000846F8"/>
    <w:rsid w:val="0008496F"/>
    <w:rsid w:val="00084B71"/>
    <w:rsid w:val="00084C1A"/>
    <w:rsid w:val="00084D1E"/>
    <w:rsid w:val="00084DFB"/>
    <w:rsid w:val="0008526A"/>
    <w:rsid w:val="00085484"/>
    <w:rsid w:val="00085847"/>
    <w:rsid w:val="00085BE8"/>
    <w:rsid w:val="00085E04"/>
    <w:rsid w:val="0008608A"/>
    <w:rsid w:val="000863ED"/>
    <w:rsid w:val="00086911"/>
    <w:rsid w:val="00086C30"/>
    <w:rsid w:val="00086D5D"/>
    <w:rsid w:val="00086DA6"/>
    <w:rsid w:val="00087000"/>
    <w:rsid w:val="000875DD"/>
    <w:rsid w:val="00087C2A"/>
    <w:rsid w:val="00087E0A"/>
    <w:rsid w:val="00090055"/>
    <w:rsid w:val="000901F1"/>
    <w:rsid w:val="000906EF"/>
    <w:rsid w:val="0009096A"/>
    <w:rsid w:val="00090B6B"/>
    <w:rsid w:val="00090D4B"/>
    <w:rsid w:val="00090EA4"/>
    <w:rsid w:val="000910D7"/>
    <w:rsid w:val="0009166A"/>
    <w:rsid w:val="000917B7"/>
    <w:rsid w:val="000918B2"/>
    <w:rsid w:val="00091CE2"/>
    <w:rsid w:val="0009205D"/>
    <w:rsid w:val="00092442"/>
    <w:rsid w:val="0009257A"/>
    <w:rsid w:val="00092B44"/>
    <w:rsid w:val="00092C2D"/>
    <w:rsid w:val="00092EB9"/>
    <w:rsid w:val="000933A4"/>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232"/>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0E8"/>
    <w:rsid w:val="000B1471"/>
    <w:rsid w:val="000B16FC"/>
    <w:rsid w:val="000B1845"/>
    <w:rsid w:val="000B1B92"/>
    <w:rsid w:val="000B1CA5"/>
    <w:rsid w:val="000B21CB"/>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66D"/>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2"/>
    <w:rsid w:val="000B70BC"/>
    <w:rsid w:val="000B739A"/>
    <w:rsid w:val="000B73B7"/>
    <w:rsid w:val="000B7631"/>
    <w:rsid w:val="000B776B"/>
    <w:rsid w:val="000B7A29"/>
    <w:rsid w:val="000B7A33"/>
    <w:rsid w:val="000B7AF5"/>
    <w:rsid w:val="000B7B36"/>
    <w:rsid w:val="000B7E37"/>
    <w:rsid w:val="000C0100"/>
    <w:rsid w:val="000C027E"/>
    <w:rsid w:val="000C0681"/>
    <w:rsid w:val="000C0999"/>
    <w:rsid w:val="000C0B7E"/>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59EE"/>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6B1"/>
    <w:rsid w:val="000D1C63"/>
    <w:rsid w:val="000D20A1"/>
    <w:rsid w:val="000D23CE"/>
    <w:rsid w:val="000D25EF"/>
    <w:rsid w:val="000D2718"/>
    <w:rsid w:val="000D280C"/>
    <w:rsid w:val="000D333F"/>
    <w:rsid w:val="000D34BD"/>
    <w:rsid w:val="000D3537"/>
    <w:rsid w:val="000D37F7"/>
    <w:rsid w:val="000D38B0"/>
    <w:rsid w:val="000D390C"/>
    <w:rsid w:val="000D397D"/>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7EF"/>
    <w:rsid w:val="000E58E0"/>
    <w:rsid w:val="000E59FD"/>
    <w:rsid w:val="000E5C16"/>
    <w:rsid w:val="000E6201"/>
    <w:rsid w:val="000E68CA"/>
    <w:rsid w:val="000E690A"/>
    <w:rsid w:val="000E695D"/>
    <w:rsid w:val="000E699A"/>
    <w:rsid w:val="000E6DD8"/>
    <w:rsid w:val="000E6FA8"/>
    <w:rsid w:val="000E702D"/>
    <w:rsid w:val="000E719A"/>
    <w:rsid w:val="000E7228"/>
    <w:rsid w:val="000E72A8"/>
    <w:rsid w:val="000E7303"/>
    <w:rsid w:val="000E75D1"/>
    <w:rsid w:val="000E76B6"/>
    <w:rsid w:val="000E7FD0"/>
    <w:rsid w:val="000F0118"/>
    <w:rsid w:val="000F023F"/>
    <w:rsid w:val="000F04D2"/>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CE8"/>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94E"/>
    <w:rsid w:val="00102CB5"/>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AFE"/>
    <w:rsid w:val="00104CC5"/>
    <w:rsid w:val="00104E16"/>
    <w:rsid w:val="0010517D"/>
    <w:rsid w:val="0010525A"/>
    <w:rsid w:val="001054F9"/>
    <w:rsid w:val="001055C5"/>
    <w:rsid w:val="0010582B"/>
    <w:rsid w:val="00105A47"/>
    <w:rsid w:val="00105ABA"/>
    <w:rsid w:val="00105BDE"/>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098"/>
    <w:rsid w:val="00116169"/>
    <w:rsid w:val="001163D1"/>
    <w:rsid w:val="00116539"/>
    <w:rsid w:val="001166A1"/>
    <w:rsid w:val="00116823"/>
    <w:rsid w:val="00116AC9"/>
    <w:rsid w:val="00116B75"/>
    <w:rsid w:val="001175E2"/>
    <w:rsid w:val="001176DE"/>
    <w:rsid w:val="0011799C"/>
    <w:rsid w:val="00117A22"/>
    <w:rsid w:val="00117E41"/>
    <w:rsid w:val="00117F86"/>
    <w:rsid w:val="00120043"/>
    <w:rsid w:val="00120230"/>
    <w:rsid w:val="00120411"/>
    <w:rsid w:val="0012079D"/>
    <w:rsid w:val="00120E03"/>
    <w:rsid w:val="00120E34"/>
    <w:rsid w:val="00120E8D"/>
    <w:rsid w:val="0012121E"/>
    <w:rsid w:val="00121335"/>
    <w:rsid w:val="00121382"/>
    <w:rsid w:val="00121541"/>
    <w:rsid w:val="00121B5E"/>
    <w:rsid w:val="00121E93"/>
    <w:rsid w:val="00121EDE"/>
    <w:rsid w:val="00121F5D"/>
    <w:rsid w:val="00122706"/>
    <w:rsid w:val="00122B44"/>
    <w:rsid w:val="00122FB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8A3"/>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321"/>
    <w:rsid w:val="00142485"/>
    <w:rsid w:val="0014296A"/>
    <w:rsid w:val="00143061"/>
    <w:rsid w:val="00143335"/>
    <w:rsid w:val="00143391"/>
    <w:rsid w:val="001438FC"/>
    <w:rsid w:val="00143DDE"/>
    <w:rsid w:val="00143F3D"/>
    <w:rsid w:val="0014413D"/>
    <w:rsid w:val="00144934"/>
    <w:rsid w:val="00144AD5"/>
    <w:rsid w:val="00145AB8"/>
    <w:rsid w:val="00145BBD"/>
    <w:rsid w:val="00145D7D"/>
    <w:rsid w:val="001463CA"/>
    <w:rsid w:val="00146572"/>
    <w:rsid w:val="0014708A"/>
    <w:rsid w:val="00147169"/>
    <w:rsid w:val="00147197"/>
    <w:rsid w:val="0014755B"/>
    <w:rsid w:val="001476D4"/>
    <w:rsid w:val="0014776E"/>
    <w:rsid w:val="00147784"/>
    <w:rsid w:val="00147791"/>
    <w:rsid w:val="001477F4"/>
    <w:rsid w:val="00147B3E"/>
    <w:rsid w:val="00147E99"/>
    <w:rsid w:val="00150056"/>
    <w:rsid w:val="0015007A"/>
    <w:rsid w:val="00150099"/>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5F3"/>
    <w:rsid w:val="0015288A"/>
    <w:rsid w:val="00152B3C"/>
    <w:rsid w:val="00152D6E"/>
    <w:rsid w:val="00152E1C"/>
    <w:rsid w:val="00153005"/>
    <w:rsid w:val="001538A6"/>
    <w:rsid w:val="00153952"/>
    <w:rsid w:val="00153AD9"/>
    <w:rsid w:val="00153C3E"/>
    <w:rsid w:val="00153C59"/>
    <w:rsid w:val="00153F3C"/>
    <w:rsid w:val="001540D4"/>
    <w:rsid w:val="00154153"/>
    <w:rsid w:val="00154223"/>
    <w:rsid w:val="00154492"/>
    <w:rsid w:val="001545E0"/>
    <w:rsid w:val="00154908"/>
    <w:rsid w:val="00154E3C"/>
    <w:rsid w:val="00155050"/>
    <w:rsid w:val="00155265"/>
    <w:rsid w:val="001556CD"/>
    <w:rsid w:val="001559B7"/>
    <w:rsid w:val="00155DAE"/>
    <w:rsid w:val="0015615D"/>
    <w:rsid w:val="001561D4"/>
    <w:rsid w:val="00156296"/>
    <w:rsid w:val="00156301"/>
    <w:rsid w:val="001565BD"/>
    <w:rsid w:val="00156775"/>
    <w:rsid w:val="00156BB9"/>
    <w:rsid w:val="00157383"/>
    <w:rsid w:val="0015754F"/>
    <w:rsid w:val="00157717"/>
    <w:rsid w:val="001577FE"/>
    <w:rsid w:val="00157826"/>
    <w:rsid w:val="001579E7"/>
    <w:rsid w:val="00157B10"/>
    <w:rsid w:val="00160197"/>
    <w:rsid w:val="00160355"/>
    <w:rsid w:val="001607B3"/>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1CA8"/>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DB3"/>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BAC"/>
    <w:rsid w:val="00181DFD"/>
    <w:rsid w:val="001821DE"/>
    <w:rsid w:val="00182429"/>
    <w:rsid w:val="001824D3"/>
    <w:rsid w:val="001824FF"/>
    <w:rsid w:val="001829C7"/>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6D9F"/>
    <w:rsid w:val="0018707E"/>
    <w:rsid w:val="001870AB"/>
    <w:rsid w:val="00187102"/>
    <w:rsid w:val="00187221"/>
    <w:rsid w:val="001872A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0F4E"/>
    <w:rsid w:val="001912E2"/>
    <w:rsid w:val="00191A2A"/>
    <w:rsid w:val="00191BF5"/>
    <w:rsid w:val="00191C56"/>
    <w:rsid w:val="00191DD2"/>
    <w:rsid w:val="00191E0F"/>
    <w:rsid w:val="00191EC5"/>
    <w:rsid w:val="001920C5"/>
    <w:rsid w:val="001922AC"/>
    <w:rsid w:val="001922FE"/>
    <w:rsid w:val="0019262E"/>
    <w:rsid w:val="00192C12"/>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579F"/>
    <w:rsid w:val="00196088"/>
    <w:rsid w:val="001962D1"/>
    <w:rsid w:val="0019671F"/>
    <w:rsid w:val="00196902"/>
    <w:rsid w:val="0019694E"/>
    <w:rsid w:val="00196BE4"/>
    <w:rsid w:val="00196CC1"/>
    <w:rsid w:val="001970C6"/>
    <w:rsid w:val="00197294"/>
    <w:rsid w:val="00197522"/>
    <w:rsid w:val="001976A1"/>
    <w:rsid w:val="0019786E"/>
    <w:rsid w:val="00197A06"/>
    <w:rsid w:val="00197A47"/>
    <w:rsid w:val="001A01B9"/>
    <w:rsid w:val="001A02EB"/>
    <w:rsid w:val="001A0303"/>
    <w:rsid w:val="001A03B3"/>
    <w:rsid w:val="001A065A"/>
    <w:rsid w:val="001A090B"/>
    <w:rsid w:val="001A0C22"/>
    <w:rsid w:val="001A0CB3"/>
    <w:rsid w:val="001A0D6D"/>
    <w:rsid w:val="001A102F"/>
    <w:rsid w:val="001A14A4"/>
    <w:rsid w:val="001A1572"/>
    <w:rsid w:val="001A1804"/>
    <w:rsid w:val="001A183D"/>
    <w:rsid w:val="001A1CA7"/>
    <w:rsid w:val="001A1DC1"/>
    <w:rsid w:val="001A2019"/>
    <w:rsid w:val="001A2024"/>
    <w:rsid w:val="001A2787"/>
    <w:rsid w:val="001A2A80"/>
    <w:rsid w:val="001A2C40"/>
    <w:rsid w:val="001A2D05"/>
    <w:rsid w:val="001A3205"/>
    <w:rsid w:val="001A332F"/>
    <w:rsid w:val="001A3653"/>
    <w:rsid w:val="001A39DD"/>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A93"/>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6FC9"/>
    <w:rsid w:val="001A7123"/>
    <w:rsid w:val="001A72FC"/>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38E"/>
    <w:rsid w:val="001B1499"/>
    <w:rsid w:val="001B15A6"/>
    <w:rsid w:val="001B17DA"/>
    <w:rsid w:val="001B181C"/>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D25"/>
    <w:rsid w:val="001B4D98"/>
    <w:rsid w:val="001B5070"/>
    <w:rsid w:val="001B51CB"/>
    <w:rsid w:val="001B533B"/>
    <w:rsid w:val="001B53DF"/>
    <w:rsid w:val="001B54BE"/>
    <w:rsid w:val="001B572C"/>
    <w:rsid w:val="001B57D4"/>
    <w:rsid w:val="001B627A"/>
    <w:rsid w:val="001B6448"/>
    <w:rsid w:val="001B6B7E"/>
    <w:rsid w:val="001B6BAD"/>
    <w:rsid w:val="001B6F81"/>
    <w:rsid w:val="001B70A1"/>
    <w:rsid w:val="001B731A"/>
    <w:rsid w:val="001B76B5"/>
    <w:rsid w:val="001B7802"/>
    <w:rsid w:val="001B7D87"/>
    <w:rsid w:val="001B7E7B"/>
    <w:rsid w:val="001C00DC"/>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1A"/>
    <w:rsid w:val="001C394A"/>
    <w:rsid w:val="001C3D04"/>
    <w:rsid w:val="001C3EC5"/>
    <w:rsid w:val="001C4737"/>
    <w:rsid w:val="001C4833"/>
    <w:rsid w:val="001C48DA"/>
    <w:rsid w:val="001C4A99"/>
    <w:rsid w:val="001C528B"/>
    <w:rsid w:val="001C580F"/>
    <w:rsid w:val="001C58C0"/>
    <w:rsid w:val="001C5C8A"/>
    <w:rsid w:val="001C6197"/>
    <w:rsid w:val="001C680C"/>
    <w:rsid w:val="001C68EB"/>
    <w:rsid w:val="001C6B35"/>
    <w:rsid w:val="001C6E36"/>
    <w:rsid w:val="001C6ECF"/>
    <w:rsid w:val="001C7433"/>
    <w:rsid w:val="001C77DB"/>
    <w:rsid w:val="001C78E1"/>
    <w:rsid w:val="001C7BBA"/>
    <w:rsid w:val="001C7C96"/>
    <w:rsid w:val="001C7CF5"/>
    <w:rsid w:val="001C7D9C"/>
    <w:rsid w:val="001D00BA"/>
    <w:rsid w:val="001D0217"/>
    <w:rsid w:val="001D03B9"/>
    <w:rsid w:val="001D0749"/>
    <w:rsid w:val="001D091B"/>
    <w:rsid w:val="001D0AC4"/>
    <w:rsid w:val="001D0D78"/>
    <w:rsid w:val="001D0FB9"/>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505"/>
    <w:rsid w:val="001D670F"/>
    <w:rsid w:val="001D68FE"/>
    <w:rsid w:val="001D6923"/>
    <w:rsid w:val="001D6C21"/>
    <w:rsid w:val="001D6DC1"/>
    <w:rsid w:val="001D6E97"/>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15F"/>
    <w:rsid w:val="001E352F"/>
    <w:rsid w:val="001E3584"/>
    <w:rsid w:val="001E3A51"/>
    <w:rsid w:val="001E3B09"/>
    <w:rsid w:val="001E3B15"/>
    <w:rsid w:val="001E3C0D"/>
    <w:rsid w:val="001E42DA"/>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3C"/>
    <w:rsid w:val="001F6BCF"/>
    <w:rsid w:val="001F6D8B"/>
    <w:rsid w:val="001F6EFE"/>
    <w:rsid w:val="001F7077"/>
    <w:rsid w:val="001F72B2"/>
    <w:rsid w:val="001F746B"/>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1D2"/>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225"/>
    <w:rsid w:val="00220EC6"/>
    <w:rsid w:val="002210AF"/>
    <w:rsid w:val="002212B8"/>
    <w:rsid w:val="002216B1"/>
    <w:rsid w:val="00221B95"/>
    <w:rsid w:val="00221CDB"/>
    <w:rsid w:val="00221CDE"/>
    <w:rsid w:val="00221D83"/>
    <w:rsid w:val="00221FFB"/>
    <w:rsid w:val="0022203A"/>
    <w:rsid w:val="00222570"/>
    <w:rsid w:val="00222764"/>
    <w:rsid w:val="00222AF1"/>
    <w:rsid w:val="00222E0F"/>
    <w:rsid w:val="00223291"/>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6E0"/>
    <w:rsid w:val="00227749"/>
    <w:rsid w:val="00227750"/>
    <w:rsid w:val="00227794"/>
    <w:rsid w:val="00227EC2"/>
    <w:rsid w:val="00227FA4"/>
    <w:rsid w:val="00230277"/>
    <w:rsid w:val="0023029C"/>
    <w:rsid w:val="002302FC"/>
    <w:rsid w:val="002303C6"/>
    <w:rsid w:val="00230D30"/>
    <w:rsid w:val="00230DC9"/>
    <w:rsid w:val="00230F07"/>
    <w:rsid w:val="0023153C"/>
    <w:rsid w:val="00231926"/>
    <w:rsid w:val="0023194F"/>
    <w:rsid w:val="002319B1"/>
    <w:rsid w:val="00231DFE"/>
    <w:rsid w:val="00232166"/>
    <w:rsid w:val="00232359"/>
    <w:rsid w:val="00232BAA"/>
    <w:rsid w:val="00232DF2"/>
    <w:rsid w:val="00232E14"/>
    <w:rsid w:val="00232E5E"/>
    <w:rsid w:val="00233197"/>
    <w:rsid w:val="0023356F"/>
    <w:rsid w:val="00233656"/>
    <w:rsid w:val="00233749"/>
    <w:rsid w:val="002338E8"/>
    <w:rsid w:val="00233B5C"/>
    <w:rsid w:val="00233E26"/>
    <w:rsid w:val="00233E5C"/>
    <w:rsid w:val="00233ED8"/>
    <w:rsid w:val="00233FD6"/>
    <w:rsid w:val="002346D9"/>
    <w:rsid w:val="00234B44"/>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3"/>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425"/>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7E6"/>
    <w:rsid w:val="0024588B"/>
    <w:rsid w:val="00245BF1"/>
    <w:rsid w:val="00245CB3"/>
    <w:rsid w:val="00245E14"/>
    <w:rsid w:val="00245F0C"/>
    <w:rsid w:val="00245F73"/>
    <w:rsid w:val="0024613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A2F"/>
    <w:rsid w:val="00253A58"/>
    <w:rsid w:val="00253F47"/>
    <w:rsid w:val="00253F7D"/>
    <w:rsid w:val="00253FB8"/>
    <w:rsid w:val="00254470"/>
    <w:rsid w:val="0025459C"/>
    <w:rsid w:val="002546A9"/>
    <w:rsid w:val="00254775"/>
    <w:rsid w:val="00254E58"/>
    <w:rsid w:val="00255036"/>
    <w:rsid w:val="00255137"/>
    <w:rsid w:val="0025526A"/>
    <w:rsid w:val="0025544B"/>
    <w:rsid w:val="00255578"/>
    <w:rsid w:val="002556B3"/>
    <w:rsid w:val="002556E1"/>
    <w:rsid w:val="00255A78"/>
    <w:rsid w:val="00255BF8"/>
    <w:rsid w:val="00255C80"/>
    <w:rsid w:val="0025616F"/>
    <w:rsid w:val="002563EC"/>
    <w:rsid w:val="00256412"/>
    <w:rsid w:val="0025664F"/>
    <w:rsid w:val="0025668E"/>
    <w:rsid w:val="002566AB"/>
    <w:rsid w:val="002568E7"/>
    <w:rsid w:val="00256ADD"/>
    <w:rsid w:val="00256BE4"/>
    <w:rsid w:val="00256D78"/>
    <w:rsid w:val="00256F85"/>
    <w:rsid w:val="002571BB"/>
    <w:rsid w:val="002576C5"/>
    <w:rsid w:val="00257B59"/>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D6B"/>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4A"/>
    <w:rsid w:val="00281957"/>
    <w:rsid w:val="0028196C"/>
    <w:rsid w:val="00281B89"/>
    <w:rsid w:val="00281C23"/>
    <w:rsid w:val="00281D74"/>
    <w:rsid w:val="002822DD"/>
    <w:rsid w:val="002829CC"/>
    <w:rsid w:val="00282D50"/>
    <w:rsid w:val="00282E90"/>
    <w:rsid w:val="00282F78"/>
    <w:rsid w:val="00282FDF"/>
    <w:rsid w:val="0028302D"/>
    <w:rsid w:val="00283069"/>
    <w:rsid w:val="0028348D"/>
    <w:rsid w:val="00283730"/>
    <w:rsid w:val="00283B0F"/>
    <w:rsid w:val="00283C63"/>
    <w:rsid w:val="00283D7F"/>
    <w:rsid w:val="00283DD8"/>
    <w:rsid w:val="00284207"/>
    <w:rsid w:val="00284491"/>
    <w:rsid w:val="00284886"/>
    <w:rsid w:val="002848AC"/>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8D"/>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AC9"/>
    <w:rsid w:val="00296D2B"/>
    <w:rsid w:val="00296DAE"/>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24"/>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426"/>
    <w:rsid w:val="002A54A4"/>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5080"/>
    <w:rsid w:val="002B534A"/>
    <w:rsid w:val="002B558F"/>
    <w:rsid w:val="002B569C"/>
    <w:rsid w:val="002B5875"/>
    <w:rsid w:val="002B606D"/>
    <w:rsid w:val="002B60CB"/>
    <w:rsid w:val="002B627D"/>
    <w:rsid w:val="002B649E"/>
    <w:rsid w:val="002B64A3"/>
    <w:rsid w:val="002B65C7"/>
    <w:rsid w:val="002B6882"/>
    <w:rsid w:val="002B6B4F"/>
    <w:rsid w:val="002B6C64"/>
    <w:rsid w:val="002B6CFB"/>
    <w:rsid w:val="002B6D3A"/>
    <w:rsid w:val="002B6E97"/>
    <w:rsid w:val="002B765A"/>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987"/>
    <w:rsid w:val="002C7B8E"/>
    <w:rsid w:val="002C7E85"/>
    <w:rsid w:val="002C7F07"/>
    <w:rsid w:val="002C7FA2"/>
    <w:rsid w:val="002D032B"/>
    <w:rsid w:val="002D0428"/>
    <w:rsid w:val="002D0AE3"/>
    <w:rsid w:val="002D0C3B"/>
    <w:rsid w:val="002D0C57"/>
    <w:rsid w:val="002D0CEC"/>
    <w:rsid w:val="002D0E6B"/>
    <w:rsid w:val="002D0F86"/>
    <w:rsid w:val="002D0FE0"/>
    <w:rsid w:val="002D1035"/>
    <w:rsid w:val="002D14B9"/>
    <w:rsid w:val="002D15B2"/>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9CD"/>
    <w:rsid w:val="002E0CBB"/>
    <w:rsid w:val="002E0CDE"/>
    <w:rsid w:val="002E0F16"/>
    <w:rsid w:val="002E0FA2"/>
    <w:rsid w:val="002E13A0"/>
    <w:rsid w:val="002E185A"/>
    <w:rsid w:val="002E1C42"/>
    <w:rsid w:val="002E1E26"/>
    <w:rsid w:val="002E2748"/>
    <w:rsid w:val="002E2A70"/>
    <w:rsid w:val="002E2B77"/>
    <w:rsid w:val="002E3095"/>
    <w:rsid w:val="002E33BF"/>
    <w:rsid w:val="002E37B5"/>
    <w:rsid w:val="002E380E"/>
    <w:rsid w:val="002E3B41"/>
    <w:rsid w:val="002E3DF0"/>
    <w:rsid w:val="002E4608"/>
    <w:rsid w:val="002E4671"/>
    <w:rsid w:val="002E4DCA"/>
    <w:rsid w:val="002E4E82"/>
    <w:rsid w:val="002E4EE2"/>
    <w:rsid w:val="002E5073"/>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7E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3"/>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73F"/>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0D7E"/>
    <w:rsid w:val="0031100E"/>
    <w:rsid w:val="00311194"/>
    <w:rsid w:val="0031125F"/>
    <w:rsid w:val="0031136C"/>
    <w:rsid w:val="0031177F"/>
    <w:rsid w:val="00311B7B"/>
    <w:rsid w:val="00311F51"/>
    <w:rsid w:val="003122E8"/>
    <w:rsid w:val="00312635"/>
    <w:rsid w:val="00312B96"/>
    <w:rsid w:val="003132F8"/>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453"/>
    <w:rsid w:val="00320682"/>
    <w:rsid w:val="00320862"/>
    <w:rsid w:val="00320881"/>
    <w:rsid w:val="003214CE"/>
    <w:rsid w:val="00321665"/>
    <w:rsid w:val="0032198E"/>
    <w:rsid w:val="00321A5B"/>
    <w:rsid w:val="00321D00"/>
    <w:rsid w:val="00321D56"/>
    <w:rsid w:val="00321F48"/>
    <w:rsid w:val="00321FB7"/>
    <w:rsid w:val="003220B2"/>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A7"/>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032"/>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4CE4"/>
    <w:rsid w:val="00355439"/>
    <w:rsid w:val="003555F5"/>
    <w:rsid w:val="00355B3F"/>
    <w:rsid w:val="00356023"/>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24"/>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A5D"/>
    <w:rsid w:val="00374E3A"/>
    <w:rsid w:val="00374FE9"/>
    <w:rsid w:val="0037539C"/>
    <w:rsid w:val="00375424"/>
    <w:rsid w:val="003754E1"/>
    <w:rsid w:val="00375597"/>
    <w:rsid w:val="00375630"/>
    <w:rsid w:val="00375BF6"/>
    <w:rsid w:val="00375CCC"/>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ACD"/>
    <w:rsid w:val="00377E52"/>
    <w:rsid w:val="003800DD"/>
    <w:rsid w:val="0038026E"/>
    <w:rsid w:val="0038028B"/>
    <w:rsid w:val="003805D6"/>
    <w:rsid w:val="003806E4"/>
    <w:rsid w:val="00380AC1"/>
    <w:rsid w:val="00380E9B"/>
    <w:rsid w:val="00381015"/>
    <w:rsid w:val="003814F7"/>
    <w:rsid w:val="00381727"/>
    <w:rsid w:val="0038196D"/>
    <w:rsid w:val="00381E30"/>
    <w:rsid w:val="0038251C"/>
    <w:rsid w:val="0038264C"/>
    <w:rsid w:val="00382880"/>
    <w:rsid w:val="00382A18"/>
    <w:rsid w:val="00382AA2"/>
    <w:rsid w:val="00382ABE"/>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7A"/>
    <w:rsid w:val="00384ABB"/>
    <w:rsid w:val="00384AE0"/>
    <w:rsid w:val="00384C20"/>
    <w:rsid w:val="00384E52"/>
    <w:rsid w:val="0038500C"/>
    <w:rsid w:val="00385295"/>
    <w:rsid w:val="0038532C"/>
    <w:rsid w:val="0038556F"/>
    <w:rsid w:val="0038577C"/>
    <w:rsid w:val="0038578E"/>
    <w:rsid w:val="00385CB4"/>
    <w:rsid w:val="00385D1A"/>
    <w:rsid w:val="00385D43"/>
    <w:rsid w:val="00385DBC"/>
    <w:rsid w:val="00385E39"/>
    <w:rsid w:val="0038630D"/>
    <w:rsid w:val="003864AE"/>
    <w:rsid w:val="003865A8"/>
    <w:rsid w:val="003869B3"/>
    <w:rsid w:val="00386A36"/>
    <w:rsid w:val="00386B20"/>
    <w:rsid w:val="00386B7F"/>
    <w:rsid w:val="00386BB5"/>
    <w:rsid w:val="00386D61"/>
    <w:rsid w:val="00386D7C"/>
    <w:rsid w:val="00386F24"/>
    <w:rsid w:val="00386F4D"/>
    <w:rsid w:val="00386FED"/>
    <w:rsid w:val="00387056"/>
    <w:rsid w:val="0038739C"/>
    <w:rsid w:val="003874E6"/>
    <w:rsid w:val="0038755D"/>
    <w:rsid w:val="00387AA7"/>
    <w:rsid w:val="00387F13"/>
    <w:rsid w:val="00387FA6"/>
    <w:rsid w:val="00390051"/>
    <w:rsid w:val="003902B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29F"/>
    <w:rsid w:val="003975C0"/>
    <w:rsid w:val="0039781F"/>
    <w:rsid w:val="00397D6F"/>
    <w:rsid w:val="003A0146"/>
    <w:rsid w:val="003A03F0"/>
    <w:rsid w:val="003A0743"/>
    <w:rsid w:val="003A0AB8"/>
    <w:rsid w:val="003A0C86"/>
    <w:rsid w:val="003A0EBC"/>
    <w:rsid w:val="003A193D"/>
    <w:rsid w:val="003A21D7"/>
    <w:rsid w:val="003A24F9"/>
    <w:rsid w:val="003A25B0"/>
    <w:rsid w:val="003A270F"/>
    <w:rsid w:val="003A2A9A"/>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57A"/>
    <w:rsid w:val="003A66D7"/>
    <w:rsid w:val="003A66E0"/>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2FDD"/>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C5A"/>
    <w:rsid w:val="003B7ECE"/>
    <w:rsid w:val="003C00AB"/>
    <w:rsid w:val="003C041C"/>
    <w:rsid w:val="003C0F40"/>
    <w:rsid w:val="003C0F54"/>
    <w:rsid w:val="003C0FEF"/>
    <w:rsid w:val="003C121D"/>
    <w:rsid w:val="003C1658"/>
    <w:rsid w:val="003C1867"/>
    <w:rsid w:val="003C188E"/>
    <w:rsid w:val="003C1937"/>
    <w:rsid w:val="003C1EF3"/>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C7A19"/>
    <w:rsid w:val="003D00D2"/>
    <w:rsid w:val="003D056E"/>
    <w:rsid w:val="003D0A16"/>
    <w:rsid w:val="003D0AFB"/>
    <w:rsid w:val="003D0BD2"/>
    <w:rsid w:val="003D0BE3"/>
    <w:rsid w:val="003D1331"/>
    <w:rsid w:val="003D1730"/>
    <w:rsid w:val="003D184B"/>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A0C"/>
    <w:rsid w:val="003D3E70"/>
    <w:rsid w:val="003D41F2"/>
    <w:rsid w:val="003D4937"/>
    <w:rsid w:val="003D4B9D"/>
    <w:rsid w:val="003D4E2B"/>
    <w:rsid w:val="003D4F92"/>
    <w:rsid w:val="003D574C"/>
    <w:rsid w:val="003D576D"/>
    <w:rsid w:val="003D5BED"/>
    <w:rsid w:val="003D5CD5"/>
    <w:rsid w:val="003D5D4F"/>
    <w:rsid w:val="003D5E33"/>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29E"/>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D"/>
    <w:rsid w:val="003F01F6"/>
    <w:rsid w:val="003F020C"/>
    <w:rsid w:val="003F033C"/>
    <w:rsid w:val="003F03C4"/>
    <w:rsid w:val="003F04C5"/>
    <w:rsid w:val="003F066F"/>
    <w:rsid w:val="003F07C3"/>
    <w:rsid w:val="003F0C9B"/>
    <w:rsid w:val="003F110B"/>
    <w:rsid w:val="003F1299"/>
    <w:rsid w:val="003F1C0F"/>
    <w:rsid w:val="003F1DD9"/>
    <w:rsid w:val="003F1F1D"/>
    <w:rsid w:val="003F2A8C"/>
    <w:rsid w:val="003F2CEF"/>
    <w:rsid w:val="003F2DEE"/>
    <w:rsid w:val="003F307C"/>
    <w:rsid w:val="003F30FE"/>
    <w:rsid w:val="003F31AE"/>
    <w:rsid w:val="003F325F"/>
    <w:rsid w:val="003F3282"/>
    <w:rsid w:val="003F34C8"/>
    <w:rsid w:val="003F3650"/>
    <w:rsid w:val="003F3733"/>
    <w:rsid w:val="003F3919"/>
    <w:rsid w:val="003F3982"/>
    <w:rsid w:val="003F39F1"/>
    <w:rsid w:val="003F3B54"/>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384"/>
    <w:rsid w:val="004034C1"/>
    <w:rsid w:val="004034E5"/>
    <w:rsid w:val="00403504"/>
    <w:rsid w:val="00403633"/>
    <w:rsid w:val="004036C5"/>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07E5D"/>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3DE"/>
    <w:rsid w:val="004134C0"/>
    <w:rsid w:val="00413C08"/>
    <w:rsid w:val="00413FFE"/>
    <w:rsid w:val="0041408B"/>
    <w:rsid w:val="00414299"/>
    <w:rsid w:val="004145B4"/>
    <w:rsid w:val="00414967"/>
    <w:rsid w:val="00414A53"/>
    <w:rsid w:val="00414B5B"/>
    <w:rsid w:val="00414C19"/>
    <w:rsid w:val="00414CAD"/>
    <w:rsid w:val="004150F4"/>
    <w:rsid w:val="004157DC"/>
    <w:rsid w:val="00415BC5"/>
    <w:rsid w:val="00415C7B"/>
    <w:rsid w:val="00415DB8"/>
    <w:rsid w:val="00415EE3"/>
    <w:rsid w:val="00415F40"/>
    <w:rsid w:val="0041604E"/>
    <w:rsid w:val="004161DD"/>
    <w:rsid w:val="00416341"/>
    <w:rsid w:val="00416790"/>
    <w:rsid w:val="00416AB8"/>
    <w:rsid w:val="00416D2F"/>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11"/>
    <w:rsid w:val="00424B6C"/>
    <w:rsid w:val="00424BC8"/>
    <w:rsid w:val="00424C9B"/>
    <w:rsid w:val="00424E78"/>
    <w:rsid w:val="00424F79"/>
    <w:rsid w:val="0042523D"/>
    <w:rsid w:val="0042527E"/>
    <w:rsid w:val="004252FB"/>
    <w:rsid w:val="00425683"/>
    <w:rsid w:val="00425907"/>
    <w:rsid w:val="00425987"/>
    <w:rsid w:val="00425A69"/>
    <w:rsid w:val="00425B72"/>
    <w:rsid w:val="00425CCF"/>
    <w:rsid w:val="00425E08"/>
    <w:rsid w:val="00425F1B"/>
    <w:rsid w:val="004260FD"/>
    <w:rsid w:val="004266A3"/>
    <w:rsid w:val="004266B1"/>
    <w:rsid w:val="00427696"/>
    <w:rsid w:val="00427865"/>
    <w:rsid w:val="00427876"/>
    <w:rsid w:val="004278E6"/>
    <w:rsid w:val="00430012"/>
    <w:rsid w:val="004302B7"/>
    <w:rsid w:val="004303B3"/>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3CB7"/>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1DB"/>
    <w:rsid w:val="00442386"/>
    <w:rsid w:val="0044251E"/>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7E5"/>
    <w:rsid w:val="00450AC0"/>
    <w:rsid w:val="00450D71"/>
    <w:rsid w:val="00450D8A"/>
    <w:rsid w:val="004512E4"/>
    <w:rsid w:val="004516D6"/>
    <w:rsid w:val="004516F2"/>
    <w:rsid w:val="0045193A"/>
    <w:rsid w:val="004519F1"/>
    <w:rsid w:val="00451ED2"/>
    <w:rsid w:val="004525C1"/>
    <w:rsid w:val="004526DF"/>
    <w:rsid w:val="00452A17"/>
    <w:rsid w:val="00452C4A"/>
    <w:rsid w:val="00452E1E"/>
    <w:rsid w:val="00452E70"/>
    <w:rsid w:val="00453037"/>
    <w:rsid w:val="00453106"/>
    <w:rsid w:val="00453314"/>
    <w:rsid w:val="0045334B"/>
    <w:rsid w:val="004538DA"/>
    <w:rsid w:val="00453A19"/>
    <w:rsid w:val="00453B7D"/>
    <w:rsid w:val="00453FF4"/>
    <w:rsid w:val="0045437C"/>
    <w:rsid w:val="004543BB"/>
    <w:rsid w:val="00454739"/>
    <w:rsid w:val="00454A14"/>
    <w:rsid w:val="00454A30"/>
    <w:rsid w:val="00454D6E"/>
    <w:rsid w:val="00454F63"/>
    <w:rsid w:val="00454F87"/>
    <w:rsid w:val="0045588B"/>
    <w:rsid w:val="00455EA2"/>
    <w:rsid w:val="00455F9E"/>
    <w:rsid w:val="004563D6"/>
    <w:rsid w:val="00456654"/>
    <w:rsid w:val="00456AC0"/>
    <w:rsid w:val="00456C43"/>
    <w:rsid w:val="00456EC9"/>
    <w:rsid w:val="00456EF5"/>
    <w:rsid w:val="004577BF"/>
    <w:rsid w:val="0045781E"/>
    <w:rsid w:val="00457AFC"/>
    <w:rsid w:val="00457CFF"/>
    <w:rsid w:val="004600CC"/>
    <w:rsid w:val="00460494"/>
    <w:rsid w:val="004605BC"/>
    <w:rsid w:val="00460AD1"/>
    <w:rsid w:val="00461003"/>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A63"/>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0D2"/>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535"/>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953"/>
    <w:rsid w:val="00484A58"/>
    <w:rsid w:val="004852F4"/>
    <w:rsid w:val="0048552D"/>
    <w:rsid w:val="004855D7"/>
    <w:rsid w:val="0048585C"/>
    <w:rsid w:val="00485CDE"/>
    <w:rsid w:val="00485D08"/>
    <w:rsid w:val="00485FCD"/>
    <w:rsid w:val="0048641F"/>
    <w:rsid w:val="00486603"/>
    <w:rsid w:val="00486817"/>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505"/>
    <w:rsid w:val="00494589"/>
    <w:rsid w:val="00494683"/>
    <w:rsid w:val="004946F6"/>
    <w:rsid w:val="004949AD"/>
    <w:rsid w:val="00494C09"/>
    <w:rsid w:val="00494E20"/>
    <w:rsid w:val="00494F19"/>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B7F"/>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F7C"/>
    <w:rsid w:val="004A3254"/>
    <w:rsid w:val="004A3255"/>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77"/>
    <w:rsid w:val="004C3089"/>
    <w:rsid w:val="004C349B"/>
    <w:rsid w:val="004C34ED"/>
    <w:rsid w:val="004C35D2"/>
    <w:rsid w:val="004C3944"/>
    <w:rsid w:val="004C394D"/>
    <w:rsid w:val="004C39B3"/>
    <w:rsid w:val="004C3B48"/>
    <w:rsid w:val="004C3BE1"/>
    <w:rsid w:val="004C3D8F"/>
    <w:rsid w:val="004C44E0"/>
    <w:rsid w:val="004C44E5"/>
    <w:rsid w:val="004C4550"/>
    <w:rsid w:val="004C4814"/>
    <w:rsid w:val="004C48EC"/>
    <w:rsid w:val="004C4A8E"/>
    <w:rsid w:val="004C4B4E"/>
    <w:rsid w:val="004C4C7D"/>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DF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CDC"/>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7AF"/>
    <w:rsid w:val="004E0DAB"/>
    <w:rsid w:val="004E0E58"/>
    <w:rsid w:val="004E0E80"/>
    <w:rsid w:val="004E0E9C"/>
    <w:rsid w:val="004E1294"/>
    <w:rsid w:val="004E140F"/>
    <w:rsid w:val="004E1447"/>
    <w:rsid w:val="004E18DF"/>
    <w:rsid w:val="004E1905"/>
    <w:rsid w:val="004E1992"/>
    <w:rsid w:val="004E1FDF"/>
    <w:rsid w:val="004E2138"/>
    <w:rsid w:val="004E21C6"/>
    <w:rsid w:val="004E22A4"/>
    <w:rsid w:val="004E2726"/>
    <w:rsid w:val="004E281C"/>
    <w:rsid w:val="004E283A"/>
    <w:rsid w:val="004E28FB"/>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76F"/>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E88"/>
    <w:rsid w:val="004E7FA9"/>
    <w:rsid w:val="004F0057"/>
    <w:rsid w:val="004F0144"/>
    <w:rsid w:val="004F01C3"/>
    <w:rsid w:val="004F01DD"/>
    <w:rsid w:val="004F02CE"/>
    <w:rsid w:val="004F0776"/>
    <w:rsid w:val="004F0C08"/>
    <w:rsid w:val="004F0D65"/>
    <w:rsid w:val="004F0D81"/>
    <w:rsid w:val="004F10BF"/>
    <w:rsid w:val="004F14DE"/>
    <w:rsid w:val="004F1AC2"/>
    <w:rsid w:val="004F1FAC"/>
    <w:rsid w:val="004F1FBB"/>
    <w:rsid w:val="004F1FE4"/>
    <w:rsid w:val="004F212A"/>
    <w:rsid w:val="004F217D"/>
    <w:rsid w:val="004F2426"/>
    <w:rsid w:val="004F2D15"/>
    <w:rsid w:val="004F3127"/>
    <w:rsid w:val="004F313B"/>
    <w:rsid w:val="004F327C"/>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7BD"/>
    <w:rsid w:val="00501B32"/>
    <w:rsid w:val="00501B3C"/>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17F9D"/>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1D6"/>
    <w:rsid w:val="0052349A"/>
    <w:rsid w:val="005235CB"/>
    <w:rsid w:val="005236AB"/>
    <w:rsid w:val="005237B8"/>
    <w:rsid w:val="005237BA"/>
    <w:rsid w:val="00523843"/>
    <w:rsid w:val="00523A83"/>
    <w:rsid w:val="00523AEC"/>
    <w:rsid w:val="00523D4E"/>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AC"/>
    <w:rsid w:val="00531062"/>
    <w:rsid w:val="00531595"/>
    <w:rsid w:val="00531B26"/>
    <w:rsid w:val="00531F5D"/>
    <w:rsid w:val="0053232E"/>
    <w:rsid w:val="005323F1"/>
    <w:rsid w:val="005328B7"/>
    <w:rsid w:val="00532B79"/>
    <w:rsid w:val="00532BDF"/>
    <w:rsid w:val="00532D8A"/>
    <w:rsid w:val="00533088"/>
    <w:rsid w:val="005332CE"/>
    <w:rsid w:val="00533353"/>
    <w:rsid w:val="005337E4"/>
    <w:rsid w:val="00533922"/>
    <w:rsid w:val="00533E9B"/>
    <w:rsid w:val="00533FA2"/>
    <w:rsid w:val="00533FA7"/>
    <w:rsid w:val="00533FDB"/>
    <w:rsid w:val="005340E4"/>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6DD0"/>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E34"/>
    <w:rsid w:val="00540F30"/>
    <w:rsid w:val="00540F4B"/>
    <w:rsid w:val="0054144C"/>
    <w:rsid w:val="00541B3F"/>
    <w:rsid w:val="00541CB8"/>
    <w:rsid w:val="005427AE"/>
    <w:rsid w:val="005427D7"/>
    <w:rsid w:val="005428BB"/>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11"/>
    <w:rsid w:val="005508DC"/>
    <w:rsid w:val="00550BFF"/>
    <w:rsid w:val="00550CF4"/>
    <w:rsid w:val="00550DB7"/>
    <w:rsid w:val="00550F07"/>
    <w:rsid w:val="00550FC4"/>
    <w:rsid w:val="00551288"/>
    <w:rsid w:val="005513E0"/>
    <w:rsid w:val="005514EE"/>
    <w:rsid w:val="005516B2"/>
    <w:rsid w:val="0055194B"/>
    <w:rsid w:val="00551A60"/>
    <w:rsid w:val="00551B63"/>
    <w:rsid w:val="00551FED"/>
    <w:rsid w:val="005520B4"/>
    <w:rsid w:val="00552C21"/>
    <w:rsid w:val="00552DB9"/>
    <w:rsid w:val="00552E5E"/>
    <w:rsid w:val="00553081"/>
    <w:rsid w:val="005535AA"/>
    <w:rsid w:val="005535C2"/>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224"/>
    <w:rsid w:val="005623E8"/>
    <w:rsid w:val="00562537"/>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BC4"/>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552"/>
    <w:rsid w:val="00573647"/>
    <w:rsid w:val="00573903"/>
    <w:rsid w:val="005739D7"/>
    <w:rsid w:val="00573B1A"/>
    <w:rsid w:val="00573D33"/>
    <w:rsid w:val="00573DC5"/>
    <w:rsid w:val="00574223"/>
    <w:rsid w:val="0057498C"/>
    <w:rsid w:val="00574D66"/>
    <w:rsid w:val="00574E2E"/>
    <w:rsid w:val="00575284"/>
    <w:rsid w:val="00575397"/>
    <w:rsid w:val="0057546D"/>
    <w:rsid w:val="0057554A"/>
    <w:rsid w:val="00575822"/>
    <w:rsid w:val="00575973"/>
    <w:rsid w:val="00575DBA"/>
    <w:rsid w:val="00575E87"/>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48D"/>
    <w:rsid w:val="0058255F"/>
    <w:rsid w:val="00582915"/>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D4"/>
    <w:rsid w:val="00590248"/>
    <w:rsid w:val="005903FA"/>
    <w:rsid w:val="005906DF"/>
    <w:rsid w:val="0059077C"/>
    <w:rsid w:val="00590885"/>
    <w:rsid w:val="00591000"/>
    <w:rsid w:val="0059119C"/>
    <w:rsid w:val="005911E2"/>
    <w:rsid w:val="00591608"/>
    <w:rsid w:val="005916D5"/>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061"/>
    <w:rsid w:val="005961F8"/>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609"/>
    <w:rsid w:val="005A4977"/>
    <w:rsid w:val="005A4A3A"/>
    <w:rsid w:val="005A4ECB"/>
    <w:rsid w:val="005A5135"/>
    <w:rsid w:val="005A54D4"/>
    <w:rsid w:val="005A5968"/>
    <w:rsid w:val="005A5B14"/>
    <w:rsid w:val="005A5B44"/>
    <w:rsid w:val="005A5BDE"/>
    <w:rsid w:val="005A602F"/>
    <w:rsid w:val="005A60E0"/>
    <w:rsid w:val="005A633C"/>
    <w:rsid w:val="005A6889"/>
    <w:rsid w:val="005A6BF6"/>
    <w:rsid w:val="005A6E15"/>
    <w:rsid w:val="005A6E9C"/>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2A0"/>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82"/>
    <w:rsid w:val="005C28BB"/>
    <w:rsid w:val="005C2956"/>
    <w:rsid w:val="005C2DD4"/>
    <w:rsid w:val="005C2E02"/>
    <w:rsid w:val="005C2E7C"/>
    <w:rsid w:val="005C2F04"/>
    <w:rsid w:val="005C3288"/>
    <w:rsid w:val="005C3317"/>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C8E"/>
    <w:rsid w:val="005D73A6"/>
    <w:rsid w:val="005D7574"/>
    <w:rsid w:val="005D77C7"/>
    <w:rsid w:val="005D790D"/>
    <w:rsid w:val="005D7951"/>
    <w:rsid w:val="005E018B"/>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18E"/>
    <w:rsid w:val="005F0231"/>
    <w:rsid w:val="005F02B2"/>
    <w:rsid w:val="005F0691"/>
    <w:rsid w:val="005F09F5"/>
    <w:rsid w:val="005F0A4B"/>
    <w:rsid w:val="005F0A74"/>
    <w:rsid w:val="005F0BF7"/>
    <w:rsid w:val="005F1311"/>
    <w:rsid w:val="005F14F7"/>
    <w:rsid w:val="005F1558"/>
    <w:rsid w:val="005F188D"/>
    <w:rsid w:val="005F1D8D"/>
    <w:rsid w:val="005F2107"/>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D38"/>
    <w:rsid w:val="005F4EA7"/>
    <w:rsid w:val="005F502B"/>
    <w:rsid w:val="005F5040"/>
    <w:rsid w:val="005F51F2"/>
    <w:rsid w:val="005F520D"/>
    <w:rsid w:val="005F5249"/>
    <w:rsid w:val="005F52DD"/>
    <w:rsid w:val="005F54FF"/>
    <w:rsid w:val="005F56AE"/>
    <w:rsid w:val="005F5978"/>
    <w:rsid w:val="005F5CB9"/>
    <w:rsid w:val="005F5E35"/>
    <w:rsid w:val="005F61FC"/>
    <w:rsid w:val="005F6447"/>
    <w:rsid w:val="005F645F"/>
    <w:rsid w:val="005F64CD"/>
    <w:rsid w:val="005F653A"/>
    <w:rsid w:val="005F6615"/>
    <w:rsid w:val="005F68A0"/>
    <w:rsid w:val="005F69B7"/>
    <w:rsid w:val="005F6AC0"/>
    <w:rsid w:val="005F6BFF"/>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1AF8"/>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9D1"/>
    <w:rsid w:val="00606BA1"/>
    <w:rsid w:val="00606C4D"/>
    <w:rsid w:val="00606D98"/>
    <w:rsid w:val="00606FA7"/>
    <w:rsid w:val="0060719F"/>
    <w:rsid w:val="0060722B"/>
    <w:rsid w:val="006076E6"/>
    <w:rsid w:val="00607856"/>
    <w:rsid w:val="006079D1"/>
    <w:rsid w:val="00607B19"/>
    <w:rsid w:val="00607BD8"/>
    <w:rsid w:val="00607C4F"/>
    <w:rsid w:val="00607CC4"/>
    <w:rsid w:val="00607DA0"/>
    <w:rsid w:val="00610168"/>
    <w:rsid w:val="006101F7"/>
    <w:rsid w:val="0061038F"/>
    <w:rsid w:val="00610465"/>
    <w:rsid w:val="00610479"/>
    <w:rsid w:val="00610764"/>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2E7B"/>
    <w:rsid w:val="0061317B"/>
    <w:rsid w:val="006131C5"/>
    <w:rsid w:val="006131EF"/>
    <w:rsid w:val="00613534"/>
    <w:rsid w:val="0061373D"/>
    <w:rsid w:val="0061388C"/>
    <w:rsid w:val="006139BA"/>
    <w:rsid w:val="00613A9B"/>
    <w:rsid w:val="00613B66"/>
    <w:rsid w:val="00613CCA"/>
    <w:rsid w:val="00614424"/>
    <w:rsid w:val="006146E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C86"/>
    <w:rsid w:val="00617EEA"/>
    <w:rsid w:val="006206B5"/>
    <w:rsid w:val="006207FC"/>
    <w:rsid w:val="006208FF"/>
    <w:rsid w:val="00620D96"/>
    <w:rsid w:val="00621183"/>
    <w:rsid w:val="0062127A"/>
    <w:rsid w:val="0062190D"/>
    <w:rsid w:val="006219AD"/>
    <w:rsid w:val="00621B7A"/>
    <w:rsid w:val="00621C4D"/>
    <w:rsid w:val="00621C61"/>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13"/>
    <w:rsid w:val="00630A60"/>
    <w:rsid w:val="00630EB3"/>
    <w:rsid w:val="006312D6"/>
    <w:rsid w:val="00631344"/>
    <w:rsid w:val="0063139E"/>
    <w:rsid w:val="006314DF"/>
    <w:rsid w:val="00631605"/>
    <w:rsid w:val="0063176C"/>
    <w:rsid w:val="00631A71"/>
    <w:rsid w:val="00631DA7"/>
    <w:rsid w:val="00631E62"/>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336"/>
    <w:rsid w:val="00636542"/>
    <w:rsid w:val="006366DB"/>
    <w:rsid w:val="00636717"/>
    <w:rsid w:val="00636C84"/>
    <w:rsid w:val="00636CAE"/>
    <w:rsid w:val="00636DF1"/>
    <w:rsid w:val="00636E73"/>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163"/>
    <w:rsid w:val="00641298"/>
    <w:rsid w:val="0064145C"/>
    <w:rsid w:val="00641721"/>
    <w:rsid w:val="00641F9C"/>
    <w:rsid w:val="0064200B"/>
    <w:rsid w:val="0064202D"/>
    <w:rsid w:val="0064226C"/>
    <w:rsid w:val="0064238B"/>
    <w:rsid w:val="00642605"/>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457"/>
    <w:rsid w:val="00645512"/>
    <w:rsid w:val="006457C8"/>
    <w:rsid w:val="00645D23"/>
    <w:rsid w:val="00645EBF"/>
    <w:rsid w:val="00646231"/>
    <w:rsid w:val="00646235"/>
    <w:rsid w:val="00646259"/>
    <w:rsid w:val="0064625A"/>
    <w:rsid w:val="0064670F"/>
    <w:rsid w:val="006469BA"/>
    <w:rsid w:val="00646E88"/>
    <w:rsid w:val="00646EE8"/>
    <w:rsid w:val="00646F62"/>
    <w:rsid w:val="00646FE0"/>
    <w:rsid w:val="0064706F"/>
    <w:rsid w:val="0064732A"/>
    <w:rsid w:val="006474B3"/>
    <w:rsid w:val="006474F2"/>
    <w:rsid w:val="006475CC"/>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95A"/>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38"/>
    <w:rsid w:val="00660E89"/>
    <w:rsid w:val="00660EFE"/>
    <w:rsid w:val="006619C8"/>
    <w:rsid w:val="00661BC4"/>
    <w:rsid w:val="00661DD0"/>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103"/>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7C2"/>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8DE"/>
    <w:rsid w:val="00676904"/>
    <w:rsid w:val="0067695B"/>
    <w:rsid w:val="00677523"/>
    <w:rsid w:val="00677604"/>
    <w:rsid w:val="00677861"/>
    <w:rsid w:val="0067798F"/>
    <w:rsid w:val="00677AD6"/>
    <w:rsid w:val="006800E7"/>
    <w:rsid w:val="00680197"/>
    <w:rsid w:val="006804C4"/>
    <w:rsid w:val="00680500"/>
    <w:rsid w:val="006806CA"/>
    <w:rsid w:val="00680D30"/>
    <w:rsid w:val="00680ED3"/>
    <w:rsid w:val="00680F0D"/>
    <w:rsid w:val="00680F69"/>
    <w:rsid w:val="00681293"/>
    <w:rsid w:val="006816AC"/>
    <w:rsid w:val="00681933"/>
    <w:rsid w:val="0068194A"/>
    <w:rsid w:val="00681A7A"/>
    <w:rsid w:val="00681C42"/>
    <w:rsid w:val="00681D47"/>
    <w:rsid w:val="00681EF1"/>
    <w:rsid w:val="006825F9"/>
    <w:rsid w:val="00682847"/>
    <w:rsid w:val="006829C2"/>
    <w:rsid w:val="00682A2B"/>
    <w:rsid w:val="00682ECE"/>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864"/>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B47"/>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B63"/>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88F"/>
    <w:rsid w:val="006A7DBE"/>
    <w:rsid w:val="006A7F52"/>
    <w:rsid w:val="006A7FF0"/>
    <w:rsid w:val="006B0129"/>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1BB"/>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1F89"/>
    <w:rsid w:val="006C1FFF"/>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B7"/>
    <w:rsid w:val="006C61F8"/>
    <w:rsid w:val="006C64D5"/>
    <w:rsid w:val="006C67DA"/>
    <w:rsid w:val="006C6D0C"/>
    <w:rsid w:val="006C6E6D"/>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51"/>
    <w:rsid w:val="006E06B3"/>
    <w:rsid w:val="006E09ED"/>
    <w:rsid w:val="006E0BB8"/>
    <w:rsid w:val="006E0D37"/>
    <w:rsid w:val="006E0FB9"/>
    <w:rsid w:val="006E1324"/>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3C2"/>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2F8C"/>
    <w:rsid w:val="006F344B"/>
    <w:rsid w:val="006F357D"/>
    <w:rsid w:val="006F3664"/>
    <w:rsid w:val="006F40BA"/>
    <w:rsid w:val="006F42AE"/>
    <w:rsid w:val="006F4507"/>
    <w:rsid w:val="006F502E"/>
    <w:rsid w:val="006F5608"/>
    <w:rsid w:val="006F560B"/>
    <w:rsid w:val="006F604B"/>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6F7F53"/>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29"/>
    <w:rsid w:val="00706B40"/>
    <w:rsid w:val="00706C5A"/>
    <w:rsid w:val="00706C63"/>
    <w:rsid w:val="00706FC4"/>
    <w:rsid w:val="007073B1"/>
    <w:rsid w:val="0070768C"/>
    <w:rsid w:val="007076E6"/>
    <w:rsid w:val="00707BC0"/>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4D4E"/>
    <w:rsid w:val="007150B0"/>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E0"/>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EF0"/>
    <w:rsid w:val="00723F44"/>
    <w:rsid w:val="00724316"/>
    <w:rsid w:val="007249C7"/>
    <w:rsid w:val="00724CC7"/>
    <w:rsid w:val="00724DE0"/>
    <w:rsid w:val="00724F53"/>
    <w:rsid w:val="007250E5"/>
    <w:rsid w:val="00725157"/>
    <w:rsid w:val="00725267"/>
    <w:rsid w:val="007254F6"/>
    <w:rsid w:val="00725838"/>
    <w:rsid w:val="00725D0B"/>
    <w:rsid w:val="00725E6B"/>
    <w:rsid w:val="007262BD"/>
    <w:rsid w:val="00726333"/>
    <w:rsid w:val="00726414"/>
    <w:rsid w:val="007265FA"/>
    <w:rsid w:val="00726997"/>
    <w:rsid w:val="00726A2C"/>
    <w:rsid w:val="00726F50"/>
    <w:rsid w:val="00726FA4"/>
    <w:rsid w:val="007276BE"/>
    <w:rsid w:val="00727856"/>
    <w:rsid w:val="00727AD4"/>
    <w:rsid w:val="00727BD2"/>
    <w:rsid w:val="00727F76"/>
    <w:rsid w:val="00730269"/>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C7"/>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97"/>
    <w:rsid w:val="007465F4"/>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D8F"/>
    <w:rsid w:val="00752E3A"/>
    <w:rsid w:val="00752E8D"/>
    <w:rsid w:val="00752E92"/>
    <w:rsid w:val="00752EC6"/>
    <w:rsid w:val="00752FB3"/>
    <w:rsid w:val="00752FD3"/>
    <w:rsid w:val="007532EE"/>
    <w:rsid w:val="007536E9"/>
    <w:rsid w:val="0075393B"/>
    <w:rsid w:val="00753A31"/>
    <w:rsid w:val="00754589"/>
    <w:rsid w:val="0075483D"/>
    <w:rsid w:val="00754F4E"/>
    <w:rsid w:val="00754F9F"/>
    <w:rsid w:val="00755089"/>
    <w:rsid w:val="00755223"/>
    <w:rsid w:val="00755262"/>
    <w:rsid w:val="00755366"/>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3F"/>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A6D"/>
    <w:rsid w:val="00766F38"/>
    <w:rsid w:val="00767400"/>
    <w:rsid w:val="007675D8"/>
    <w:rsid w:val="0076768E"/>
    <w:rsid w:val="007676E5"/>
    <w:rsid w:val="00767700"/>
    <w:rsid w:val="0076771A"/>
    <w:rsid w:val="00767D35"/>
    <w:rsid w:val="00767D4F"/>
    <w:rsid w:val="00767E15"/>
    <w:rsid w:val="00767FD9"/>
    <w:rsid w:val="007700F8"/>
    <w:rsid w:val="007703E0"/>
    <w:rsid w:val="00770553"/>
    <w:rsid w:val="00770D59"/>
    <w:rsid w:val="00770D71"/>
    <w:rsid w:val="007713FB"/>
    <w:rsid w:val="00771693"/>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3C8"/>
    <w:rsid w:val="00775874"/>
    <w:rsid w:val="00775886"/>
    <w:rsid w:val="00775934"/>
    <w:rsid w:val="00775974"/>
    <w:rsid w:val="00775CBC"/>
    <w:rsid w:val="00775F0A"/>
    <w:rsid w:val="00776165"/>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513"/>
    <w:rsid w:val="0078476D"/>
    <w:rsid w:val="007847CD"/>
    <w:rsid w:val="00784840"/>
    <w:rsid w:val="00784C02"/>
    <w:rsid w:val="00784C1B"/>
    <w:rsid w:val="00784D76"/>
    <w:rsid w:val="00784E22"/>
    <w:rsid w:val="00784FC2"/>
    <w:rsid w:val="007852E8"/>
    <w:rsid w:val="00785562"/>
    <w:rsid w:val="00785A27"/>
    <w:rsid w:val="00785F6D"/>
    <w:rsid w:val="0078660B"/>
    <w:rsid w:val="00786A73"/>
    <w:rsid w:val="00786ACC"/>
    <w:rsid w:val="00786B12"/>
    <w:rsid w:val="00786CE9"/>
    <w:rsid w:val="00786D0E"/>
    <w:rsid w:val="00786D77"/>
    <w:rsid w:val="00787634"/>
    <w:rsid w:val="0078771B"/>
    <w:rsid w:val="00787778"/>
    <w:rsid w:val="0078784E"/>
    <w:rsid w:val="00787999"/>
    <w:rsid w:val="00787FCB"/>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2FC"/>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2EF"/>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B94"/>
    <w:rsid w:val="007A6ED6"/>
    <w:rsid w:val="007A71D7"/>
    <w:rsid w:val="007A7356"/>
    <w:rsid w:val="007A7600"/>
    <w:rsid w:val="007A7960"/>
    <w:rsid w:val="007B0002"/>
    <w:rsid w:val="007B017D"/>
    <w:rsid w:val="007B01AF"/>
    <w:rsid w:val="007B05C1"/>
    <w:rsid w:val="007B075C"/>
    <w:rsid w:val="007B083D"/>
    <w:rsid w:val="007B09B4"/>
    <w:rsid w:val="007B09D1"/>
    <w:rsid w:val="007B1265"/>
    <w:rsid w:val="007B14A0"/>
    <w:rsid w:val="007B1A21"/>
    <w:rsid w:val="007B1ACD"/>
    <w:rsid w:val="007B21B1"/>
    <w:rsid w:val="007B234D"/>
    <w:rsid w:val="007B2840"/>
    <w:rsid w:val="007B28B4"/>
    <w:rsid w:val="007B2E6D"/>
    <w:rsid w:val="007B2E7A"/>
    <w:rsid w:val="007B2FDF"/>
    <w:rsid w:val="007B30EA"/>
    <w:rsid w:val="007B33D2"/>
    <w:rsid w:val="007B354B"/>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BCD"/>
    <w:rsid w:val="007B6C4C"/>
    <w:rsid w:val="007B6F26"/>
    <w:rsid w:val="007B7279"/>
    <w:rsid w:val="007B7837"/>
    <w:rsid w:val="007B7A69"/>
    <w:rsid w:val="007B7DF3"/>
    <w:rsid w:val="007B7E46"/>
    <w:rsid w:val="007B7ED7"/>
    <w:rsid w:val="007B7F1B"/>
    <w:rsid w:val="007C051B"/>
    <w:rsid w:val="007C056D"/>
    <w:rsid w:val="007C05EB"/>
    <w:rsid w:val="007C0A22"/>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72"/>
    <w:rsid w:val="007C4201"/>
    <w:rsid w:val="007C463C"/>
    <w:rsid w:val="007C46BA"/>
    <w:rsid w:val="007C4ABD"/>
    <w:rsid w:val="007C4B44"/>
    <w:rsid w:val="007C5273"/>
    <w:rsid w:val="007C5886"/>
    <w:rsid w:val="007C59EB"/>
    <w:rsid w:val="007C5A14"/>
    <w:rsid w:val="007C5C83"/>
    <w:rsid w:val="007C5D8A"/>
    <w:rsid w:val="007C6321"/>
    <w:rsid w:val="007C64EA"/>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45"/>
    <w:rsid w:val="007D1995"/>
    <w:rsid w:val="007D1A42"/>
    <w:rsid w:val="007D1A5A"/>
    <w:rsid w:val="007D1AFC"/>
    <w:rsid w:val="007D1DE9"/>
    <w:rsid w:val="007D221D"/>
    <w:rsid w:val="007D269C"/>
    <w:rsid w:val="007D26D0"/>
    <w:rsid w:val="007D2B58"/>
    <w:rsid w:val="007D2B94"/>
    <w:rsid w:val="007D2CAF"/>
    <w:rsid w:val="007D31A0"/>
    <w:rsid w:val="007D34B9"/>
    <w:rsid w:val="007D35B2"/>
    <w:rsid w:val="007D38E8"/>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7E3"/>
    <w:rsid w:val="007F190C"/>
    <w:rsid w:val="007F19AA"/>
    <w:rsid w:val="007F2272"/>
    <w:rsid w:val="007F2306"/>
    <w:rsid w:val="007F26DB"/>
    <w:rsid w:val="007F2BFA"/>
    <w:rsid w:val="007F2C18"/>
    <w:rsid w:val="007F2DF4"/>
    <w:rsid w:val="007F2F43"/>
    <w:rsid w:val="007F2F4D"/>
    <w:rsid w:val="007F37AD"/>
    <w:rsid w:val="007F38D3"/>
    <w:rsid w:val="007F3C73"/>
    <w:rsid w:val="007F3E5D"/>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758"/>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30A"/>
    <w:rsid w:val="00812AF2"/>
    <w:rsid w:val="00812CDD"/>
    <w:rsid w:val="00812D5C"/>
    <w:rsid w:val="00812E06"/>
    <w:rsid w:val="00813274"/>
    <w:rsid w:val="00813288"/>
    <w:rsid w:val="00813315"/>
    <w:rsid w:val="008133B2"/>
    <w:rsid w:val="008134F2"/>
    <w:rsid w:val="008136B2"/>
    <w:rsid w:val="00813804"/>
    <w:rsid w:val="00813855"/>
    <w:rsid w:val="00813888"/>
    <w:rsid w:val="00813B5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F05"/>
    <w:rsid w:val="00817166"/>
    <w:rsid w:val="008173A5"/>
    <w:rsid w:val="00817469"/>
    <w:rsid w:val="008174E0"/>
    <w:rsid w:val="008177C2"/>
    <w:rsid w:val="00817A33"/>
    <w:rsid w:val="00817C17"/>
    <w:rsid w:val="008200F6"/>
    <w:rsid w:val="0082043D"/>
    <w:rsid w:val="008204D5"/>
    <w:rsid w:val="008206A5"/>
    <w:rsid w:val="008208ED"/>
    <w:rsid w:val="008208F4"/>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9A"/>
    <w:rsid w:val="008242B4"/>
    <w:rsid w:val="008245F9"/>
    <w:rsid w:val="00824671"/>
    <w:rsid w:val="008246B9"/>
    <w:rsid w:val="00824A4A"/>
    <w:rsid w:val="00824AF1"/>
    <w:rsid w:val="00824BE7"/>
    <w:rsid w:val="00824D37"/>
    <w:rsid w:val="00824D4D"/>
    <w:rsid w:val="00824E2F"/>
    <w:rsid w:val="00824E46"/>
    <w:rsid w:val="00824E90"/>
    <w:rsid w:val="00825189"/>
    <w:rsid w:val="0082519E"/>
    <w:rsid w:val="008252D3"/>
    <w:rsid w:val="00825335"/>
    <w:rsid w:val="008253A1"/>
    <w:rsid w:val="008255D5"/>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74"/>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974"/>
    <w:rsid w:val="00832DA5"/>
    <w:rsid w:val="008331E9"/>
    <w:rsid w:val="008332FE"/>
    <w:rsid w:val="0083341C"/>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BE"/>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AA2"/>
    <w:rsid w:val="00841BFE"/>
    <w:rsid w:val="00841C7E"/>
    <w:rsid w:val="00841F59"/>
    <w:rsid w:val="00841F66"/>
    <w:rsid w:val="00842175"/>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08"/>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AB5"/>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948"/>
    <w:rsid w:val="00854AC2"/>
    <w:rsid w:val="00854BC0"/>
    <w:rsid w:val="00854C05"/>
    <w:rsid w:val="008558EF"/>
    <w:rsid w:val="008559A4"/>
    <w:rsid w:val="008559FD"/>
    <w:rsid w:val="00855A3E"/>
    <w:rsid w:val="00855C66"/>
    <w:rsid w:val="00855D46"/>
    <w:rsid w:val="008560CE"/>
    <w:rsid w:val="008561F9"/>
    <w:rsid w:val="00856992"/>
    <w:rsid w:val="00856A09"/>
    <w:rsid w:val="00856AA3"/>
    <w:rsid w:val="008577F2"/>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C2A"/>
    <w:rsid w:val="00881FA5"/>
    <w:rsid w:val="008821CA"/>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E8"/>
    <w:rsid w:val="00884EF2"/>
    <w:rsid w:val="008852AB"/>
    <w:rsid w:val="0088545A"/>
    <w:rsid w:val="00885671"/>
    <w:rsid w:val="00885750"/>
    <w:rsid w:val="00885D54"/>
    <w:rsid w:val="00885E17"/>
    <w:rsid w:val="008863A6"/>
    <w:rsid w:val="008865E3"/>
    <w:rsid w:val="008865F9"/>
    <w:rsid w:val="008866E0"/>
    <w:rsid w:val="008869F7"/>
    <w:rsid w:val="00886F5E"/>
    <w:rsid w:val="008872C2"/>
    <w:rsid w:val="008872C6"/>
    <w:rsid w:val="00887CAB"/>
    <w:rsid w:val="0089021A"/>
    <w:rsid w:val="008902C1"/>
    <w:rsid w:val="00890481"/>
    <w:rsid w:val="00890B56"/>
    <w:rsid w:val="00890BC3"/>
    <w:rsid w:val="00890ED1"/>
    <w:rsid w:val="00891182"/>
    <w:rsid w:val="008911CD"/>
    <w:rsid w:val="00891206"/>
    <w:rsid w:val="0089174D"/>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6FA4"/>
    <w:rsid w:val="00897A0E"/>
    <w:rsid w:val="00897ED1"/>
    <w:rsid w:val="00897F20"/>
    <w:rsid w:val="008A0453"/>
    <w:rsid w:val="008A061D"/>
    <w:rsid w:val="008A07CE"/>
    <w:rsid w:val="008A07F0"/>
    <w:rsid w:val="008A0AEF"/>
    <w:rsid w:val="008A0C6F"/>
    <w:rsid w:val="008A0CD8"/>
    <w:rsid w:val="008A1392"/>
    <w:rsid w:val="008A1609"/>
    <w:rsid w:val="008A18B1"/>
    <w:rsid w:val="008A1BAA"/>
    <w:rsid w:val="008A1BC1"/>
    <w:rsid w:val="008A1E72"/>
    <w:rsid w:val="008A2413"/>
    <w:rsid w:val="008A25A6"/>
    <w:rsid w:val="008A2904"/>
    <w:rsid w:val="008A291F"/>
    <w:rsid w:val="008A2DFE"/>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0F29"/>
    <w:rsid w:val="008B1089"/>
    <w:rsid w:val="008B1146"/>
    <w:rsid w:val="008B114F"/>
    <w:rsid w:val="008B1150"/>
    <w:rsid w:val="008B1161"/>
    <w:rsid w:val="008B1293"/>
    <w:rsid w:val="008B13DE"/>
    <w:rsid w:val="008B13E7"/>
    <w:rsid w:val="008B1813"/>
    <w:rsid w:val="008B1870"/>
    <w:rsid w:val="008B21B6"/>
    <w:rsid w:val="008B2236"/>
    <w:rsid w:val="008B226B"/>
    <w:rsid w:val="008B22DB"/>
    <w:rsid w:val="008B297A"/>
    <w:rsid w:val="008B2FAB"/>
    <w:rsid w:val="008B31D5"/>
    <w:rsid w:val="008B3498"/>
    <w:rsid w:val="008B3682"/>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678"/>
    <w:rsid w:val="008B76CC"/>
    <w:rsid w:val="008B76EE"/>
    <w:rsid w:val="008B7721"/>
    <w:rsid w:val="008B77E9"/>
    <w:rsid w:val="008B781A"/>
    <w:rsid w:val="008B7CB2"/>
    <w:rsid w:val="008C0597"/>
    <w:rsid w:val="008C081E"/>
    <w:rsid w:val="008C0BCD"/>
    <w:rsid w:val="008C0E6B"/>
    <w:rsid w:val="008C0E7D"/>
    <w:rsid w:val="008C1B54"/>
    <w:rsid w:val="008C23C8"/>
    <w:rsid w:val="008C23C9"/>
    <w:rsid w:val="008C24CB"/>
    <w:rsid w:val="008C2B39"/>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19C"/>
    <w:rsid w:val="008D052F"/>
    <w:rsid w:val="008D06AC"/>
    <w:rsid w:val="008D06CF"/>
    <w:rsid w:val="008D0782"/>
    <w:rsid w:val="008D0833"/>
    <w:rsid w:val="008D088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3EB"/>
    <w:rsid w:val="008D394B"/>
    <w:rsid w:val="008D3AC8"/>
    <w:rsid w:val="008D4528"/>
    <w:rsid w:val="008D48E9"/>
    <w:rsid w:val="008D4E81"/>
    <w:rsid w:val="008D4F44"/>
    <w:rsid w:val="008D5053"/>
    <w:rsid w:val="008D51EC"/>
    <w:rsid w:val="008D5326"/>
    <w:rsid w:val="008D53DC"/>
    <w:rsid w:val="008D5517"/>
    <w:rsid w:val="008D5530"/>
    <w:rsid w:val="008D582A"/>
    <w:rsid w:val="008D5960"/>
    <w:rsid w:val="008D5A82"/>
    <w:rsid w:val="008D5C2B"/>
    <w:rsid w:val="008D5D9D"/>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677"/>
    <w:rsid w:val="008E7B49"/>
    <w:rsid w:val="008E7B51"/>
    <w:rsid w:val="008E7CC6"/>
    <w:rsid w:val="008F0202"/>
    <w:rsid w:val="008F03B6"/>
    <w:rsid w:val="008F054C"/>
    <w:rsid w:val="008F0CE6"/>
    <w:rsid w:val="008F0D78"/>
    <w:rsid w:val="008F0FAA"/>
    <w:rsid w:val="008F122E"/>
    <w:rsid w:val="008F1286"/>
    <w:rsid w:val="008F1311"/>
    <w:rsid w:val="008F13F5"/>
    <w:rsid w:val="008F1584"/>
    <w:rsid w:val="008F1635"/>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42"/>
    <w:rsid w:val="008F3484"/>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5B7"/>
    <w:rsid w:val="0090280E"/>
    <w:rsid w:val="0090287A"/>
    <w:rsid w:val="00902E36"/>
    <w:rsid w:val="00902E73"/>
    <w:rsid w:val="00902FFC"/>
    <w:rsid w:val="009030C4"/>
    <w:rsid w:val="00903532"/>
    <w:rsid w:val="00903906"/>
    <w:rsid w:val="00903914"/>
    <w:rsid w:val="00903B72"/>
    <w:rsid w:val="00903BF8"/>
    <w:rsid w:val="00903E90"/>
    <w:rsid w:val="009040B5"/>
    <w:rsid w:val="009046B5"/>
    <w:rsid w:val="00905201"/>
    <w:rsid w:val="00905396"/>
    <w:rsid w:val="009054A3"/>
    <w:rsid w:val="00905775"/>
    <w:rsid w:val="00905939"/>
    <w:rsid w:val="0090594B"/>
    <w:rsid w:val="009059C1"/>
    <w:rsid w:val="00905A22"/>
    <w:rsid w:val="00905DB4"/>
    <w:rsid w:val="00906310"/>
    <w:rsid w:val="009064A7"/>
    <w:rsid w:val="009065DB"/>
    <w:rsid w:val="00906817"/>
    <w:rsid w:val="009069DA"/>
    <w:rsid w:val="00906C6F"/>
    <w:rsid w:val="009070A1"/>
    <w:rsid w:val="00907123"/>
    <w:rsid w:val="00907197"/>
    <w:rsid w:val="009073ED"/>
    <w:rsid w:val="00907604"/>
    <w:rsid w:val="00907A3F"/>
    <w:rsid w:val="00907AC2"/>
    <w:rsid w:val="00907B27"/>
    <w:rsid w:val="00907BBE"/>
    <w:rsid w:val="00907E9A"/>
    <w:rsid w:val="00910214"/>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D44"/>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1CC0"/>
    <w:rsid w:val="00922481"/>
    <w:rsid w:val="0092262B"/>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1EF"/>
    <w:rsid w:val="009305F1"/>
    <w:rsid w:val="0093065A"/>
    <w:rsid w:val="00930D85"/>
    <w:rsid w:val="00930F3E"/>
    <w:rsid w:val="00931144"/>
    <w:rsid w:val="009312FC"/>
    <w:rsid w:val="009315BA"/>
    <w:rsid w:val="0093175F"/>
    <w:rsid w:val="00931AB8"/>
    <w:rsid w:val="00931BC2"/>
    <w:rsid w:val="00931C54"/>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DC4"/>
    <w:rsid w:val="00935F85"/>
    <w:rsid w:val="00936658"/>
    <w:rsid w:val="00936CCE"/>
    <w:rsid w:val="00936CF4"/>
    <w:rsid w:val="00936E80"/>
    <w:rsid w:val="009370A1"/>
    <w:rsid w:val="00937175"/>
    <w:rsid w:val="00937760"/>
    <w:rsid w:val="009377E4"/>
    <w:rsid w:val="0093792C"/>
    <w:rsid w:val="00937BB5"/>
    <w:rsid w:val="0094008E"/>
    <w:rsid w:val="00940266"/>
    <w:rsid w:val="00940537"/>
    <w:rsid w:val="009406DE"/>
    <w:rsid w:val="009407CC"/>
    <w:rsid w:val="00940CDC"/>
    <w:rsid w:val="00940EBC"/>
    <w:rsid w:val="00940F49"/>
    <w:rsid w:val="0094112C"/>
    <w:rsid w:val="009412BE"/>
    <w:rsid w:val="009413F8"/>
    <w:rsid w:val="00941920"/>
    <w:rsid w:val="009419A6"/>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0B1"/>
    <w:rsid w:val="00950292"/>
    <w:rsid w:val="0095032F"/>
    <w:rsid w:val="00950499"/>
    <w:rsid w:val="0095069E"/>
    <w:rsid w:val="00950724"/>
    <w:rsid w:val="00950937"/>
    <w:rsid w:val="00950AD0"/>
    <w:rsid w:val="00950AEF"/>
    <w:rsid w:val="009510C4"/>
    <w:rsid w:val="0095114E"/>
    <w:rsid w:val="0095147A"/>
    <w:rsid w:val="009516C4"/>
    <w:rsid w:val="0095184D"/>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004"/>
    <w:rsid w:val="009541AC"/>
    <w:rsid w:val="00954263"/>
    <w:rsid w:val="00954286"/>
    <w:rsid w:val="009542A8"/>
    <w:rsid w:val="00954501"/>
    <w:rsid w:val="00954892"/>
    <w:rsid w:val="009549F9"/>
    <w:rsid w:val="00954ADB"/>
    <w:rsid w:val="00954BF0"/>
    <w:rsid w:val="00954EA7"/>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D7"/>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929"/>
    <w:rsid w:val="00962A49"/>
    <w:rsid w:val="00962AF0"/>
    <w:rsid w:val="00962CC0"/>
    <w:rsid w:val="00962DA1"/>
    <w:rsid w:val="00962F80"/>
    <w:rsid w:val="00963025"/>
    <w:rsid w:val="00963187"/>
    <w:rsid w:val="009635A6"/>
    <w:rsid w:val="00963885"/>
    <w:rsid w:val="009638D4"/>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39A"/>
    <w:rsid w:val="00974552"/>
    <w:rsid w:val="009745C3"/>
    <w:rsid w:val="009745F4"/>
    <w:rsid w:val="00974688"/>
    <w:rsid w:val="00974B6E"/>
    <w:rsid w:val="00974CD8"/>
    <w:rsid w:val="00974E5C"/>
    <w:rsid w:val="00975097"/>
    <w:rsid w:val="0097519A"/>
    <w:rsid w:val="009753D0"/>
    <w:rsid w:val="00975444"/>
    <w:rsid w:val="00975594"/>
    <w:rsid w:val="0097578E"/>
    <w:rsid w:val="00975807"/>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DC3"/>
    <w:rsid w:val="0098408A"/>
    <w:rsid w:val="00984240"/>
    <w:rsid w:val="00984369"/>
    <w:rsid w:val="0098449E"/>
    <w:rsid w:val="0098464F"/>
    <w:rsid w:val="0098480B"/>
    <w:rsid w:val="00984B0F"/>
    <w:rsid w:val="00984CB0"/>
    <w:rsid w:val="00985149"/>
    <w:rsid w:val="00985488"/>
    <w:rsid w:val="009854FA"/>
    <w:rsid w:val="00985990"/>
    <w:rsid w:val="00985C21"/>
    <w:rsid w:val="00985C48"/>
    <w:rsid w:val="00985E24"/>
    <w:rsid w:val="0098673A"/>
    <w:rsid w:val="00986DA8"/>
    <w:rsid w:val="00986E12"/>
    <w:rsid w:val="00987167"/>
    <w:rsid w:val="009875AA"/>
    <w:rsid w:val="009877AD"/>
    <w:rsid w:val="009877BF"/>
    <w:rsid w:val="00987D62"/>
    <w:rsid w:val="00990461"/>
    <w:rsid w:val="00990698"/>
    <w:rsid w:val="00990790"/>
    <w:rsid w:val="0099095D"/>
    <w:rsid w:val="00990A5D"/>
    <w:rsid w:val="00990BE4"/>
    <w:rsid w:val="00990C54"/>
    <w:rsid w:val="0099135D"/>
    <w:rsid w:val="0099168F"/>
    <w:rsid w:val="009918EC"/>
    <w:rsid w:val="00991A5A"/>
    <w:rsid w:val="00991D3C"/>
    <w:rsid w:val="00991D93"/>
    <w:rsid w:val="0099234E"/>
    <w:rsid w:val="00992394"/>
    <w:rsid w:val="0099264F"/>
    <w:rsid w:val="00992ACB"/>
    <w:rsid w:val="00992B2B"/>
    <w:rsid w:val="00992B68"/>
    <w:rsid w:val="00992D80"/>
    <w:rsid w:val="00993183"/>
    <w:rsid w:val="009932C9"/>
    <w:rsid w:val="00993329"/>
    <w:rsid w:val="0099366C"/>
    <w:rsid w:val="00993997"/>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208"/>
    <w:rsid w:val="009A133C"/>
    <w:rsid w:val="009A15CF"/>
    <w:rsid w:val="009A174C"/>
    <w:rsid w:val="009A1896"/>
    <w:rsid w:val="009A1AAA"/>
    <w:rsid w:val="009A1CB7"/>
    <w:rsid w:val="009A1F37"/>
    <w:rsid w:val="009A2048"/>
    <w:rsid w:val="009A207E"/>
    <w:rsid w:val="009A2518"/>
    <w:rsid w:val="009A26C8"/>
    <w:rsid w:val="009A26FF"/>
    <w:rsid w:val="009A27AE"/>
    <w:rsid w:val="009A2BEA"/>
    <w:rsid w:val="009A2C73"/>
    <w:rsid w:val="009A2D9C"/>
    <w:rsid w:val="009A2EA3"/>
    <w:rsid w:val="009A302F"/>
    <w:rsid w:val="009A3191"/>
    <w:rsid w:val="009A3367"/>
    <w:rsid w:val="009A39B2"/>
    <w:rsid w:val="009A3DA0"/>
    <w:rsid w:val="009A402B"/>
    <w:rsid w:val="009A41F0"/>
    <w:rsid w:val="009A4321"/>
    <w:rsid w:val="009A46B9"/>
    <w:rsid w:val="009A4744"/>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A2D"/>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7DD"/>
    <w:rsid w:val="009B296B"/>
    <w:rsid w:val="009B2B38"/>
    <w:rsid w:val="009B33C7"/>
    <w:rsid w:val="009B3615"/>
    <w:rsid w:val="009B3B3A"/>
    <w:rsid w:val="009B4268"/>
    <w:rsid w:val="009B433D"/>
    <w:rsid w:val="009B46AF"/>
    <w:rsid w:val="009B4797"/>
    <w:rsid w:val="009B47BE"/>
    <w:rsid w:val="009B4914"/>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C56"/>
    <w:rsid w:val="009C2E33"/>
    <w:rsid w:val="009C2F12"/>
    <w:rsid w:val="009C3222"/>
    <w:rsid w:val="009C33D9"/>
    <w:rsid w:val="009C34D0"/>
    <w:rsid w:val="009C3526"/>
    <w:rsid w:val="009C3623"/>
    <w:rsid w:val="009C3A20"/>
    <w:rsid w:val="009C3CD6"/>
    <w:rsid w:val="009C3E2F"/>
    <w:rsid w:val="009C3E87"/>
    <w:rsid w:val="009C40AA"/>
    <w:rsid w:val="009C40EF"/>
    <w:rsid w:val="009C4496"/>
    <w:rsid w:val="009C46AC"/>
    <w:rsid w:val="009C4B49"/>
    <w:rsid w:val="009C4BBB"/>
    <w:rsid w:val="009C4C6C"/>
    <w:rsid w:val="009C5039"/>
    <w:rsid w:val="009C5067"/>
    <w:rsid w:val="009C50A7"/>
    <w:rsid w:val="009C520E"/>
    <w:rsid w:val="009C55B8"/>
    <w:rsid w:val="009C5634"/>
    <w:rsid w:val="009C565D"/>
    <w:rsid w:val="009C56E0"/>
    <w:rsid w:val="009C57B3"/>
    <w:rsid w:val="009C5864"/>
    <w:rsid w:val="009C5CDA"/>
    <w:rsid w:val="009C5D3E"/>
    <w:rsid w:val="009C5D7A"/>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E0B"/>
    <w:rsid w:val="009D1F0C"/>
    <w:rsid w:val="009D1F29"/>
    <w:rsid w:val="009D203F"/>
    <w:rsid w:val="009D268F"/>
    <w:rsid w:val="009D2740"/>
    <w:rsid w:val="009D281A"/>
    <w:rsid w:val="009D2B9C"/>
    <w:rsid w:val="009D2BD0"/>
    <w:rsid w:val="009D2DE3"/>
    <w:rsid w:val="009D38C0"/>
    <w:rsid w:val="009D3A3D"/>
    <w:rsid w:val="009D3B39"/>
    <w:rsid w:val="009D3C12"/>
    <w:rsid w:val="009D3D89"/>
    <w:rsid w:val="009D4016"/>
    <w:rsid w:val="009D4291"/>
    <w:rsid w:val="009D4778"/>
    <w:rsid w:val="009D4B17"/>
    <w:rsid w:val="009D51AA"/>
    <w:rsid w:val="009D5417"/>
    <w:rsid w:val="009D569C"/>
    <w:rsid w:val="009D579A"/>
    <w:rsid w:val="009D58F8"/>
    <w:rsid w:val="009D5941"/>
    <w:rsid w:val="009D5C71"/>
    <w:rsid w:val="009D5E2A"/>
    <w:rsid w:val="009D5FCF"/>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4E"/>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CF8"/>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6C"/>
    <w:rsid w:val="00A00221"/>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A77"/>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C5"/>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21C"/>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5DDB"/>
    <w:rsid w:val="00A2642F"/>
    <w:rsid w:val="00A2663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59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92E"/>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07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3F8"/>
    <w:rsid w:val="00A534E0"/>
    <w:rsid w:val="00A535C9"/>
    <w:rsid w:val="00A53715"/>
    <w:rsid w:val="00A53735"/>
    <w:rsid w:val="00A5387E"/>
    <w:rsid w:val="00A53898"/>
    <w:rsid w:val="00A53936"/>
    <w:rsid w:val="00A53971"/>
    <w:rsid w:val="00A539D3"/>
    <w:rsid w:val="00A53B3D"/>
    <w:rsid w:val="00A53D4B"/>
    <w:rsid w:val="00A53DA8"/>
    <w:rsid w:val="00A54007"/>
    <w:rsid w:val="00A54099"/>
    <w:rsid w:val="00A54184"/>
    <w:rsid w:val="00A5418D"/>
    <w:rsid w:val="00A54194"/>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72"/>
    <w:rsid w:val="00A60BFE"/>
    <w:rsid w:val="00A60DF7"/>
    <w:rsid w:val="00A60EEA"/>
    <w:rsid w:val="00A612B7"/>
    <w:rsid w:val="00A614A6"/>
    <w:rsid w:val="00A6197B"/>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55"/>
    <w:rsid w:val="00A6659E"/>
    <w:rsid w:val="00A665CD"/>
    <w:rsid w:val="00A66681"/>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0CBF"/>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013"/>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299"/>
    <w:rsid w:val="00A8236D"/>
    <w:rsid w:val="00A823E1"/>
    <w:rsid w:val="00A82770"/>
    <w:rsid w:val="00A82D76"/>
    <w:rsid w:val="00A82E0C"/>
    <w:rsid w:val="00A831ED"/>
    <w:rsid w:val="00A83369"/>
    <w:rsid w:val="00A83525"/>
    <w:rsid w:val="00A8362C"/>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3619"/>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21"/>
    <w:rsid w:val="00A973E2"/>
    <w:rsid w:val="00A976F1"/>
    <w:rsid w:val="00A9775F"/>
    <w:rsid w:val="00A97A08"/>
    <w:rsid w:val="00A97CE6"/>
    <w:rsid w:val="00AA018E"/>
    <w:rsid w:val="00AA02CB"/>
    <w:rsid w:val="00AA05DF"/>
    <w:rsid w:val="00AA0AC1"/>
    <w:rsid w:val="00AA0B79"/>
    <w:rsid w:val="00AA0FDB"/>
    <w:rsid w:val="00AA1092"/>
    <w:rsid w:val="00AA13DA"/>
    <w:rsid w:val="00AA1532"/>
    <w:rsid w:val="00AA181B"/>
    <w:rsid w:val="00AA1907"/>
    <w:rsid w:val="00AA1B55"/>
    <w:rsid w:val="00AA2221"/>
    <w:rsid w:val="00AA2801"/>
    <w:rsid w:val="00AA284F"/>
    <w:rsid w:val="00AA29BD"/>
    <w:rsid w:val="00AA2BDF"/>
    <w:rsid w:val="00AA2BE2"/>
    <w:rsid w:val="00AA3671"/>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314"/>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C5E"/>
    <w:rsid w:val="00AA7D2E"/>
    <w:rsid w:val="00AB00DE"/>
    <w:rsid w:val="00AB01F2"/>
    <w:rsid w:val="00AB0274"/>
    <w:rsid w:val="00AB036B"/>
    <w:rsid w:val="00AB039D"/>
    <w:rsid w:val="00AB03F7"/>
    <w:rsid w:val="00AB0436"/>
    <w:rsid w:val="00AB0AB9"/>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33"/>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66"/>
    <w:rsid w:val="00AC18D9"/>
    <w:rsid w:val="00AC2487"/>
    <w:rsid w:val="00AC2759"/>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41D"/>
    <w:rsid w:val="00AC4557"/>
    <w:rsid w:val="00AC49CF"/>
    <w:rsid w:val="00AC4B2B"/>
    <w:rsid w:val="00AC4B8A"/>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447"/>
    <w:rsid w:val="00AD069D"/>
    <w:rsid w:val="00AD081B"/>
    <w:rsid w:val="00AD084B"/>
    <w:rsid w:val="00AD0A55"/>
    <w:rsid w:val="00AD101C"/>
    <w:rsid w:val="00AD1295"/>
    <w:rsid w:val="00AD14C1"/>
    <w:rsid w:val="00AD16FC"/>
    <w:rsid w:val="00AD1A5D"/>
    <w:rsid w:val="00AD1C9D"/>
    <w:rsid w:val="00AD1E58"/>
    <w:rsid w:val="00AD1F54"/>
    <w:rsid w:val="00AD2058"/>
    <w:rsid w:val="00AD2113"/>
    <w:rsid w:val="00AD212F"/>
    <w:rsid w:val="00AD22EF"/>
    <w:rsid w:val="00AD2DAC"/>
    <w:rsid w:val="00AD2DC9"/>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D06"/>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0FEE"/>
    <w:rsid w:val="00AE1197"/>
    <w:rsid w:val="00AE1315"/>
    <w:rsid w:val="00AE176A"/>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76C"/>
    <w:rsid w:val="00AF0E17"/>
    <w:rsid w:val="00AF10B2"/>
    <w:rsid w:val="00AF10C6"/>
    <w:rsid w:val="00AF112A"/>
    <w:rsid w:val="00AF11C4"/>
    <w:rsid w:val="00AF1256"/>
    <w:rsid w:val="00AF12A8"/>
    <w:rsid w:val="00AF18E7"/>
    <w:rsid w:val="00AF1BE6"/>
    <w:rsid w:val="00AF1C90"/>
    <w:rsid w:val="00AF1D41"/>
    <w:rsid w:val="00AF1F1A"/>
    <w:rsid w:val="00AF2181"/>
    <w:rsid w:val="00AF22D2"/>
    <w:rsid w:val="00AF24DF"/>
    <w:rsid w:val="00AF263B"/>
    <w:rsid w:val="00AF29F6"/>
    <w:rsid w:val="00AF2A7B"/>
    <w:rsid w:val="00AF2C75"/>
    <w:rsid w:val="00AF2CCD"/>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5FD9"/>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2CC"/>
    <w:rsid w:val="00B0030E"/>
    <w:rsid w:val="00B00879"/>
    <w:rsid w:val="00B00938"/>
    <w:rsid w:val="00B00C29"/>
    <w:rsid w:val="00B00D80"/>
    <w:rsid w:val="00B012CA"/>
    <w:rsid w:val="00B01369"/>
    <w:rsid w:val="00B01A5A"/>
    <w:rsid w:val="00B01D56"/>
    <w:rsid w:val="00B01E3F"/>
    <w:rsid w:val="00B023FD"/>
    <w:rsid w:val="00B0249F"/>
    <w:rsid w:val="00B02584"/>
    <w:rsid w:val="00B02C47"/>
    <w:rsid w:val="00B035D9"/>
    <w:rsid w:val="00B03AAB"/>
    <w:rsid w:val="00B03AC1"/>
    <w:rsid w:val="00B03B1C"/>
    <w:rsid w:val="00B03BF2"/>
    <w:rsid w:val="00B04024"/>
    <w:rsid w:val="00B0414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0EC"/>
    <w:rsid w:val="00B121CA"/>
    <w:rsid w:val="00B12319"/>
    <w:rsid w:val="00B1265F"/>
    <w:rsid w:val="00B12B3E"/>
    <w:rsid w:val="00B12F0E"/>
    <w:rsid w:val="00B12F3B"/>
    <w:rsid w:val="00B13015"/>
    <w:rsid w:val="00B13206"/>
    <w:rsid w:val="00B13405"/>
    <w:rsid w:val="00B13515"/>
    <w:rsid w:val="00B136FB"/>
    <w:rsid w:val="00B13794"/>
    <w:rsid w:val="00B1382F"/>
    <w:rsid w:val="00B13921"/>
    <w:rsid w:val="00B13A33"/>
    <w:rsid w:val="00B13A9F"/>
    <w:rsid w:val="00B13B99"/>
    <w:rsid w:val="00B13CD1"/>
    <w:rsid w:val="00B1412C"/>
    <w:rsid w:val="00B144A8"/>
    <w:rsid w:val="00B14578"/>
    <w:rsid w:val="00B14A35"/>
    <w:rsid w:val="00B14C29"/>
    <w:rsid w:val="00B14F54"/>
    <w:rsid w:val="00B15302"/>
    <w:rsid w:val="00B1535C"/>
    <w:rsid w:val="00B1536C"/>
    <w:rsid w:val="00B15397"/>
    <w:rsid w:val="00B153E3"/>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07"/>
    <w:rsid w:val="00B332CB"/>
    <w:rsid w:val="00B33493"/>
    <w:rsid w:val="00B33494"/>
    <w:rsid w:val="00B336A3"/>
    <w:rsid w:val="00B336BF"/>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7C8"/>
    <w:rsid w:val="00B35996"/>
    <w:rsid w:val="00B35BF4"/>
    <w:rsid w:val="00B35E70"/>
    <w:rsid w:val="00B3614B"/>
    <w:rsid w:val="00B36749"/>
    <w:rsid w:val="00B36803"/>
    <w:rsid w:val="00B36921"/>
    <w:rsid w:val="00B36DE3"/>
    <w:rsid w:val="00B37757"/>
    <w:rsid w:val="00B37CC4"/>
    <w:rsid w:val="00B37D47"/>
    <w:rsid w:val="00B37DE1"/>
    <w:rsid w:val="00B37DFC"/>
    <w:rsid w:val="00B37EA2"/>
    <w:rsid w:val="00B37EF4"/>
    <w:rsid w:val="00B4040E"/>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3EE1"/>
    <w:rsid w:val="00B441DB"/>
    <w:rsid w:val="00B443C1"/>
    <w:rsid w:val="00B44422"/>
    <w:rsid w:val="00B44674"/>
    <w:rsid w:val="00B44915"/>
    <w:rsid w:val="00B44C24"/>
    <w:rsid w:val="00B45079"/>
    <w:rsid w:val="00B4556A"/>
    <w:rsid w:val="00B45626"/>
    <w:rsid w:val="00B45AF9"/>
    <w:rsid w:val="00B45B79"/>
    <w:rsid w:val="00B45B7A"/>
    <w:rsid w:val="00B461AD"/>
    <w:rsid w:val="00B46B64"/>
    <w:rsid w:val="00B46BDD"/>
    <w:rsid w:val="00B46C80"/>
    <w:rsid w:val="00B46CC1"/>
    <w:rsid w:val="00B46DBE"/>
    <w:rsid w:val="00B46FA3"/>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927"/>
    <w:rsid w:val="00B53AEF"/>
    <w:rsid w:val="00B53BC9"/>
    <w:rsid w:val="00B53D03"/>
    <w:rsid w:val="00B53E86"/>
    <w:rsid w:val="00B5417C"/>
    <w:rsid w:val="00B546E2"/>
    <w:rsid w:val="00B54AB4"/>
    <w:rsid w:val="00B55390"/>
    <w:rsid w:val="00B5548E"/>
    <w:rsid w:val="00B55AC6"/>
    <w:rsid w:val="00B55D56"/>
    <w:rsid w:val="00B55F9E"/>
    <w:rsid w:val="00B55FBA"/>
    <w:rsid w:val="00B560F0"/>
    <w:rsid w:val="00B56134"/>
    <w:rsid w:val="00B565E9"/>
    <w:rsid w:val="00B566BA"/>
    <w:rsid w:val="00B569A4"/>
    <w:rsid w:val="00B569B8"/>
    <w:rsid w:val="00B56CA8"/>
    <w:rsid w:val="00B570F1"/>
    <w:rsid w:val="00B571A4"/>
    <w:rsid w:val="00B57DC9"/>
    <w:rsid w:val="00B57E2F"/>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5D4"/>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DA9"/>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24"/>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3E"/>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65B"/>
    <w:rsid w:val="00B82A7D"/>
    <w:rsid w:val="00B82C01"/>
    <w:rsid w:val="00B82C1F"/>
    <w:rsid w:val="00B82E52"/>
    <w:rsid w:val="00B8304C"/>
    <w:rsid w:val="00B83381"/>
    <w:rsid w:val="00B835A3"/>
    <w:rsid w:val="00B83E46"/>
    <w:rsid w:val="00B84184"/>
    <w:rsid w:val="00B843B6"/>
    <w:rsid w:val="00B84689"/>
    <w:rsid w:val="00B849C9"/>
    <w:rsid w:val="00B84A62"/>
    <w:rsid w:val="00B84D6B"/>
    <w:rsid w:val="00B84ED3"/>
    <w:rsid w:val="00B84F34"/>
    <w:rsid w:val="00B84F7F"/>
    <w:rsid w:val="00B853C7"/>
    <w:rsid w:val="00B85414"/>
    <w:rsid w:val="00B85465"/>
    <w:rsid w:val="00B85747"/>
    <w:rsid w:val="00B85FED"/>
    <w:rsid w:val="00B8645C"/>
    <w:rsid w:val="00B86801"/>
    <w:rsid w:val="00B86933"/>
    <w:rsid w:val="00B86BB1"/>
    <w:rsid w:val="00B86C48"/>
    <w:rsid w:val="00B87222"/>
    <w:rsid w:val="00B87258"/>
    <w:rsid w:val="00B87267"/>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5C"/>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1D73"/>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119"/>
    <w:rsid w:val="00BB1628"/>
    <w:rsid w:val="00BB1803"/>
    <w:rsid w:val="00BB1837"/>
    <w:rsid w:val="00BB1857"/>
    <w:rsid w:val="00BB18C4"/>
    <w:rsid w:val="00BB1C14"/>
    <w:rsid w:val="00BB1CBA"/>
    <w:rsid w:val="00BB25A9"/>
    <w:rsid w:val="00BB27DE"/>
    <w:rsid w:val="00BB298C"/>
    <w:rsid w:val="00BB29AF"/>
    <w:rsid w:val="00BB2ABC"/>
    <w:rsid w:val="00BB2BE8"/>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12"/>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C7EEC"/>
    <w:rsid w:val="00BD0322"/>
    <w:rsid w:val="00BD05D8"/>
    <w:rsid w:val="00BD06E7"/>
    <w:rsid w:val="00BD0A2B"/>
    <w:rsid w:val="00BD0B00"/>
    <w:rsid w:val="00BD0C7F"/>
    <w:rsid w:val="00BD0CAD"/>
    <w:rsid w:val="00BD1838"/>
    <w:rsid w:val="00BD1891"/>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D7CA5"/>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ADF"/>
    <w:rsid w:val="00BE5B67"/>
    <w:rsid w:val="00BE5DD0"/>
    <w:rsid w:val="00BE5E4E"/>
    <w:rsid w:val="00BE5FB1"/>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4EA"/>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675"/>
    <w:rsid w:val="00BF3715"/>
    <w:rsid w:val="00BF38CD"/>
    <w:rsid w:val="00BF3B82"/>
    <w:rsid w:val="00BF3E3F"/>
    <w:rsid w:val="00BF4775"/>
    <w:rsid w:val="00BF4860"/>
    <w:rsid w:val="00BF48E2"/>
    <w:rsid w:val="00BF4BF3"/>
    <w:rsid w:val="00BF4EE4"/>
    <w:rsid w:val="00BF4F5C"/>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1BB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AD4"/>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0B"/>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C63"/>
    <w:rsid w:val="00C14F48"/>
    <w:rsid w:val="00C15021"/>
    <w:rsid w:val="00C151E3"/>
    <w:rsid w:val="00C152E3"/>
    <w:rsid w:val="00C1540D"/>
    <w:rsid w:val="00C154CD"/>
    <w:rsid w:val="00C15507"/>
    <w:rsid w:val="00C15671"/>
    <w:rsid w:val="00C158D3"/>
    <w:rsid w:val="00C158DA"/>
    <w:rsid w:val="00C160CD"/>
    <w:rsid w:val="00C165B2"/>
    <w:rsid w:val="00C16703"/>
    <w:rsid w:val="00C16AB2"/>
    <w:rsid w:val="00C16C05"/>
    <w:rsid w:val="00C17036"/>
    <w:rsid w:val="00C17188"/>
    <w:rsid w:val="00C17215"/>
    <w:rsid w:val="00C173AD"/>
    <w:rsid w:val="00C1758F"/>
    <w:rsid w:val="00C176AD"/>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D8E"/>
    <w:rsid w:val="00C23EC1"/>
    <w:rsid w:val="00C240BF"/>
    <w:rsid w:val="00C240EE"/>
    <w:rsid w:val="00C24245"/>
    <w:rsid w:val="00C2479D"/>
    <w:rsid w:val="00C247BF"/>
    <w:rsid w:val="00C24BE2"/>
    <w:rsid w:val="00C24ED1"/>
    <w:rsid w:val="00C24F1D"/>
    <w:rsid w:val="00C24F6C"/>
    <w:rsid w:val="00C25159"/>
    <w:rsid w:val="00C253E2"/>
    <w:rsid w:val="00C25D5F"/>
    <w:rsid w:val="00C25EDE"/>
    <w:rsid w:val="00C26040"/>
    <w:rsid w:val="00C2662E"/>
    <w:rsid w:val="00C267C6"/>
    <w:rsid w:val="00C26CC7"/>
    <w:rsid w:val="00C27030"/>
    <w:rsid w:val="00C271E2"/>
    <w:rsid w:val="00C27518"/>
    <w:rsid w:val="00C275D2"/>
    <w:rsid w:val="00C2784F"/>
    <w:rsid w:val="00C27D1D"/>
    <w:rsid w:val="00C27F24"/>
    <w:rsid w:val="00C301B8"/>
    <w:rsid w:val="00C3023F"/>
    <w:rsid w:val="00C30438"/>
    <w:rsid w:val="00C304C5"/>
    <w:rsid w:val="00C30873"/>
    <w:rsid w:val="00C30902"/>
    <w:rsid w:val="00C30A74"/>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11"/>
    <w:rsid w:val="00C33DAD"/>
    <w:rsid w:val="00C348C9"/>
    <w:rsid w:val="00C34A49"/>
    <w:rsid w:val="00C34BAA"/>
    <w:rsid w:val="00C34F1C"/>
    <w:rsid w:val="00C35415"/>
    <w:rsid w:val="00C354E3"/>
    <w:rsid w:val="00C355EB"/>
    <w:rsid w:val="00C35967"/>
    <w:rsid w:val="00C35BF9"/>
    <w:rsid w:val="00C35D6A"/>
    <w:rsid w:val="00C35E06"/>
    <w:rsid w:val="00C35FB5"/>
    <w:rsid w:val="00C36132"/>
    <w:rsid w:val="00C36168"/>
    <w:rsid w:val="00C362BB"/>
    <w:rsid w:val="00C36535"/>
    <w:rsid w:val="00C3665A"/>
    <w:rsid w:val="00C36775"/>
    <w:rsid w:val="00C367B2"/>
    <w:rsid w:val="00C36B06"/>
    <w:rsid w:val="00C36C89"/>
    <w:rsid w:val="00C36D6D"/>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3E"/>
    <w:rsid w:val="00C41D69"/>
    <w:rsid w:val="00C41F7A"/>
    <w:rsid w:val="00C42042"/>
    <w:rsid w:val="00C4265D"/>
    <w:rsid w:val="00C42674"/>
    <w:rsid w:val="00C428A6"/>
    <w:rsid w:val="00C42D3F"/>
    <w:rsid w:val="00C43119"/>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75"/>
    <w:rsid w:val="00C465E1"/>
    <w:rsid w:val="00C467FD"/>
    <w:rsid w:val="00C46812"/>
    <w:rsid w:val="00C46AA1"/>
    <w:rsid w:val="00C46D27"/>
    <w:rsid w:val="00C472B8"/>
    <w:rsid w:val="00C472DF"/>
    <w:rsid w:val="00C4730A"/>
    <w:rsid w:val="00C4751E"/>
    <w:rsid w:val="00C4751F"/>
    <w:rsid w:val="00C47594"/>
    <w:rsid w:val="00C47A2C"/>
    <w:rsid w:val="00C47AA1"/>
    <w:rsid w:val="00C47C2D"/>
    <w:rsid w:val="00C50676"/>
    <w:rsid w:val="00C50A03"/>
    <w:rsid w:val="00C50D39"/>
    <w:rsid w:val="00C50EB3"/>
    <w:rsid w:val="00C5100D"/>
    <w:rsid w:val="00C51307"/>
    <w:rsid w:val="00C51415"/>
    <w:rsid w:val="00C5156D"/>
    <w:rsid w:val="00C517CA"/>
    <w:rsid w:val="00C51864"/>
    <w:rsid w:val="00C51878"/>
    <w:rsid w:val="00C51A6C"/>
    <w:rsid w:val="00C51B2B"/>
    <w:rsid w:val="00C523B3"/>
    <w:rsid w:val="00C524BE"/>
    <w:rsid w:val="00C5277B"/>
    <w:rsid w:val="00C52BF3"/>
    <w:rsid w:val="00C52DED"/>
    <w:rsid w:val="00C52F8C"/>
    <w:rsid w:val="00C531B8"/>
    <w:rsid w:val="00C53708"/>
    <w:rsid w:val="00C53728"/>
    <w:rsid w:val="00C53955"/>
    <w:rsid w:val="00C53A76"/>
    <w:rsid w:val="00C53BAC"/>
    <w:rsid w:val="00C53E5D"/>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5B6"/>
    <w:rsid w:val="00C60659"/>
    <w:rsid w:val="00C6066C"/>
    <w:rsid w:val="00C606D0"/>
    <w:rsid w:val="00C606E8"/>
    <w:rsid w:val="00C607C3"/>
    <w:rsid w:val="00C60C67"/>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3F38"/>
    <w:rsid w:val="00C640FD"/>
    <w:rsid w:val="00C641E9"/>
    <w:rsid w:val="00C64322"/>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67D4A"/>
    <w:rsid w:val="00C70017"/>
    <w:rsid w:val="00C7026C"/>
    <w:rsid w:val="00C7031D"/>
    <w:rsid w:val="00C704C0"/>
    <w:rsid w:val="00C704C9"/>
    <w:rsid w:val="00C70720"/>
    <w:rsid w:val="00C70A1C"/>
    <w:rsid w:val="00C70BC1"/>
    <w:rsid w:val="00C70ED2"/>
    <w:rsid w:val="00C71189"/>
    <w:rsid w:val="00C71357"/>
    <w:rsid w:val="00C71824"/>
    <w:rsid w:val="00C71889"/>
    <w:rsid w:val="00C7198A"/>
    <w:rsid w:val="00C72074"/>
    <w:rsid w:val="00C7217C"/>
    <w:rsid w:val="00C7228A"/>
    <w:rsid w:val="00C7233C"/>
    <w:rsid w:val="00C72406"/>
    <w:rsid w:val="00C7288A"/>
    <w:rsid w:val="00C72BA9"/>
    <w:rsid w:val="00C72C42"/>
    <w:rsid w:val="00C732CF"/>
    <w:rsid w:val="00C737F5"/>
    <w:rsid w:val="00C73805"/>
    <w:rsid w:val="00C738CF"/>
    <w:rsid w:val="00C73A42"/>
    <w:rsid w:val="00C73B99"/>
    <w:rsid w:val="00C73CD4"/>
    <w:rsid w:val="00C73DD4"/>
    <w:rsid w:val="00C74147"/>
    <w:rsid w:val="00C74327"/>
    <w:rsid w:val="00C7442A"/>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0C7A"/>
    <w:rsid w:val="00C8110D"/>
    <w:rsid w:val="00C81331"/>
    <w:rsid w:val="00C81975"/>
    <w:rsid w:val="00C81BF0"/>
    <w:rsid w:val="00C82166"/>
    <w:rsid w:val="00C82540"/>
    <w:rsid w:val="00C82624"/>
    <w:rsid w:val="00C82EBF"/>
    <w:rsid w:val="00C82ED3"/>
    <w:rsid w:val="00C82FB5"/>
    <w:rsid w:val="00C83405"/>
    <w:rsid w:val="00C834C9"/>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3A0"/>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4B0"/>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3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942"/>
    <w:rsid w:val="00CA3ABD"/>
    <w:rsid w:val="00CA3AD1"/>
    <w:rsid w:val="00CA3CDD"/>
    <w:rsid w:val="00CA3D2D"/>
    <w:rsid w:val="00CA3DCC"/>
    <w:rsid w:val="00CA404F"/>
    <w:rsid w:val="00CA43B9"/>
    <w:rsid w:val="00CA463C"/>
    <w:rsid w:val="00CA474B"/>
    <w:rsid w:val="00CA4760"/>
    <w:rsid w:val="00CA4863"/>
    <w:rsid w:val="00CA4C2D"/>
    <w:rsid w:val="00CA4C6A"/>
    <w:rsid w:val="00CA51C3"/>
    <w:rsid w:val="00CA5B28"/>
    <w:rsid w:val="00CA5CEA"/>
    <w:rsid w:val="00CA5D19"/>
    <w:rsid w:val="00CA633D"/>
    <w:rsid w:val="00CA63D9"/>
    <w:rsid w:val="00CA6598"/>
    <w:rsid w:val="00CA6759"/>
    <w:rsid w:val="00CA6CB0"/>
    <w:rsid w:val="00CA76F9"/>
    <w:rsid w:val="00CA7700"/>
    <w:rsid w:val="00CA7755"/>
    <w:rsid w:val="00CA776B"/>
    <w:rsid w:val="00CA7A40"/>
    <w:rsid w:val="00CA7AA0"/>
    <w:rsid w:val="00CA7BAC"/>
    <w:rsid w:val="00CA7E32"/>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3CD5"/>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428"/>
    <w:rsid w:val="00CB6733"/>
    <w:rsid w:val="00CB6737"/>
    <w:rsid w:val="00CB6A01"/>
    <w:rsid w:val="00CB6FA6"/>
    <w:rsid w:val="00CB7274"/>
    <w:rsid w:val="00CB72C9"/>
    <w:rsid w:val="00CB740D"/>
    <w:rsid w:val="00CB7483"/>
    <w:rsid w:val="00CB78B6"/>
    <w:rsid w:val="00CB7B22"/>
    <w:rsid w:val="00CB7C1B"/>
    <w:rsid w:val="00CB7C5C"/>
    <w:rsid w:val="00CB7DE0"/>
    <w:rsid w:val="00CC0543"/>
    <w:rsid w:val="00CC05D3"/>
    <w:rsid w:val="00CC0609"/>
    <w:rsid w:val="00CC071E"/>
    <w:rsid w:val="00CC083E"/>
    <w:rsid w:val="00CC09B2"/>
    <w:rsid w:val="00CC1463"/>
    <w:rsid w:val="00CC158D"/>
    <w:rsid w:val="00CC168E"/>
    <w:rsid w:val="00CC1C59"/>
    <w:rsid w:val="00CC1D4B"/>
    <w:rsid w:val="00CC1E96"/>
    <w:rsid w:val="00CC20BF"/>
    <w:rsid w:val="00CC2255"/>
    <w:rsid w:val="00CC237C"/>
    <w:rsid w:val="00CC2381"/>
    <w:rsid w:val="00CC246F"/>
    <w:rsid w:val="00CC25A8"/>
    <w:rsid w:val="00CC263C"/>
    <w:rsid w:val="00CC2E07"/>
    <w:rsid w:val="00CC31E7"/>
    <w:rsid w:val="00CC3491"/>
    <w:rsid w:val="00CC3A21"/>
    <w:rsid w:val="00CC3A34"/>
    <w:rsid w:val="00CC3CEC"/>
    <w:rsid w:val="00CC3DC2"/>
    <w:rsid w:val="00CC3F89"/>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0DD"/>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7E0"/>
    <w:rsid w:val="00CD3E8B"/>
    <w:rsid w:val="00CD41DD"/>
    <w:rsid w:val="00CD47F2"/>
    <w:rsid w:val="00CD4E1C"/>
    <w:rsid w:val="00CD4EBB"/>
    <w:rsid w:val="00CD5571"/>
    <w:rsid w:val="00CD5775"/>
    <w:rsid w:val="00CD5991"/>
    <w:rsid w:val="00CD5AC0"/>
    <w:rsid w:val="00CD5DA8"/>
    <w:rsid w:val="00CD5DAA"/>
    <w:rsid w:val="00CD5F0A"/>
    <w:rsid w:val="00CD5F4D"/>
    <w:rsid w:val="00CD6331"/>
    <w:rsid w:val="00CD64C9"/>
    <w:rsid w:val="00CD6540"/>
    <w:rsid w:val="00CD6703"/>
    <w:rsid w:val="00CD6A12"/>
    <w:rsid w:val="00CD6DD4"/>
    <w:rsid w:val="00CD6F3A"/>
    <w:rsid w:val="00CD730B"/>
    <w:rsid w:val="00CD7314"/>
    <w:rsid w:val="00CD7479"/>
    <w:rsid w:val="00CD756A"/>
    <w:rsid w:val="00CD7AB0"/>
    <w:rsid w:val="00CD7C05"/>
    <w:rsid w:val="00CD7C10"/>
    <w:rsid w:val="00CD7D8D"/>
    <w:rsid w:val="00CD7EA8"/>
    <w:rsid w:val="00CE00CD"/>
    <w:rsid w:val="00CE014C"/>
    <w:rsid w:val="00CE0298"/>
    <w:rsid w:val="00CE0627"/>
    <w:rsid w:val="00CE091F"/>
    <w:rsid w:val="00CE09C2"/>
    <w:rsid w:val="00CE0A3E"/>
    <w:rsid w:val="00CE0BE4"/>
    <w:rsid w:val="00CE0E8F"/>
    <w:rsid w:val="00CE1128"/>
    <w:rsid w:val="00CE1253"/>
    <w:rsid w:val="00CE1636"/>
    <w:rsid w:val="00CE185B"/>
    <w:rsid w:val="00CE18CD"/>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3E38"/>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6FF"/>
    <w:rsid w:val="00CF67B8"/>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2D3F"/>
    <w:rsid w:val="00D0325B"/>
    <w:rsid w:val="00D03729"/>
    <w:rsid w:val="00D03C56"/>
    <w:rsid w:val="00D03CE1"/>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83F"/>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58"/>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1AC"/>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6FB"/>
    <w:rsid w:val="00D27950"/>
    <w:rsid w:val="00D279BB"/>
    <w:rsid w:val="00D27AAA"/>
    <w:rsid w:val="00D27C35"/>
    <w:rsid w:val="00D300DA"/>
    <w:rsid w:val="00D30132"/>
    <w:rsid w:val="00D303D4"/>
    <w:rsid w:val="00D303EE"/>
    <w:rsid w:val="00D306B6"/>
    <w:rsid w:val="00D307D9"/>
    <w:rsid w:val="00D30CC7"/>
    <w:rsid w:val="00D30DEE"/>
    <w:rsid w:val="00D30E78"/>
    <w:rsid w:val="00D31170"/>
    <w:rsid w:val="00D311E7"/>
    <w:rsid w:val="00D31348"/>
    <w:rsid w:val="00D314AD"/>
    <w:rsid w:val="00D31582"/>
    <w:rsid w:val="00D31991"/>
    <w:rsid w:val="00D31A6F"/>
    <w:rsid w:val="00D31BDD"/>
    <w:rsid w:val="00D32151"/>
    <w:rsid w:val="00D322A0"/>
    <w:rsid w:val="00D324FC"/>
    <w:rsid w:val="00D32558"/>
    <w:rsid w:val="00D32912"/>
    <w:rsid w:val="00D32A27"/>
    <w:rsid w:val="00D32F54"/>
    <w:rsid w:val="00D3320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9D8"/>
    <w:rsid w:val="00D37B46"/>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7BE"/>
    <w:rsid w:val="00D42928"/>
    <w:rsid w:val="00D42AB7"/>
    <w:rsid w:val="00D42D74"/>
    <w:rsid w:val="00D42FF7"/>
    <w:rsid w:val="00D43048"/>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B91"/>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1D"/>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A34"/>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91"/>
    <w:rsid w:val="00D64A46"/>
    <w:rsid w:val="00D64B5A"/>
    <w:rsid w:val="00D64CE8"/>
    <w:rsid w:val="00D64F53"/>
    <w:rsid w:val="00D6505D"/>
    <w:rsid w:val="00D65064"/>
    <w:rsid w:val="00D6563A"/>
    <w:rsid w:val="00D656B9"/>
    <w:rsid w:val="00D65BA6"/>
    <w:rsid w:val="00D65E4D"/>
    <w:rsid w:val="00D66132"/>
    <w:rsid w:val="00D66287"/>
    <w:rsid w:val="00D662C9"/>
    <w:rsid w:val="00D664C6"/>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96"/>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3FB6"/>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4E81"/>
    <w:rsid w:val="00D850FE"/>
    <w:rsid w:val="00D85500"/>
    <w:rsid w:val="00D8559F"/>
    <w:rsid w:val="00D8562E"/>
    <w:rsid w:val="00D85B61"/>
    <w:rsid w:val="00D85FDD"/>
    <w:rsid w:val="00D862D7"/>
    <w:rsid w:val="00D866CC"/>
    <w:rsid w:val="00D86929"/>
    <w:rsid w:val="00D869CB"/>
    <w:rsid w:val="00D86AF6"/>
    <w:rsid w:val="00D86CDC"/>
    <w:rsid w:val="00D86D0A"/>
    <w:rsid w:val="00D86E1C"/>
    <w:rsid w:val="00D870FF"/>
    <w:rsid w:val="00D873CB"/>
    <w:rsid w:val="00D874B9"/>
    <w:rsid w:val="00D877C5"/>
    <w:rsid w:val="00D879F1"/>
    <w:rsid w:val="00D87A6E"/>
    <w:rsid w:val="00D87D83"/>
    <w:rsid w:val="00D87EAA"/>
    <w:rsid w:val="00D900EF"/>
    <w:rsid w:val="00D90555"/>
    <w:rsid w:val="00D907B3"/>
    <w:rsid w:val="00D9089A"/>
    <w:rsid w:val="00D90932"/>
    <w:rsid w:val="00D90C91"/>
    <w:rsid w:val="00D90CD2"/>
    <w:rsid w:val="00D912E6"/>
    <w:rsid w:val="00D913F5"/>
    <w:rsid w:val="00D915E1"/>
    <w:rsid w:val="00D915EE"/>
    <w:rsid w:val="00D91A7C"/>
    <w:rsid w:val="00D91D74"/>
    <w:rsid w:val="00D91E68"/>
    <w:rsid w:val="00D9201D"/>
    <w:rsid w:val="00D923E5"/>
    <w:rsid w:val="00D924F3"/>
    <w:rsid w:val="00D925AB"/>
    <w:rsid w:val="00D92877"/>
    <w:rsid w:val="00D9294C"/>
    <w:rsid w:val="00D92A24"/>
    <w:rsid w:val="00D92AB6"/>
    <w:rsid w:val="00D92BFF"/>
    <w:rsid w:val="00D92DE5"/>
    <w:rsid w:val="00D92F09"/>
    <w:rsid w:val="00D930B9"/>
    <w:rsid w:val="00D93630"/>
    <w:rsid w:val="00D937F1"/>
    <w:rsid w:val="00D93AB8"/>
    <w:rsid w:val="00D93FD0"/>
    <w:rsid w:val="00D940D6"/>
    <w:rsid w:val="00D941A4"/>
    <w:rsid w:val="00D942BE"/>
    <w:rsid w:val="00D944F1"/>
    <w:rsid w:val="00D9471D"/>
    <w:rsid w:val="00D94A2A"/>
    <w:rsid w:val="00D94A4A"/>
    <w:rsid w:val="00D94A8C"/>
    <w:rsid w:val="00D94B40"/>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01C"/>
    <w:rsid w:val="00D97320"/>
    <w:rsid w:val="00D9784A"/>
    <w:rsid w:val="00D978E5"/>
    <w:rsid w:val="00D97D00"/>
    <w:rsid w:val="00D97EFE"/>
    <w:rsid w:val="00DA008F"/>
    <w:rsid w:val="00DA01BF"/>
    <w:rsid w:val="00DA08BB"/>
    <w:rsid w:val="00DA09AF"/>
    <w:rsid w:val="00DA09D2"/>
    <w:rsid w:val="00DA0B44"/>
    <w:rsid w:val="00DA0F90"/>
    <w:rsid w:val="00DA10CD"/>
    <w:rsid w:val="00DA14C7"/>
    <w:rsid w:val="00DA14F6"/>
    <w:rsid w:val="00DA1801"/>
    <w:rsid w:val="00DA1803"/>
    <w:rsid w:val="00DA1F2D"/>
    <w:rsid w:val="00DA1F83"/>
    <w:rsid w:val="00DA2176"/>
    <w:rsid w:val="00DA2223"/>
    <w:rsid w:val="00DA22ED"/>
    <w:rsid w:val="00DA26B8"/>
    <w:rsid w:val="00DA26FA"/>
    <w:rsid w:val="00DA2720"/>
    <w:rsid w:val="00DA2774"/>
    <w:rsid w:val="00DA2838"/>
    <w:rsid w:val="00DA2885"/>
    <w:rsid w:val="00DA2CBD"/>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3"/>
    <w:rsid w:val="00DB0259"/>
    <w:rsid w:val="00DB072F"/>
    <w:rsid w:val="00DB0B99"/>
    <w:rsid w:val="00DB0CC9"/>
    <w:rsid w:val="00DB0D3F"/>
    <w:rsid w:val="00DB0DAC"/>
    <w:rsid w:val="00DB0FE2"/>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1E5"/>
    <w:rsid w:val="00DB76E4"/>
    <w:rsid w:val="00DB7A6D"/>
    <w:rsid w:val="00DB7C25"/>
    <w:rsid w:val="00DB7FA0"/>
    <w:rsid w:val="00DB7FF4"/>
    <w:rsid w:val="00DC00FF"/>
    <w:rsid w:val="00DC0129"/>
    <w:rsid w:val="00DC0191"/>
    <w:rsid w:val="00DC02B3"/>
    <w:rsid w:val="00DC0646"/>
    <w:rsid w:val="00DC07AC"/>
    <w:rsid w:val="00DC07F1"/>
    <w:rsid w:val="00DC0920"/>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8D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471"/>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3FF"/>
    <w:rsid w:val="00DC742E"/>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63"/>
    <w:rsid w:val="00DD3386"/>
    <w:rsid w:val="00DD3534"/>
    <w:rsid w:val="00DD38C7"/>
    <w:rsid w:val="00DD3AB4"/>
    <w:rsid w:val="00DD3AEB"/>
    <w:rsid w:val="00DD3C15"/>
    <w:rsid w:val="00DD3C23"/>
    <w:rsid w:val="00DD3C99"/>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5CAC"/>
    <w:rsid w:val="00DD60CD"/>
    <w:rsid w:val="00DD6C24"/>
    <w:rsid w:val="00DD70F4"/>
    <w:rsid w:val="00DD7740"/>
    <w:rsid w:val="00DD786C"/>
    <w:rsid w:val="00DE0556"/>
    <w:rsid w:val="00DE074F"/>
    <w:rsid w:val="00DE0B91"/>
    <w:rsid w:val="00DE0CD8"/>
    <w:rsid w:val="00DE0EA8"/>
    <w:rsid w:val="00DE110E"/>
    <w:rsid w:val="00DE12F3"/>
    <w:rsid w:val="00DE1911"/>
    <w:rsid w:val="00DE1B4F"/>
    <w:rsid w:val="00DE1D2D"/>
    <w:rsid w:val="00DE1D7C"/>
    <w:rsid w:val="00DE2066"/>
    <w:rsid w:val="00DE2142"/>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1F0"/>
    <w:rsid w:val="00DE6364"/>
    <w:rsid w:val="00DE63B4"/>
    <w:rsid w:val="00DE6412"/>
    <w:rsid w:val="00DE66A3"/>
    <w:rsid w:val="00DE6922"/>
    <w:rsid w:val="00DE6CE1"/>
    <w:rsid w:val="00DE6FD9"/>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351"/>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54"/>
    <w:rsid w:val="00E06E26"/>
    <w:rsid w:val="00E0712A"/>
    <w:rsid w:val="00E07179"/>
    <w:rsid w:val="00E07511"/>
    <w:rsid w:val="00E07955"/>
    <w:rsid w:val="00E07B62"/>
    <w:rsid w:val="00E07DD8"/>
    <w:rsid w:val="00E07E9C"/>
    <w:rsid w:val="00E07EB8"/>
    <w:rsid w:val="00E07F78"/>
    <w:rsid w:val="00E1015B"/>
    <w:rsid w:val="00E1037C"/>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95"/>
    <w:rsid w:val="00E15B88"/>
    <w:rsid w:val="00E15E01"/>
    <w:rsid w:val="00E15FE0"/>
    <w:rsid w:val="00E163A6"/>
    <w:rsid w:val="00E16E02"/>
    <w:rsid w:val="00E16F85"/>
    <w:rsid w:val="00E172CA"/>
    <w:rsid w:val="00E1738E"/>
    <w:rsid w:val="00E174D6"/>
    <w:rsid w:val="00E17545"/>
    <w:rsid w:val="00E177CE"/>
    <w:rsid w:val="00E17A6E"/>
    <w:rsid w:val="00E20190"/>
    <w:rsid w:val="00E2034C"/>
    <w:rsid w:val="00E20392"/>
    <w:rsid w:val="00E204FE"/>
    <w:rsid w:val="00E20655"/>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1EB4"/>
    <w:rsid w:val="00E22096"/>
    <w:rsid w:val="00E221B9"/>
    <w:rsid w:val="00E221F8"/>
    <w:rsid w:val="00E22335"/>
    <w:rsid w:val="00E2251F"/>
    <w:rsid w:val="00E228E5"/>
    <w:rsid w:val="00E22B6E"/>
    <w:rsid w:val="00E22C48"/>
    <w:rsid w:val="00E22C52"/>
    <w:rsid w:val="00E22D99"/>
    <w:rsid w:val="00E23159"/>
    <w:rsid w:val="00E23263"/>
    <w:rsid w:val="00E23366"/>
    <w:rsid w:val="00E23376"/>
    <w:rsid w:val="00E236C6"/>
    <w:rsid w:val="00E23885"/>
    <w:rsid w:val="00E238B8"/>
    <w:rsid w:val="00E239C3"/>
    <w:rsid w:val="00E23ABC"/>
    <w:rsid w:val="00E23AE2"/>
    <w:rsid w:val="00E23B6E"/>
    <w:rsid w:val="00E23B9A"/>
    <w:rsid w:val="00E23C28"/>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A80"/>
    <w:rsid w:val="00E26C84"/>
    <w:rsid w:val="00E26D53"/>
    <w:rsid w:val="00E26DF7"/>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C73"/>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B7"/>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3FC"/>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4909"/>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7EF"/>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724"/>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4DC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B92"/>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068"/>
    <w:rsid w:val="00E64107"/>
    <w:rsid w:val="00E6462F"/>
    <w:rsid w:val="00E64C05"/>
    <w:rsid w:val="00E64EF3"/>
    <w:rsid w:val="00E64F2A"/>
    <w:rsid w:val="00E65083"/>
    <w:rsid w:val="00E653A1"/>
    <w:rsid w:val="00E65407"/>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1FC5"/>
    <w:rsid w:val="00E7206D"/>
    <w:rsid w:val="00E720FB"/>
    <w:rsid w:val="00E72697"/>
    <w:rsid w:val="00E726BB"/>
    <w:rsid w:val="00E72926"/>
    <w:rsid w:val="00E72C50"/>
    <w:rsid w:val="00E72ECE"/>
    <w:rsid w:val="00E72F7C"/>
    <w:rsid w:val="00E7315C"/>
    <w:rsid w:val="00E7337C"/>
    <w:rsid w:val="00E73745"/>
    <w:rsid w:val="00E73865"/>
    <w:rsid w:val="00E739B6"/>
    <w:rsid w:val="00E73A7D"/>
    <w:rsid w:val="00E73BF9"/>
    <w:rsid w:val="00E74064"/>
    <w:rsid w:val="00E740BA"/>
    <w:rsid w:val="00E74148"/>
    <w:rsid w:val="00E74228"/>
    <w:rsid w:val="00E7422A"/>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6A5C"/>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50B"/>
    <w:rsid w:val="00E8094F"/>
    <w:rsid w:val="00E80A2B"/>
    <w:rsid w:val="00E80C42"/>
    <w:rsid w:val="00E813C0"/>
    <w:rsid w:val="00E81459"/>
    <w:rsid w:val="00E82093"/>
    <w:rsid w:val="00E821F0"/>
    <w:rsid w:val="00E82324"/>
    <w:rsid w:val="00E823EA"/>
    <w:rsid w:val="00E82471"/>
    <w:rsid w:val="00E8265B"/>
    <w:rsid w:val="00E826FB"/>
    <w:rsid w:val="00E8271A"/>
    <w:rsid w:val="00E8286F"/>
    <w:rsid w:val="00E8293D"/>
    <w:rsid w:val="00E82AE3"/>
    <w:rsid w:val="00E82C18"/>
    <w:rsid w:val="00E82D4C"/>
    <w:rsid w:val="00E82FD4"/>
    <w:rsid w:val="00E8303D"/>
    <w:rsid w:val="00E8304F"/>
    <w:rsid w:val="00E8324C"/>
    <w:rsid w:val="00E835C1"/>
    <w:rsid w:val="00E839C7"/>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D66"/>
    <w:rsid w:val="00E86E68"/>
    <w:rsid w:val="00E87307"/>
    <w:rsid w:val="00E87313"/>
    <w:rsid w:val="00E87333"/>
    <w:rsid w:val="00E87362"/>
    <w:rsid w:val="00E8748C"/>
    <w:rsid w:val="00E87722"/>
    <w:rsid w:val="00E87744"/>
    <w:rsid w:val="00E87845"/>
    <w:rsid w:val="00E87A47"/>
    <w:rsid w:val="00E87D94"/>
    <w:rsid w:val="00E87F55"/>
    <w:rsid w:val="00E87FC4"/>
    <w:rsid w:val="00E90A1C"/>
    <w:rsid w:val="00E91109"/>
    <w:rsid w:val="00E9155C"/>
    <w:rsid w:val="00E9161A"/>
    <w:rsid w:val="00E91659"/>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112"/>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267"/>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1ECD"/>
    <w:rsid w:val="00EA2194"/>
    <w:rsid w:val="00EA2267"/>
    <w:rsid w:val="00EA2441"/>
    <w:rsid w:val="00EA2903"/>
    <w:rsid w:val="00EA298F"/>
    <w:rsid w:val="00EA2B7A"/>
    <w:rsid w:val="00EA2F75"/>
    <w:rsid w:val="00EA3018"/>
    <w:rsid w:val="00EA3229"/>
    <w:rsid w:val="00EA3324"/>
    <w:rsid w:val="00EA33A6"/>
    <w:rsid w:val="00EA3E2B"/>
    <w:rsid w:val="00EA4240"/>
    <w:rsid w:val="00EA42F1"/>
    <w:rsid w:val="00EA4682"/>
    <w:rsid w:val="00EA4794"/>
    <w:rsid w:val="00EA487F"/>
    <w:rsid w:val="00EA4954"/>
    <w:rsid w:val="00EA49CD"/>
    <w:rsid w:val="00EA4A6D"/>
    <w:rsid w:val="00EA4EA4"/>
    <w:rsid w:val="00EA4EA8"/>
    <w:rsid w:val="00EA50D8"/>
    <w:rsid w:val="00EA522B"/>
    <w:rsid w:val="00EA5A22"/>
    <w:rsid w:val="00EA5A4F"/>
    <w:rsid w:val="00EA5AFA"/>
    <w:rsid w:val="00EA5B6F"/>
    <w:rsid w:val="00EA61F2"/>
    <w:rsid w:val="00EA6602"/>
    <w:rsid w:val="00EA6ECA"/>
    <w:rsid w:val="00EA7007"/>
    <w:rsid w:val="00EA73A2"/>
    <w:rsid w:val="00EA75DC"/>
    <w:rsid w:val="00EA7828"/>
    <w:rsid w:val="00EA7A72"/>
    <w:rsid w:val="00EA7B2F"/>
    <w:rsid w:val="00EA7C4C"/>
    <w:rsid w:val="00EB0340"/>
    <w:rsid w:val="00EB077B"/>
    <w:rsid w:val="00EB0B6C"/>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5BD9"/>
    <w:rsid w:val="00EC5E0C"/>
    <w:rsid w:val="00EC6183"/>
    <w:rsid w:val="00EC65D4"/>
    <w:rsid w:val="00EC67F6"/>
    <w:rsid w:val="00EC682B"/>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67D"/>
    <w:rsid w:val="00ED3995"/>
    <w:rsid w:val="00ED3B96"/>
    <w:rsid w:val="00ED4495"/>
    <w:rsid w:val="00ED44D6"/>
    <w:rsid w:val="00ED465C"/>
    <w:rsid w:val="00ED4867"/>
    <w:rsid w:val="00ED4E07"/>
    <w:rsid w:val="00ED542F"/>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0EC"/>
    <w:rsid w:val="00EE035C"/>
    <w:rsid w:val="00EE05F4"/>
    <w:rsid w:val="00EE0926"/>
    <w:rsid w:val="00EE0932"/>
    <w:rsid w:val="00EE0A27"/>
    <w:rsid w:val="00EE0D82"/>
    <w:rsid w:val="00EE0DA7"/>
    <w:rsid w:val="00EE0E57"/>
    <w:rsid w:val="00EE0ED5"/>
    <w:rsid w:val="00EE1019"/>
    <w:rsid w:val="00EE1023"/>
    <w:rsid w:val="00EE10D5"/>
    <w:rsid w:val="00EE161B"/>
    <w:rsid w:val="00EE1622"/>
    <w:rsid w:val="00EE1951"/>
    <w:rsid w:val="00EE1B3E"/>
    <w:rsid w:val="00EE1BB6"/>
    <w:rsid w:val="00EE1E5C"/>
    <w:rsid w:val="00EE203B"/>
    <w:rsid w:val="00EE204E"/>
    <w:rsid w:val="00EE21AE"/>
    <w:rsid w:val="00EE272B"/>
    <w:rsid w:val="00EE27E9"/>
    <w:rsid w:val="00EE281B"/>
    <w:rsid w:val="00EE29B5"/>
    <w:rsid w:val="00EE2AAE"/>
    <w:rsid w:val="00EE2D67"/>
    <w:rsid w:val="00EE2DB3"/>
    <w:rsid w:val="00EE2F6C"/>
    <w:rsid w:val="00EE3073"/>
    <w:rsid w:val="00EE3153"/>
    <w:rsid w:val="00EE3257"/>
    <w:rsid w:val="00EE35CE"/>
    <w:rsid w:val="00EE3916"/>
    <w:rsid w:val="00EE3964"/>
    <w:rsid w:val="00EE3B00"/>
    <w:rsid w:val="00EE442F"/>
    <w:rsid w:val="00EE4446"/>
    <w:rsid w:val="00EE4465"/>
    <w:rsid w:val="00EE45B8"/>
    <w:rsid w:val="00EE4A2C"/>
    <w:rsid w:val="00EE4AA2"/>
    <w:rsid w:val="00EE4BBF"/>
    <w:rsid w:val="00EE4EC1"/>
    <w:rsid w:val="00EE5154"/>
    <w:rsid w:val="00EE554C"/>
    <w:rsid w:val="00EE56B6"/>
    <w:rsid w:val="00EE56C9"/>
    <w:rsid w:val="00EE5ADD"/>
    <w:rsid w:val="00EE5C77"/>
    <w:rsid w:val="00EE5D24"/>
    <w:rsid w:val="00EE5E56"/>
    <w:rsid w:val="00EE5F0D"/>
    <w:rsid w:val="00EE623A"/>
    <w:rsid w:val="00EE6344"/>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B6"/>
    <w:rsid w:val="00EF79D3"/>
    <w:rsid w:val="00EF7A3F"/>
    <w:rsid w:val="00EF7E61"/>
    <w:rsid w:val="00EF7EB9"/>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231"/>
    <w:rsid w:val="00F06830"/>
    <w:rsid w:val="00F06A6B"/>
    <w:rsid w:val="00F06D2A"/>
    <w:rsid w:val="00F06E36"/>
    <w:rsid w:val="00F07501"/>
    <w:rsid w:val="00F07789"/>
    <w:rsid w:val="00F101BC"/>
    <w:rsid w:val="00F102C5"/>
    <w:rsid w:val="00F104E1"/>
    <w:rsid w:val="00F10541"/>
    <w:rsid w:val="00F108F3"/>
    <w:rsid w:val="00F109AA"/>
    <w:rsid w:val="00F110EE"/>
    <w:rsid w:val="00F11159"/>
    <w:rsid w:val="00F11195"/>
    <w:rsid w:val="00F11230"/>
    <w:rsid w:val="00F115B0"/>
    <w:rsid w:val="00F11A18"/>
    <w:rsid w:val="00F11B05"/>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457"/>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122"/>
    <w:rsid w:val="00F2357D"/>
    <w:rsid w:val="00F23605"/>
    <w:rsid w:val="00F23DB4"/>
    <w:rsid w:val="00F23DC8"/>
    <w:rsid w:val="00F23F9F"/>
    <w:rsid w:val="00F2424F"/>
    <w:rsid w:val="00F2438C"/>
    <w:rsid w:val="00F2443F"/>
    <w:rsid w:val="00F24580"/>
    <w:rsid w:val="00F24607"/>
    <w:rsid w:val="00F247D4"/>
    <w:rsid w:val="00F24A48"/>
    <w:rsid w:val="00F24A59"/>
    <w:rsid w:val="00F25012"/>
    <w:rsid w:val="00F25485"/>
    <w:rsid w:val="00F25969"/>
    <w:rsid w:val="00F25E1A"/>
    <w:rsid w:val="00F26131"/>
    <w:rsid w:val="00F262FC"/>
    <w:rsid w:val="00F26331"/>
    <w:rsid w:val="00F2658D"/>
    <w:rsid w:val="00F26666"/>
    <w:rsid w:val="00F26E9E"/>
    <w:rsid w:val="00F26F51"/>
    <w:rsid w:val="00F26F8E"/>
    <w:rsid w:val="00F2708E"/>
    <w:rsid w:val="00F270A8"/>
    <w:rsid w:val="00F271CD"/>
    <w:rsid w:val="00F2722B"/>
    <w:rsid w:val="00F272C0"/>
    <w:rsid w:val="00F276C5"/>
    <w:rsid w:val="00F277CB"/>
    <w:rsid w:val="00F279D3"/>
    <w:rsid w:val="00F27AAF"/>
    <w:rsid w:val="00F27AC7"/>
    <w:rsid w:val="00F27B03"/>
    <w:rsid w:val="00F27C90"/>
    <w:rsid w:val="00F27F89"/>
    <w:rsid w:val="00F30122"/>
    <w:rsid w:val="00F30754"/>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60B"/>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6953"/>
    <w:rsid w:val="00F3716D"/>
    <w:rsid w:val="00F37280"/>
    <w:rsid w:val="00F37762"/>
    <w:rsid w:val="00F377AF"/>
    <w:rsid w:val="00F37864"/>
    <w:rsid w:val="00F37875"/>
    <w:rsid w:val="00F3793F"/>
    <w:rsid w:val="00F37C56"/>
    <w:rsid w:val="00F37EB0"/>
    <w:rsid w:val="00F37FA3"/>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0A6"/>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539"/>
    <w:rsid w:val="00F5061E"/>
    <w:rsid w:val="00F506CE"/>
    <w:rsid w:val="00F50D44"/>
    <w:rsid w:val="00F50DDB"/>
    <w:rsid w:val="00F50E6A"/>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68E"/>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986"/>
    <w:rsid w:val="00F62A35"/>
    <w:rsid w:val="00F62CC8"/>
    <w:rsid w:val="00F63311"/>
    <w:rsid w:val="00F63851"/>
    <w:rsid w:val="00F63A58"/>
    <w:rsid w:val="00F63E86"/>
    <w:rsid w:val="00F64115"/>
    <w:rsid w:val="00F6413D"/>
    <w:rsid w:val="00F6434A"/>
    <w:rsid w:val="00F646F5"/>
    <w:rsid w:val="00F64751"/>
    <w:rsid w:val="00F64AF4"/>
    <w:rsid w:val="00F64E90"/>
    <w:rsid w:val="00F65515"/>
    <w:rsid w:val="00F6564C"/>
    <w:rsid w:val="00F65CC6"/>
    <w:rsid w:val="00F65D6B"/>
    <w:rsid w:val="00F65FCB"/>
    <w:rsid w:val="00F66039"/>
    <w:rsid w:val="00F66117"/>
    <w:rsid w:val="00F661DC"/>
    <w:rsid w:val="00F664DE"/>
    <w:rsid w:val="00F66AFB"/>
    <w:rsid w:val="00F670CE"/>
    <w:rsid w:val="00F6720F"/>
    <w:rsid w:val="00F673B6"/>
    <w:rsid w:val="00F67603"/>
    <w:rsid w:val="00F6765F"/>
    <w:rsid w:val="00F6796C"/>
    <w:rsid w:val="00F67AA3"/>
    <w:rsid w:val="00F67BC2"/>
    <w:rsid w:val="00F67E5B"/>
    <w:rsid w:val="00F67F9C"/>
    <w:rsid w:val="00F70381"/>
    <w:rsid w:val="00F709B2"/>
    <w:rsid w:val="00F70B5F"/>
    <w:rsid w:val="00F71078"/>
    <w:rsid w:val="00F7118F"/>
    <w:rsid w:val="00F712A5"/>
    <w:rsid w:val="00F71364"/>
    <w:rsid w:val="00F7141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3965"/>
    <w:rsid w:val="00F742FE"/>
    <w:rsid w:val="00F74427"/>
    <w:rsid w:val="00F7480D"/>
    <w:rsid w:val="00F74B21"/>
    <w:rsid w:val="00F74BC8"/>
    <w:rsid w:val="00F7520F"/>
    <w:rsid w:val="00F753AA"/>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31"/>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45D"/>
    <w:rsid w:val="00F91A11"/>
    <w:rsid w:val="00F91A18"/>
    <w:rsid w:val="00F91F66"/>
    <w:rsid w:val="00F92025"/>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4F2A"/>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23C"/>
    <w:rsid w:val="00FA04D6"/>
    <w:rsid w:val="00FA04EF"/>
    <w:rsid w:val="00FA04F0"/>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3146"/>
    <w:rsid w:val="00FA31E3"/>
    <w:rsid w:val="00FA35E8"/>
    <w:rsid w:val="00FA3A0A"/>
    <w:rsid w:val="00FA3E96"/>
    <w:rsid w:val="00FA4329"/>
    <w:rsid w:val="00FA47DA"/>
    <w:rsid w:val="00FA4906"/>
    <w:rsid w:val="00FA4A13"/>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2FB"/>
    <w:rsid w:val="00FC592E"/>
    <w:rsid w:val="00FC5937"/>
    <w:rsid w:val="00FC5FD2"/>
    <w:rsid w:val="00FC5FDD"/>
    <w:rsid w:val="00FC608D"/>
    <w:rsid w:val="00FC60A5"/>
    <w:rsid w:val="00FC617F"/>
    <w:rsid w:val="00FC6372"/>
    <w:rsid w:val="00FC63C2"/>
    <w:rsid w:val="00FC64F6"/>
    <w:rsid w:val="00FC656F"/>
    <w:rsid w:val="00FC672F"/>
    <w:rsid w:val="00FC6C1F"/>
    <w:rsid w:val="00FC6C6D"/>
    <w:rsid w:val="00FC6C8E"/>
    <w:rsid w:val="00FC6CCF"/>
    <w:rsid w:val="00FC720C"/>
    <w:rsid w:val="00FC73EB"/>
    <w:rsid w:val="00FC74F4"/>
    <w:rsid w:val="00FD0BB7"/>
    <w:rsid w:val="00FD0CD2"/>
    <w:rsid w:val="00FD0E43"/>
    <w:rsid w:val="00FD0F39"/>
    <w:rsid w:val="00FD1555"/>
    <w:rsid w:val="00FD15B5"/>
    <w:rsid w:val="00FD1856"/>
    <w:rsid w:val="00FD1BD1"/>
    <w:rsid w:val="00FD1EA3"/>
    <w:rsid w:val="00FD1F28"/>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A4C"/>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A79"/>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AE"/>
    <w:rsid w:val="00FE04B8"/>
    <w:rsid w:val="00FE0523"/>
    <w:rsid w:val="00FE07C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BBF"/>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88D"/>
    <w:rsid w:val="00FE6A92"/>
    <w:rsid w:val="00FE6B9A"/>
    <w:rsid w:val="00FE6FB2"/>
    <w:rsid w:val="00FE7026"/>
    <w:rsid w:val="00FE738E"/>
    <w:rsid w:val="00FE7614"/>
    <w:rsid w:val="00FE76B0"/>
    <w:rsid w:val="00FE7B92"/>
    <w:rsid w:val="00FF0004"/>
    <w:rsid w:val="00FF0264"/>
    <w:rsid w:val="00FF037E"/>
    <w:rsid w:val="00FF0476"/>
    <w:rsid w:val="00FF04A0"/>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01C"/>
    <w:rsid w:val="00FF524E"/>
    <w:rsid w:val="00FF52B6"/>
    <w:rsid w:val="00FF562A"/>
    <w:rsid w:val="00FF56EE"/>
    <w:rsid w:val="00FF56F6"/>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qFormat="1"/>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457"/>
    <w:pPr>
      <w:spacing w:after="240"/>
      <w:jc w:val="both"/>
    </w:pPr>
    <w:rPr>
      <w:rFonts w:ascii="Courier New" w:hAnsi="Courier New"/>
      <w:sz w:val="24"/>
      <w:lang w:val="fr-FR"/>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uiPriority w:val="99"/>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uiPriority w:val="99"/>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uiPriority w:val="99"/>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uiPriority w:val="99"/>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 w:type="character" w:customStyle="1" w:styleId="Briefinglist1Char">
    <w:name w:val="Briefing list 1 Char"/>
    <w:link w:val="Briefinglist1"/>
    <w:locked/>
    <w:rsid w:val="0078771B"/>
    <w:rPr>
      <w:sz w:val="24"/>
      <w:szCs w:val="24"/>
    </w:rPr>
  </w:style>
  <w:style w:type="character" w:customStyle="1" w:styleId="lblnewsfulltext">
    <w:name w:val="lblnewsfulltext"/>
    <w:rsid w:val="00B571A4"/>
  </w:style>
  <w:style w:type="table" w:styleId="TableClassic1">
    <w:name w:val="Table Classic 1"/>
    <w:basedOn w:val="TableNormal"/>
    <w:rsid w:val="00AF10C6"/>
    <w:pPr>
      <w:spacing w:after="240"/>
      <w:jc w:val="both"/>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xt1">
    <w:name w:val="111111"/>
    <w:pPr>
      <w:numPr>
        <w:numId w:val="21"/>
      </w:numPr>
    </w:pPr>
  </w:style>
  <w:style w:type="numbering" w:customStyle="1" w:styleId="Text2">
    <w:name w:val="ImportedStyle1"/>
    <w:pPr>
      <w:numPr>
        <w:numId w:val="23"/>
      </w:numPr>
    </w:pPr>
  </w:style>
  <w:style w:type="numbering" w:customStyle="1" w:styleId="Text3">
    <w:name w:val="WWNum1"/>
    <w:pPr>
      <w:numPr>
        <w:numId w:val="25"/>
      </w:numPr>
    </w:pPr>
  </w:style>
  <w:style w:type="numbering" w:customStyle="1" w:styleId="Text4">
    <w:name w:val="ImportedStyle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842936704">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627081346">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 w:id="2086100855">
      <w:bodyDiv w:val="1"/>
      <w:marLeft w:val="0"/>
      <w:marRight w:val="0"/>
      <w:marTop w:val="0"/>
      <w:marBottom w:val="0"/>
      <w:divBdr>
        <w:top w:val="none" w:sz="0" w:space="0" w:color="auto"/>
        <w:left w:val="none" w:sz="0" w:space="0" w:color="auto"/>
        <w:bottom w:val="none" w:sz="0" w:space="0" w:color="auto"/>
        <w:right w:val="none" w:sz="0" w:space="0" w:color="auto"/>
      </w:divBdr>
    </w:div>
    <w:div w:id="213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A7825-8456-4FD3-AFAE-4FA6F2B1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2</TotalTime>
  <Pages>4</Pages>
  <Words>1808</Words>
  <Characters>10311</Characters>
  <Application>Microsoft Office Word</Application>
  <DocSecurity>0</DocSecurity>
  <PresentationFormat>Microsoft Word 8.0b</PresentationFormat>
  <Lines>85</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12095</CharactersWithSpaces>
  <SharedDoc>false</SharedDoc>
  <HLinks>
    <vt:vector size="54" baseType="variant">
      <vt:variant>
        <vt:i4>1376266</vt:i4>
      </vt:variant>
      <vt:variant>
        <vt:i4>21</vt:i4>
      </vt:variant>
      <vt:variant>
        <vt:i4>0</vt:i4>
      </vt:variant>
      <vt:variant>
        <vt:i4>5</vt:i4>
      </vt:variant>
      <vt:variant>
        <vt:lpwstr>http://www.europarl.europa.eu/sides/getDoc.do?type=REPORT&amp;reference=A8-2017-0389&amp;language=EN</vt:lpwstr>
      </vt:variant>
      <vt:variant>
        <vt:lpwstr/>
      </vt:variant>
      <vt:variant>
        <vt:i4>6684726</vt:i4>
      </vt:variant>
      <vt:variant>
        <vt:i4>18</vt:i4>
      </vt:variant>
      <vt:variant>
        <vt:i4>0</vt:i4>
      </vt:variant>
      <vt:variant>
        <vt:i4>5</vt:i4>
      </vt:variant>
      <vt:variant>
        <vt:lpwstr>https://cohesiondata.ec.europa.eu/</vt:lpwstr>
      </vt:variant>
      <vt:variant>
        <vt:lpwstr/>
      </vt:variant>
      <vt:variant>
        <vt:i4>7667755</vt:i4>
      </vt:variant>
      <vt:variant>
        <vt:i4>15</vt:i4>
      </vt:variant>
      <vt:variant>
        <vt:i4>0</vt:i4>
      </vt:variant>
      <vt:variant>
        <vt:i4>5</vt:i4>
      </vt:variant>
      <vt:variant>
        <vt:lpwstr>http://ec.europa.eu/social/main.jsp?catId=738&amp;langId=en&amp;pubId=7931</vt:lpwstr>
      </vt:variant>
      <vt:variant>
        <vt:lpwstr/>
      </vt:variant>
      <vt:variant>
        <vt:i4>2097235</vt:i4>
      </vt:variant>
      <vt:variant>
        <vt:i4>12</vt:i4>
      </vt:variant>
      <vt:variant>
        <vt:i4>0</vt:i4>
      </vt:variant>
      <vt:variant>
        <vt:i4>5</vt:i4>
      </vt:variant>
      <vt:variant>
        <vt:lpwstr>http://ec.europa.eu/regional_policy/en/policy/how/stages-step-by-step/strategic-report/</vt:lpwstr>
      </vt:variant>
      <vt:variant>
        <vt:lpwstr/>
      </vt:variant>
      <vt:variant>
        <vt:i4>5505100</vt:i4>
      </vt:variant>
      <vt:variant>
        <vt:i4>9</vt:i4>
      </vt:variant>
      <vt:variant>
        <vt:i4>0</vt:i4>
      </vt:variant>
      <vt:variant>
        <vt:i4>5</vt:i4>
      </vt:variant>
      <vt:variant>
        <vt:lpwstr>http://ec.europa.eu/social/main.jsp?catId=1327&amp;langId=en</vt:lpwstr>
      </vt:variant>
      <vt:variant>
        <vt:lpwstr/>
      </vt:variant>
      <vt:variant>
        <vt:i4>2097235</vt:i4>
      </vt:variant>
      <vt:variant>
        <vt:i4>6</vt:i4>
      </vt:variant>
      <vt:variant>
        <vt:i4>0</vt:i4>
      </vt:variant>
      <vt:variant>
        <vt:i4>5</vt:i4>
      </vt:variant>
      <vt:variant>
        <vt:lpwstr>http://ec.europa.eu/regional_policy/en/policy/how/stages-step-by-step/strategic-report/</vt:lpwstr>
      </vt:variant>
      <vt:variant>
        <vt:lpwstr/>
      </vt:variant>
      <vt:variant>
        <vt:i4>3997748</vt:i4>
      </vt:variant>
      <vt:variant>
        <vt:i4>3</vt:i4>
      </vt:variant>
      <vt:variant>
        <vt:i4>0</vt:i4>
      </vt:variant>
      <vt:variant>
        <vt:i4>5</vt:i4>
      </vt:variant>
      <vt:variant>
        <vt:lpwstr>https://cohesiondata.ec.europa.eu/funds/yei</vt:lpwstr>
      </vt:variant>
      <vt:variant>
        <vt:lpwstr/>
      </vt:variant>
      <vt:variant>
        <vt:i4>5308492</vt:i4>
      </vt:variant>
      <vt:variant>
        <vt:i4>0</vt:i4>
      </vt:variant>
      <vt:variant>
        <vt:i4>0</vt:i4>
      </vt:variant>
      <vt:variant>
        <vt:i4>5</vt:i4>
      </vt:variant>
      <vt:variant>
        <vt:lpwstr>http://ec.europa.eu/social/main.jsp?catId=1223&amp;langId=en</vt:lpwstr>
      </vt:variant>
      <vt:variant>
        <vt:lpwstr/>
      </vt:variant>
      <vt:variant>
        <vt:i4>7143437</vt:i4>
      </vt:variant>
      <vt:variant>
        <vt:i4>0</vt:i4>
      </vt:variant>
      <vt:variant>
        <vt:i4>0</vt:i4>
      </vt:variant>
      <vt:variant>
        <vt:i4>5</vt:i4>
      </vt:variant>
      <vt:variant>
        <vt:lpwstr>https://www.eurofound.europa.eu/sites/default/files/ef_publication/field_ef_document/ef1602en.pdf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3</cp:revision>
  <cp:lastPrinted>2018-09-04T13:45:00Z</cp:lastPrinted>
  <dcterms:created xsi:type="dcterms:W3CDTF">2018-11-13T07:36:00Z</dcterms:created>
  <dcterms:modified xsi:type="dcterms:W3CDTF">2018-11-13T07:38:00Z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