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89" w:rsidRPr="00331DB9" w:rsidRDefault="00494589">
      <w:pPr>
        <w:spacing w:after="600"/>
        <w:jc w:val="center"/>
        <w:rPr>
          <w:rFonts w:ascii="Times New Roman" w:hAnsi="Times New Roman"/>
          <w:b/>
        </w:rPr>
      </w:pPr>
      <w:r w:rsidRPr="00331DB9">
        <w:rPr>
          <w:rFonts w:ascii="Times New Roman" w:hAnsi="Times New Roman"/>
          <w:b/>
          <w:bCs/>
        </w:rPr>
        <w:t xml:space="preserve">Follow up to the </w:t>
      </w:r>
      <w:r w:rsidRPr="00331DB9">
        <w:rPr>
          <w:rFonts w:ascii="Times New Roman" w:hAnsi="Times New Roman"/>
          <w:b/>
        </w:rPr>
        <w:t xml:space="preserve">European Parliament </w:t>
      </w:r>
      <w:r>
        <w:rPr>
          <w:rFonts w:ascii="Times New Roman" w:hAnsi="Times New Roman"/>
          <w:b/>
          <w:szCs w:val="24"/>
        </w:rPr>
        <w:t xml:space="preserve">non-legislative </w:t>
      </w:r>
      <w:r w:rsidR="00F753AA">
        <w:rPr>
          <w:rFonts w:ascii="Times New Roman" w:hAnsi="Times New Roman"/>
          <w:b/>
        </w:rPr>
        <w:t xml:space="preserve">resolution </w:t>
      </w:r>
      <w:r w:rsidRPr="00331DB9">
        <w:rPr>
          <w:rFonts w:ascii="Times New Roman" w:hAnsi="Times New Roman"/>
          <w:b/>
        </w:rPr>
        <w:t>of</w:t>
      </w:r>
      <w:r>
        <w:rPr>
          <w:rFonts w:ascii="Times New Roman" w:hAnsi="Times New Roman"/>
          <w:b/>
        </w:rPr>
        <w:t xml:space="preserve"> 30 May 2018</w:t>
      </w:r>
      <w:r w:rsidR="00F753AA">
        <w:rPr>
          <w:rFonts w:ascii="Times New Roman" w:hAnsi="Times New Roman"/>
          <w:b/>
        </w:rPr>
        <w:br/>
      </w:r>
      <w:r w:rsidRPr="00331DB9">
        <w:rPr>
          <w:rFonts w:ascii="Times New Roman" w:hAnsi="Times New Roman"/>
          <w:b/>
        </w:rPr>
        <w:t>on</w:t>
      </w:r>
      <w:r>
        <w:rPr>
          <w:rFonts w:ascii="Times New Roman" w:hAnsi="Times New Roman"/>
          <w:b/>
        </w:rPr>
        <w:t xml:space="preserve"> the annual report on the implementation of the </w:t>
      </w:r>
      <w:r w:rsidR="005F2107">
        <w:rPr>
          <w:rFonts w:ascii="Times New Roman" w:hAnsi="Times New Roman"/>
          <w:b/>
        </w:rPr>
        <w:t>c</w:t>
      </w:r>
      <w:r>
        <w:rPr>
          <w:rFonts w:ascii="Times New Roman" w:hAnsi="Times New Roman"/>
          <w:b/>
        </w:rPr>
        <w:t xml:space="preserve">ommon </w:t>
      </w:r>
      <w:r w:rsidR="005F2107">
        <w:rPr>
          <w:rFonts w:ascii="Times New Roman" w:hAnsi="Times New Roman"/>
          <w:b/>
        </w:rPr>
        <w:t>c</w:t>
      </w:r>
      <w:r>
        <w:rPr>
          <w:rFonts w:ascii="Times New Roman" w:hAnsi="Times New Roman"/>
          <w:b/>
        </w:rPr>
        <w:t xml:space="preserve">ommercial </w:t>
      </w:r>
      <w:r w:rsidR="005F2107">
        <w:rPr>
          <w:rFonts w:ascii="Times New Roman" w:hAnsi="Times New Roman"/>
          <w:b/>
        </w:rPr>
        <w:t>p</w:t>
      </w:r>
      <w:r>
        <w:rPr>
          <w:rFonts w:ascii="Times New Roman" w:hAnsi="Times New Roman"/>
          <w:b/>
        </w:rPr>
        <w:t>olicy</w:t>
      </w:r>
    </w:p>
    <w:p w:rsidR="00494589" w:rsidRPr="002B765A" w:rsidRDefault="00494589">
      <w:pPr>
        <w:spacing w:after="600"/>
        <w:ind w:right="-28"/>
        <w:jc w:val="center"/>
        <w:rPr>
          <w:rFonts w:ascii="Times New Roman" w:hAnsi="Times New Roman"/>
          <w:b/>
        </w:rPr>
      </w:pPr>
      <w:r w:rsidRPr="002B765A">
        <w:rPr>
          <w:rFonts w:ascii="Times New Roman" w:hAnsi="Times New Roman"/>
          <w:b/>
          <w:color w:val="000000"/>
          <w:szCs w:val="24"/>
          <w:lang w:eastAsia="fr-FR"/>
        </w:rPr>
        <w:t>2017/2070</w:t>
      </w:r>
      <w:r w:rsidR="00A1521C" w:rsidRPr="002B765A">
        <w:rPr>
          <w:rFonts w:ascii="Times New Roman" w:hAnsi="Times New Roman"/>
          <w:b/>
          <w:color w:val="000000"/>
          <w:szCs w:val="24"/>
          <w:lang w:eastAsia="fr-FR"/>
        </w:rPr>
        <w:t> </w:t>
      </w:r>
      <w:r w:rsidRPr="002B765A">
        <w:rPr>
          <w:rFonts w:ascii="Times New Roman" w:hAnsi="Times New Roman"/>
          <w:b/>
          <w:color w:val="000000"/>
          <w:szCs w:val="24"/>
          <w:lang w:eastAsia="fr-FR"/>
        </w:rPr>
        <w:t>(</w:t>
      </w:r>
      <w:r w:rsidRPr="002B765A">
        <w:rPr>
          <w:rFonts w:ascii="Times New Roman" w:hAnsi="Times New Roman"/>
          <w:b/>
        </w:rPr>
        <w:t>INI)</w:t>
      </w:r>
    </w:p>
    <w:p w:rsidR="00494589" w:rsidRPr="002B765A" w:rsidRDefault="00494589" w:rsidP="005A4609">
      <w:pPr>
        <w:ind w:left="567" w:right="-28" w:hanging="567"/>
        <w:rPr>
          <w:rFonts w:ascii="Times New Roman" w:hAnsi="Times New Roman"/>
          <w:b/>
          <w:szCs w:val="24"/>
        </w:rPr>
      </w:pPr>
      <w:r w:rsidRPr="002B765A">
        <w:rPr>
          <w:rFonts w:ascii="Times New Roman" w:hAnsi="Times New Roman"/>
          <w:b/>
          <w:szCs w:val="24"/>
        </w:rPr>
        <w:t>1.</w:t>
      </w:r>
      <w:r w:rsidRPr="002B765A">
        <w:rPr>
          <w:rFonts w:ascii="Times New Roman" w:hAnsi="Times New Roman"/>
          <w:b/>
          <w:szCs w:val="24"/>
        </w:rPr>
        <w:tab/>
        <w:t xml:space="preserve">Rapporteur: </w:t>
      </w:r>
      <w:r w:rsidRPr="002B765A">
        <w:rPr>
          <w:rFonts w:ascii="Times New Roman" w:hAnsi="Times New Roman"/>
          <w:szCs w:val="24"/>
        </w:rPr>
        <w:t>Tokia SAÏFI (EPP/FR)</w:t>
      </w:r>
    </w:p>
    <w:p w:rsidR="00494589" w:rsidRPr="00FC09CC" w:rsidRDefault="00494589" w:rsidP="005A4609">
      <w:pPr>
        <w:ind w:left="567" w:right="-28" w:hanging="567"/>
        <w:rPr>
          <w:rFonts w:ascii="Times New Roman" w:hAnsi="Times New Roman"/>
          <w:b/>
          <w:i/>
          <w:szCs w:val="24"/>
        </w:rPr>
      </w:pPr>
      <w:r>
        <w:rPr>
          <w:rFonts w:ascii="Times New Roman" w:hAnsi="Times New Roman"/>
          <w:b/>
          <w:szCs w:val="24"/>
        </w:rPr>
        <w:t>2.</w:t>
      </w:r>
      <w:r>
        <w:rPr>
          <w:rFonts w:ascii="Times New Roman" w:hAnsi="Times New Roman"/>
          <w:b/>
          <w:szCs w:val="24"/>
        </w:rPr>
        <w:tab/>
      </w:r>
      <w:r w:rsidRPr="00747D86">
        <w:rPr>
          <w:rFonts w:ascii="Times New Roman" w:hAnsi="Times New Roman"/>
          <w:b/>
          <w:szCs w:val="24"/>
        </w:rPr>
        <w:t>EP reference number</w:t>
      </w:r>
      <w:r w:rsidRPr="000E1EE0">
        <w:rPr>
          <w:rFonts w:ascii="Times New Roman" w:hAnsi="Times New Roman"/>
          <w:b/>
          <w:szCs w:val="24"/>
        </w:rPr>
        <w:t>:</w:t>
      </w:r>
      <w:r w:rsidR="00723EF0">
        <w:rPr>
          <w:rFonts w:ascii="Times New Roman" w:hAnsi="Times New Roman"/>
          <w:b/>
          <w:szCs w:val="24"/>
        </w:rPr>
        <w:t xml:space="preserve"> </w:t>
      </w:r>
      <w:r w:rsidR="00723EF0" w:rsidRPr="005A4609">
        <w:rPr>
          <w:rFonts w:ascii="Times New Roman" w:hAnsi="Times New Roman"/>
          <w:szCs w:val="24"/>
        </w:rPr>
        <w:t>A8-0166/2018 /</w:t>
      </w:r>
      <w:r w:rsidRPr="00FC09CC">
        <w:rPr>
          <w:rFonts w:ascii="Times New Roman" w:hAnsi="Times New Roman"/>
          <w:szCs w:val="24"/>
        </w:rPr>
        <w:t xml:space="preserve"> P8_TA-</w:t>
      </w:r>
      <w:proofErr w:type="gramStart"/>
      <w:r w:rsidRPr="00FC09CC">
        <w:rPr>
          <w:rFonts w:ascii="Times New Roman" w:hAnsi="Times New Roman"/>
          <w:szCs w:val="24"/>
        </w:rPr>
        <w:t>PROV(</w:t>
      </w:r>
      <w:proofErr w:type="gramEnd"/>
      <w:r w:rsidRPr="00FC09CC">
        <w:rPr>
          <w:rFonts w:ascii="Times New Roman" w:hAnsi="Times New Roman"/>
          <w:szCs w:val="24"/>
        </w:rPr>
        <w:t>2018)0230</w:t>
      </w:r>
    </w:p>
    <w:p w:rsidR="00494589" w:rsidRPr="00E07C2D" w:rsidRDefault="00494589" w:rsidP="005A4609">
      <w:pPr>
        <w:ind w:left="567" w:right="-28" w:hanging="567"/>
        <w:rPr>
          <w:rFonts w:ascii="Times New Roman" w:hAnsi="Times New Roman"/>
          <w:szCs w:val="24"/>
        </w:rPr>
      </w:pPr>
      <w:r>
        <w:rPr>
          <w:rFonts w:ascii="Times New Roman" w:hAnsi="Times New Roman"/>
          <w:b/>
          <w:szCs w:val="24"/>
        </w:rPr>
        <w:t>3.</w:t>
      </w:r>
      <w:r>
        <w:rPr>
          <w:rFonts w:ascii="Times New Roman" w:hAnsi="Times New Roman"/>
          <w:b/>
          <w:szCs w:val="24"/>
        </w:rPr>
        <w:tab/>
      </w:r>
      <w:r w:rsidRPr="005A00C3">
        <w:rPr>
          <w:rFonts w:ascii="Times New Roman" w:hAnsi="Times New Roman"/>
          <w:b/>
          <w:szCs w:val="24"/>
        </w:rPr>
        <w:t>Date of adoption of the</w:t>
      </w:r>
      <w:r w:rsidR="00F36953">
        <w:rPr>
          <w:rFonts w:ascii="Times New Roman" w:hAnsi="Times New Roman"/>
          <w:b/>
          <w:szCs w:val="24"/>
        </w:rPr>
        <w:t xml:space="preserve"> resolution</w:t>
      </w:r>
      <w:r w:rsidRPr="005A00C3">
        <w:rPr>
          <w:rFonts w:ascii="Times New Roman" w:hAnsi="Times New Roman"/>
          <w:b/>
          <w:szCs w:val="24"/>
        </w:rPr>
        <w:t>:</w:t>
      </w:r>
      <w:r w:rsidRPr="00FC09CC">
        <w:rPr>
          <w:rFonts w:ascii="Times New Roman" w:hAnsi="Times New Roman"/>
          <w:szCs w:val="24"/>
        </w:rPr>
        <w:t xml:space="preserve"> 30 May 2018</w:t>
      </w:r>
    </w:p>
    <w:p w:rsidR="00494589" w:rsidRPr="005A00C3" w:rsidRDefault="00494589" w:rsidP="005A4609">
      <w:pPr>
        <w:ind w:left="567" w:right="-28" w:hanging="567"/>
        <w:rPr>
          <w:rFonts w:ascii="Times New Roman" w:hAnsi="Times New Roman"/>
          <w:szCs w:val="24"/>
        </w:rPr>
      </w:pPr>
      <w:r>
        <w:rPr>
          <w:rFonts w:ascii="Times New Roman" w:hAnsi="Times New Roman"/>
          <w:b/>
          <w:szCs w:val="24"/>
        </w:rPr>
        <w:t>4.</w:t>
      </w:r>
      <w:r>
        <w:rPr>
          <w:rFonts w:ascii="Times New Roman" w:hAnsi="Times New Roman"/>
          <w:b/>
          <w:szCs w:val="24"/>
        </w:rPr>
        <w:tab/>
      </w:r>
      <w:r w:rsidRPr="005A00C3">
        <w:rPr>
          <w:rFonts w:ascii="Times New Roman" w:hAnsi="Times New Roman"/>
          <w:b/>
          <w:szCs w:val="24"/>
        </w:rPr>
        <w:t>Subject:</w:t>
      </w:r>
      <w:r w:rsidRPr="00BF260B">
        <w:rPr>
          <w:rFonts w:ascii="Times New Roman" w:hAnsi="Times New Roman"/>
          <w:szCs w:val="24"/>
        </w:rPr>
        <w:t xml:space="preserve"> </w:t>
      </w:r>
      <w:r>
        <w:rPr>
          <w:rFonts w:ascii="Times New Roman" w:hAnsi="Times New Roman"/>
          <w:szCs w:val="24"/>
        </w:rPr>
        <w:t>Annual report on the implementation of the Common Commercial Policy</w:t>
      </w:r>
    </w:p>
    <w:p w:rsidR="00494589" w:rsidRPr="00B127A9" w:rsidRDefault="00494589" w:rsidP="005A4609">
      <w:pPr>
        <w:ind w:left="567" w:right="-28" w:hanging="567"/>
        <w:rPr>
          <w:rFonts w:ascii="Times New Roman" w:hAnsi="Times New Roman"/>
          <w:i/>
          <w:szCs w:val="24"/>
        </w:rPr>
      </w:pPr>
      <w:r>
        <w:rPr>
          <w:rFonts w:ascii="Times New Roman" w:hAnsi="Times New Roman"/>
          <w:b/>
        </w:rPr>
        <w:t>5.</w:t>
      </w:r>
      <w:r>
        <w:rPr>
          <w:rFonts w:ascii="Times New Roman" w:hAnsi="Times New Roman"/>
          <w:b/>
        </w:rPr>
        <w:tab/>
      </w:r>
      <w:r w:rsidRPr="00EC0A27">
        <w:rPr>
          <w:rFonts w:ascii="Times New Roman" w:hAnsi="Times New Roman"/>
          <w:b/>
        </w:rPr>
        <w:t>Competent Parliamentary Committee</w:t>
      </w:r>
      <w:r w:rsidRPr="00C136EC">
        <w:rPr>
          <w:b/>
        </w:rPr>
        <w:t>:</w:t>
      </w:r>
      <w:r w:rsidRPr="002E7D0A">
        <w:t xml:space="preserve"> </w:t>
      </w:r>
      <w:r w:rsidRPr="00B2623A">
        <w:rPr>
          <w:rFonts w:ascii="Times New Roman" w:hAnsi="Times New Roman"/>
        </w:rPr>
        <w:t>Committee o</w:t>
      </w:r>
      <w:r>
        <w:rPr>
          <w:rFonts w:ascii="Times New Roman" w:hAnsi="Times New Roman"/>
        </w:rPr>
        <w:t>n International Trade (INTA)</w:t>
      </w:r>
    </w:p>
    <w:p w:rsidR="00494589" w:rsidRDefault="00494589" w:rsidP="005A4609">
      <w:pPr>
        <w:widowControl w:val="0"/>
        <w:ind w:left="567" w:right="-28" w:hanging="567"/>
        <w:rPr>
          <w:rFonts w:ascii="Times New Roman" w:hAnsi="Times New Roman"/>
          <w:szCs w:val="24"/>
        </w:rPr>
      </w:pPr>
      <w:r>
        <w:rPr>
          <w:rFonts w:ascii="Times New Roman" w:hAnsi="Times New Roman"/>
          <w:b/>
          <w:szCs w:val="24"/>
        </w:rPr>
        <w:t>6.</w:t>
      </w:r>
      <w:r>
        <w:rPr>
          <w:rFonts w:ascii="Times New Roman" w:hAnsi="Times New Roman"/>
          <w:b/>
          <w:szCs w:val="24"/>
        </w:rPr>
        <w:tab/>
      </w:r>
      <w:r w:rsidRPr="00747D86">
        <w:rPr>
          <w:rFonts w:ascii="Times New Roman" w:hAnsi="Times New Roman"/>
          <w:b/>
          <w:szCs w:val="24"/>
        </w:rPr>
        <w:t xml:space="preserve">Brief analysis/ assessment of the </w:t>
      </w:r>
      <w:r w:rsidR="00F36953">
        <w:rPr>
          <w:rFonts w:ascii="Times New Roman" w:hAnsi="Times New Roman"/>
          <w:b/>
          <w:szCs w:val="24"/>
        </w:rPr>
        <w:t xml:space="preserve">resolution </w:t>
      </w:r>
      <w:r w:rsidRPr="00747D86">
        <w:rPr>
          <w:rFonts w:ascii="Times New Roman" w:hAnsi="Times New Roman"/>
          <w:b/>
          <w:szCs w:val="24"/>
        </w:rPr>
        <w:t>and requests made in it:</w:t>
      </w:r>
      <w:r w:rsidRPr="00BF260B">
        <w:rPr>
          <w:rFonts w:ascii="Times New Roman" w:hAnsi="Times New Roman"/>
          <w:szCs w:val="24"/>
        </w:rPr>
        <w:t xml:space="preserve"> </w:t>
      </w:r>
    </w:p>
    <w:p w:rsidR="00494589" w:rsidRDefault="00494589" w:rsidP="005A4609">
      <w:pPr>
        <w:widowControl w:val="0"/>
        <w:spacing w:after="120"/>
        <w:ind w:right="-28"/>
        <w:rPr>
          <w:rFonts w:ascii="Times New Roman" w:hAnsi="Times New Roman"/>
          <w:szCs w:val="24"/>
        </w:rPr>
      </w:pPr>
      <w:r>
        <w:rPr>
          <w:rFonts w:ascii="Times New Roman" w:hAnsi="Times New Roman"/>
          <w:szCs w:val="24"/>
        </w:rPr>
        <w:t xml:space="preserve">The </w:t>
      </w:r>
      <w:r w:rsidR="008B7678">
        <w:rPr>
          <w:rFonts w:ascii="Times New Roman" w:hAnsi="Times New Roman"/>
          <w:szCs w:val="24"/>
        </w:rPr>
        <w:t xml:space="preserve">resolution </w:t>
      </w:r>
      <w:r>
        <w:rPr>
          <w:rFonts w:ascii="Times New Roman" w:hAnsi="Times New Roman"/>
          <w:szCs w:val="24"/>
        </w:rPr>
        <w:t xml:space="preserve">calls for </w:t>
      </w:r>
      <w:r w:rsidR="00723EF0">
        <w:rPr>
          <w:rFonts w:ascii="Times New Roman" w:hAnsi="Times New Roman"/>
          <w:szCs w:val="24"/>
        </w:rPr>
        <w:t xml:space="preserve">the </w:t>
      </w:r>
      <w:r>
        <w:rPr>
          <w:rFonts w:ascii="Times New Roman" w:hAnsi="Times New Roman"/>
          <w:szCs w:val="24"/>
        </w:rPr>
        <w:t>EU trade policy to address the changing international context since the Trade for All strategy was issued (paragraph</w:t>
      </w:r>
      <w:r w:rsidR="008D019C">
        <w:rPr>
          <w:rFonts w:ascii="Times New Roman" w:hAnsi="Times New Roman"/>
          <w:szCs w:val="24"/>
        </w:rPr>
        <w:t>s</w:t>
      </w:r>
      <w:r>
        <w:rPr>
          <w:rFonts w:ascii="Times New Roman" w:hAnsi="Times New Roman"/>
          <w:szCs w:val="24"/>
        </w:rPr>
        <w:t xml:space="preserve"> 1</w:t>
      </w:r>
      <w:r w:rsidR="00723EF0">
        <w:rPr>
          <w:rFonts w:ascii="Times New Roman" w:hAnsi="Times New Roman"/>
          <w:szCs w:val="24"/>
        </w:rPr>
        <w:t xml:space="preserve"> </w:t>
      </w:r>
      <w:r w:rsidR="008D019C">
        <w:rPr>
          <w:rFonts w:ascii="Times New Roman" w:hAnsi="Times New Roman"/>
          <w:szCs w:val="24"/>
        </w:rPr>
        <w:t xml:space="preserve">and </w:t>
      </w:r>
      <w:r>
        <w:rPr>
          <w:rFonts w:ascii="Times New Roman" w:hAnsi="Times New Roman"/>
          <w:szCs w:val="24"/>
        </w:rPr>
        <w:t xml:space="preserve">2) as well as the impact of Brexit (paragraph 4). The </w:t>
      </w:r>
      <w:r w:rsidR="00F36953">
        <w:rPr>
          <w:rFonts w:ascii="Times New Roman" w:hAnsi="Times New Roman"/>
          <w:szCs w:val="24"/>
        </w:rPr>
        <w:t xml:space="preserve">resolution </w:t>
      </w:r>
      <w:r>
        <w:rPr>
          <w:rFonts w:ascii="Times New Roman" w:hAnsi="Times New Roman"/>
          <w:szCs w:val="24"/>
        </w:rPr>
        <w:t xml:space="preserve">highlights the growing importance of services, calls for the protection of personal data in trade agreements as well as for advancing the EU's digital trade agenda (paragraph 3). Moreover, the </w:t>
      </w:r>
      <w:r w:rsidR="00F36953">
        <w:rPr>
          <w:rFonts w:ascii="Times New Roman" w:hAnsi="Times New Roman"/>
          <w:szCs w:val="24"/>
        </w:rPr>
        <w:t xml:space="preserve">resolution </w:t>
      </w:r>
      <w:r>
        <w:rPr>
          <w:rFonts w:ascii="Times New Roman" w:hAnsi="Times New Roman"/>
          <w:szCs w:val="24"/>
        </w:rPr>
        <w:t>calls for clarifying the future structure of free trade agreements (FTAs) in line with the Opinion 2/15</w:t>
      </w:r>
      <w:r w:rsidR="00723EF0">
        <w:rPr>
          <w:rFonts w:ascii="Times New Roman" w:hAnsi="Times New Roman"/>
          <w:szCs w:val="24"/>
        </w:rPr>
        <w:t xml:space="preserve"> of the Court of Justice of the EU</w:t>
      </w:r>
      <w:r>
        <w:rPr>
          <w:rFonts w:ascii="Times New Roman" w:hAnsi="Times New Roman"/>
          <w:szCs w:val="24"/>
        </w:rPr>
        <w:t xml:space="preserve"> (paragraph 5). The central role of the</w:t>
      </w:r>
      <w:r w:rsidR="00723EF0">
        <w:rPr>
          <w:rFonts w:ascii="Times New Roman" w:hAnsi="Times New Roman"/>
          <w:szCs w:val="24"/>
        </w:rPr>
        <w:t xml:space="preserve"> World Trade Organisation</w:t>
      </w:r>
      <w:r>
        <w:rPr>
          <w:rFonts w:ascii="Times New Roman" w:hAnsi="Times New Roman"/>
          <w:szCs w:val="24"/>
        </w:rPr>
        <w:t xml:space="preserve"> </w:t>
      </w:r>
      <w:r w:rsidR="00723EF0">
        <w:rPr>
          <w:rFonts w:ascii="Times New Roman" w:hAnsi="Times New Roman"/>
          <w:szCs w:val="24"/>
        </w:rPr>
        <w:t>(</w:t>
      </w:r>
      <w:r>
        <w:rPr>
          <w:rFonts w:ascii="Times New Roman" w:hAnsi="Times New Roman"/>
          <w:szCs w:val="24"/>
        </w:rPr>
        <w:t>WTO</w:t>
      </w:r>
      <w:r w:rsidR="00723EF0">
        <w:rPr>
          <w:rFonts w:ascii="Times New Roman" w:hAnsi="Times New Roman"/>
          <w:szCs w:val="24"/>
        </w:rPr>
        <w:t>)</w:t>
      </w:r>
      <w:r>
        <w:rPr>
          <w:rFonts w:ascii="Times New Roman" w:hAnsi="Times New Roman"/>
          <w:szCs w:val="24"/>
        </w:rPr>
        <w:t xml:space="preserve"> within the global trading system should be supported (paragraph 7) and </w:t>
      </w:r>
      <w:proofErr w:type="spellStart"/>
      <w:r>
        <w:rPr>
          <w:rFonts w:ascii="Times New Roman" w:hAnsi="Times New Roman"/>
          <w:szCs w:val="24"/>
        </w:rPr>
        <w:t>plurilateral</w:t>
      </w:r>
      <w:proofErr w:type="spellEnd"/>
      <w:r>
        <w:rPr>
          <w:rFonts w:ascii="Times New Roman" w:hAnsi="Times New Roman"/>
          <w:szCs w:val="24"/>
        </w:rPr>
        <w:t xml:space="preserve"> negotiations on services and environmental goods revived (paragraph 8). The </w:t>
      </w:r>
      <w:r w:rsidR="00F36953">
        <w:rPr>
          <w:rFonts w:ascii="Times New Roman" w:hAnsi="Times New Roman"/>
          <w:szCs w:val="24"/>
        </w:rPr>
        <w:t xml:space="preserve">resolution </w:t>
      </w:r>
      <w:r>
        <w:rPr>
          <w:rFonts w:ascii="Times New Roman" w:hAnsi="Times New Roman"/>
          <w:szCs w:val="24"/>
        </w:rPr>
        <w:t xml:space="preserve">asks for </w:t>
      </w:r>
      <w:r w:rsidR="00723EF0">
        <w:rPr>
          <w:rFonts w:ascii="Times New Roman" w:hAnsi="Times New Roman"/>
          <w:szCs w:val="24"/>
        </w:rPr>
        <w:t xml:space="preserve">the </w:t>
      </w:r>
      <w:r>
        <w:rPr>
          <w:rFonts w:ascii="Times New Roman" w:hAnsi="Times New Roman"/>
          <w:szCs w:val="24"/>
        </w:rPr>
        <w:t>bilateral negotiations on investment with China (paragraph 10), Hong</w:t>
      </w:r>
      <w:r w:rsidR="008D019C">
        <w:rPr>
          <w:rFonts w:ascii="Times New Roman" w:hAnsi="Times New Roman"/>
          <w:szCs w:val="24"/>
        </w:rPr>
        <w:t> </w:t>
      </w:r>
      <w:r>
        <w:rPr>
          <w:rFonts w:ascii="Times New Roman" w:hAnsi="Times New Roman"/>
          <w:szCs w:val="24"/>
        </w:rPr>
        <w:t>Kong and Taiwan (paragraph 13) to be advanced.</w:t>
      </w:r>
    </w:p>
    <w:p w:rsidR="00494589" w:rsidRDefault="00494589" w:rsidP="005A4609">
      <w:pPr>
        <w:widowControl w:val="0"/>
        <w:spacing w:after="120"/>
        <w:ind w:right="-28"/>
        <w:rPr>
          <w:rFonts w:ascii="Times New Roman" w:hAnsi="Times New Roman"/>
          <w:szCs w:val="24"/>
        </w:rPr>
      </w:pPr>
      <w:r>
        <w:rPr>
          <w:rFonts w:ascii="Times New Roman" w:hAnsi="Times New Roman"/>
          <w:szCs w:val="24"/>
        </w:rPr>
        <w:t xml:space="preserve">The </w:t>
      </w:r>
      <w:r w:rsidR="00F36953">
        <w:rPr>
          <w:rFonts w:ascii="Times New Roman" w:hAnsi="Times New Roman"/>
          <w:szCs w:val="24"/>
        </w:rPr>
        <w:t xml:space="preserve">resolution </w:t>
      </w:r>
      <w:r>
        <w:rPr>
          <w:rFonts w:ascii="Times New Roman" w:hAnsi="Times New Roman"/>
          <w:szCs w:val="24"/>
        </w:rPr>
        <w:t>calls for trade policy implementation to become an integral part of the EU's trade strategy (paragraphs 22</w:t>
      </w:r>
      <w:r w:rsidR="008D019C">
        <w:rPr>
          <w:rFonts w:ascii="Times New Roman" w:hAnsi="Times New Roman"/>
          <w:szCs w:val="24"/>
        </w:rPr>
        <w:t xml:space="preserve"> and </w:t>
      </w:r>
      <w:r>
        <w:rPr>
          <w:rFonts w:ascii="Times New Roman" w:hAnsi="Times New Roman"/>
          <w:szCs w:val="24"/>
        </w:rPr>
        <w:t xml:space="preserve">34) and lists a number of actions for the Commission to undertake in this respect, such as addressing implementation problems with relevant EU </w:t>
      </w:r>
      <w:proofErr w:type="gramStart"/>
      <w:r>
        <w:rPr>
          <w:rFonts w:ascii="Times New Roman" w:hAnsi="Times New Roman"/>
          <w:szCs w:val="24"/>
        </w:rPr>
        <w:t>trade</w:t>
      </w:r>
      <w:proofErr w:type="gramEnd"/>
      <w:r>
        <w:rPr>
          <w:rFonts w:ascii="Times New Roman" w:hAnsi="Times New Roman"/>
          <w:szCs w:val="24"/>
        </w:rPr>
        <w:t xml:space="preserve"> partners (paragraph 34), using available dispute settlement procedures (paragraph 23) or helping EU companies make better use of existing FTAs (paragraphs 17, 25</w:t>
      </w:r>
      <w:r w:rsidR="008D019C">
        <w:rPr>
          <w:rFonts w:ascii="Times New Roman" w:hAnsi="Times New Roman"/>
          <w:szCs w:val="24"/>
        </w:rPr>
        <w:t xml:space="preserve"> and </w:t>
      </w:r>
      <w:r w:rsidRPr="0061339F">
        <w:rPr>
          <w:rFonts w:ascii="Times New Roman" w:hAnsi="Times New Roman"/>
          <w:szCs w:val="24"/>
        </w:rPr>
        <w:t>33)</w:t>
      </w:r>
      <w:r>
        <w:rPr>
          <w:rFonts w:ascii="Times New Roman" w:hAnsi="Times New Roman"/>
          <w:szCs w:val="24"/>
        </w:rPr>
        <w:t>.</w:t>
      </w:r>
    </w:p>
    <w:p w:rsidR="00494589" w:rsidRDefault="00494589" w:rsidP="005A4609">
      <w:pPr>
        <w:widowControl w:val="0"/>
        <w:spacing w:after="120"/>
        <w:ind w:right="-28"/>
        <w:rPr>
          <w:rFonts w:ascii="Times New Roman" w:hAnsi="Times New Roman"/>
          <w:szCs w:val="24"/>
        </w:rPr>
      </w:pPr>
      <w:r>
        <w:rPr>
          <w:rFonts w:ascii="Times New Roman" w:hAnsi="Times New Roman"/>
          <w:szCs w:val="24"/>
        </w:rPr>
        <w:t xml:space="preserve">The </w:t>
      </w:r>
      <w:r w:rsidR="00F36953">
        <w:rPr>
          <w:rFonts w:ascii="Times New Roman" w:hAnsi="Times New Roman"/>
          <w:szCs w:val="24"/>
        </w:rPr>
        <w:t xml:space="preserve">resolution </w:t>
      </w:r>
      <w:r>
        <w:rPr>
          <w:rFonts w:ascii="Times New Roman" w:hAnsi="Times New Roman"/>
          <w:szCs w:val="24"/>
        </w:rPr>
        <w:t>welcomes the first Commission report on the implementation of FTAs and calls</w:t>
      </w:r>
      <w:r w:rsidRPr="00E50970">
        <w:rPr>
          <w:rFonts w:ascii="Times New Roman" w:hAnsi="Times New Roman"/>
          <w:szCs w:val="24"/>
        </w:rPr>
        <w:t xml:space="preserve"> </w:t>
      </w:r>
      <w:r>
        <w:rPr>
          <w:rFonts w:ascii="Times New Roman" w:hAnsi="Times New Roman"/>
          <w:szCs w:val="24"/>
        </w:rPr>
        <w:t xml:space="preserve">for a number of improvements, such as more in-depth  and comprehensive studies on implementation including econometric and qualitative analysis, recommendations and context information (paragraph 30); closer cooperation with Member States and partner countries to obtain more data and information on implementation; information on the impact of FTAs on growth, jobs, services, trade and investment flows (paragraph 32); </w:t>
      </w:r>
      <w:r w:rsidR="00723EF0">
        <w:rPr>
          <w:rFonts w:ascii="Times New Roman" w:hAnsi="Times New Roman"/>
          <w:szCs w:val="24"/>
        </w:rPr>
        <w:t>Small and Medium Enterprises (</w:t>
      </w:r>
      <w:r>
        <w:rPr>
          <w:rFonts w:ascii="Times New Roman" w:hAnsi="Times New Roman"/>
          <w:szCs w:val="24"/>
        </w:rPr>
        <w:t>SME</w:t>
      </w:r>
      <w:r w:rsidR="00723EF0">
        <w:rPr>
          <w:rFonts w:ascii="Times New Roman" w:hAnsi="Times New Roman"/>
          <w:szCs w:val="24"/>
        </w:rPr>
        <w:t>)</w:t>
      </w:r>
      <w:r>
        <w:rPr>
          <w:rFonts w:ascii="Times New Roman" w:hAnsi="Times New Roman"/>
          <w:szCs w:val="24"/>
        </w:rPr>
        <w:t xml:space="preserve">-specific analysis (paragraph 39); data on the use of public procurement provisions in FTAs and information on the benefits derived from the protection of </w:t>
      </w:r>
      <w:r w:rsidR="00723EF0">
        <w:rPr>
          <w:rFonts w:ascii="Times New Roman" w:hAnsi="Times New Roman"/>
          <w:szCs w:val="24"/>
        </w:rPr>
        <w:t>geographical indications</w:t>
      </w:r>
      <w:r w:rsidR="00771693">
        <w:rPr>
          <w:rFonts w:ascii="Times New Roman" w:hAnsi="Times New Roman"/>
          <w:szCs w:val="24"/>
        </w:rPr>
        <w:t xml:space="preserve"> (GIs)</w:t>
      </w:r>
      <w:r>
        <w:rPr>
          <w:rFonts w:ascii="Times New Roman" w:hAnsi="Times New Roman"/>
          <w:szCs w:val="24"/>
        </w:rPr>
        <w:t xml:space="preserve"> (paragraphs 42</w:t>
      </w:r>
      <w:r w:rsidR="008D019C">
        <w:rPr>
          <w:rFonts w:ascii="Times New Roman" w:hAnsi="Times New Roman"/>
          <w:szCs w:val="24"/>
        </w:rPr>
        <w:t xml:space="preserve"> and </w:t>
      </w:r>
      <w:r>
        <w:rPr>
          <w:rFonts w:ascii="Times New Roman" w:hAnsi="Times New Roman"/>
          <w:szCs w:val="24"/>
        </w:rPr>
        <w:t>43). Member States, the European Parliament, national parliaments, economic operators and representatives of civil society and social partners should be closer involved in trade policy monitoring (paragraph 64).</w:t>
      </w:r>
    </w:p>
    <w:p w:rsidR="00494589" w:rsidRDefault="00494589" w:rsidP="005A4609">
      <w:pPr>
        <w:widowControl w:val="0"/>
        <w:spacing w:after="120"/>
        <w:ind w:right="-28"/>
        <w:rPr>
          <w:rFonts w:ascii="Times New Roman" w:hAnsi="Times New Roman"/>
          <w:szCs w:val="24"/>
        </w:rPr>
      </w:pPr>
      <w:r>
        <w:rPr>
          <w:rFonts w:ascii="Times New Roman" w:hAnsi="Times New Roman"/>
          <w:szCs w:val="24"/>
        </w:rPr>
        <w:t xml:space="preserve">In the context of EU trade policy evaluation, the </w:t>
      </w:r>
      <w:r w:rsidR="00F36953">
        <w:rPr>
          <w:rFonts w:ascii="Times New Roman" w:hAnsi="Times New Roman"/>
          <w:szCs w:val="24"/>
        </w:rPr>
        <w:t xml:space="preserve">resolution </w:t>
      </w:r>
      <w:r>
        <w:rPr>
          <w:rFonts w:ascii="Times New Roman" w:hAnsi="Times New Roman"/>
          <w:szCs w:val="24"/>
        </w:rPr>
        <w:t>asks for a study of the cumulative impact of trade agreements (paragraph 27) and for improving the quality of impact studies carried out for trade agreement (paragraph 65).</w:t>
      </w:r>
    </w:p>
    <w:p w:rsidR="00494589" w:rsidRDefault="00494589" w:rsidP="007B14A0">
      <w:pPr>
        <w:spacing w:after="120"/>
        <w:ind w:right="-28"/>
        <w:rPr>
          <w:rFonts w:ascii="Times New Roman" w:hAnsi="Times New Roman"/>
          <w:szCs w:val="24"/>
        </w:rPr>
      </w:pPr>
      <w:r>
        <w:rPr>
          <w:rFonts w:ascii="Times New Roman" w:hAnsi="Times New Roman"/>
          <w:szCs w:val="24"/>
        </w:rPr>
        <w:t xml:space="preserve">The </w:t>
      </w:r>
      <w:r w:rsidR="00F36953">
        <w:rPr>
          <w:rFonts w:ascii="Times New Roman" w:hAnsi="Times New Roman"/>
          <w:szCs w:val="24"/>
        </w:rPr>
        <w:t xml:space="preserve">resolution </w:t>
      </w:r>
      <w:r>
        <w:rPr>
          <w:rFonts w:ascii="Times New Roman" w:hAnsi="Times New Roman"/>
          <w:szCs w:val="24"/>
        </w:rPr>
        <w:t>calls for cushioning trade-related negative effects through flanking policies and to reinforce the effectiveness of the European Globalisation Adjustment Fund (paragraph</w:t>
      </w:r>
      <w:r w:rsidR="008D019C">
        <w:rPr>
          <w:rFonts w:ascii="Times New Roman" w:hAnsi="Times New Roman"/>
          <w:szCs w:val="24"/>
        </w:rPr>
        <w:t> </w:t>
      </w:r>
      <w:r>
        <w:rPr>
          <w:rFonts w:ascii="Times New Roman" w:hAnsi="Times New Roman"/>
          <w:szCs w:val="24"/>
        </w:rPr>
        <w:t>28).</w:t>
      </w:r>
    </w:p>
    <w:p w:rsidR="00494589" w:rsidRDefault="00494589" w:rsidP="005A4609">
      <w:pPr>
        <w:widowControl w:val="0"/>
        <w:spacing w:after="120"/>
        <w:ind w:right="-28"/>
        <w:rPr>
          <w:rFonts w:ascii="Times New Roman" w:hAnsi="Times New Roman"/>
          <w:szCs w:val="24"/>
        </w:rPr>
      </w:pPr>
      <w:r>
        <w:rPr>
          <w:rFonts w:ascii="Times New Roman" w:hAnsi="Times New Roman"/>
          <w:szCs w:val="24"/>
        </w:rPr>
        <w:t xml:space="preserve">While the </w:t>
      </w:r>
      <w:r w:rsidR="00F36953">
        <w:rPr>
          <w:rFonts w:ascii="Times New Roman" w:hAnsi="Times New Roman"/>
          <w:szCs w:val="24"/>
        </w:rPr>
        <w:t xml:space="preserve">resolution </w:t>
      </w:r>
      <w:r>
        <w:rPr>
          <w:rFonts w:ascii="Times New Roman" w:hAnsi="Times New Roman"/>
          <w:szCs w:val="24"/>
        </w:rPr>
        <w:t>welcomes the introduction of chapters dedicated to SMEs in FTAs under negotiation (</w:t>
      </w:r>
      <w:r w:rsidRPr="000F7D9B">
        <w:rPr>
          <w:rFonts w:ascii="Times New Roman" w:hAnsi="Times New Roman"/>
          <w:szCs w:val="24"/>
        </w:rPr>
        <w:t>paragraph</w:t>
      </w:r>
      <w:r>
        <w:rPr>
          <w:rFonts w:ascii="Times New Roman" w:hAnsi="Times New Roman"/>
          <w:szCs w:val="24"/>
        </w:rPr>
        <w:t xml:space="preserve"> 40), it calls for more support to SMEs through an overhauled toolkit </w:t>
      </w:r>
      <w:r w:rsidRPr="002B695E">
        <w:rPr>
          <w:rFonts w:ascii="Times New Roman" w:hAnsi="Times New Roman"/>
          <w:szCs w:val="24"/>
        </w:rPr>
        <w:t>(paragraph 38)</w:t>
      </w:r>
      <w:r>
        <w:rPr>
          <w:rFonts w:ascii="Times New Roman" w:hAnsi="Times New Roman"/>
          <w:szCs w:val="24"/>
        </w:rPr>
        <w:t xml:space="preserve">, notably a </w:t>
      </w:r>
      <w:r w:rsidRPr="002B695E">
        <w:rPr>
          <w:rFonts w:ascii="Times New Roman" w:hAnsi="Times New Roman"/>
          <w:szCs w:val="24"/>
        </w:rPr>
        <w:t>guidance too</w:t>
      </w:r>
      <w:r>
        <w:rPr>
          <w:rFonts w:ascii="Times New Roman" w:hAnsi="Times New Roman"/>
          <w:szCs w:val="24"/>
        </w:rPr>
        <w:t>l</w:t>
      </w:r>
      <w:r w:rsidRPr="002B695E">
        <w:rPr>
          <w:rFonts w:ascii="Times New Roman" w:hAnsi="Times New Roman"/>
          <w:szCs w:val="24"/>
        </w:rPr>
        <w:t xml:space="preserve"> on rules of origin (paragraph 40).</w:t>
      </w:r>
    </w:p>
    <w:p w:rsidR="00494589" w:rsidRDefault="00494589" w:rsidP="005A4609">
      <w:pPr>
        <w:widowControl w:val="0"/>
        <w:spacing w:after="120"/>
        <w:ind w:right="-28"/>
        <w:rPr>
          <w:rFonts w:ascii="Times New Roman" w:hAnsi="Times New Roman"/>
          <w:szCs w:val="24"/>
        </w:rPr>
      </w:pPr>
      <w:r>
        <w:rPr>
          <w:rFonts w:ascii="Times New Roman" w:hAnsi="Times New Roman"/>
          <w:szCs w:val="24"/>
        </w:rPr>
        <w:t xml:space="preserve">The </w:t>
      </w:r>
      <w:r w:rsidR="00F36953">
        <w:rPr>
          <w:rFonts w:ascii="Times New Roman" w:hAnsi="Times New Roman"/>
          <w:szCs w:val="24"/>
        </w:rPr>
        <w:t xml:space="preserve">resolution </w:t>
      </w:r>
      <w:r>
        <w:rPr>
          <w:rFonts w:ascii="Times New Roman" w:hAnsi="Times New Roman"/>
          <w:szCs w:val="24"/>
        </w:rPr>
        <w:t xml:space="preserve">calls for more in-depth analysis </w:t>
      </w:r>
      <w:r w:rsidRPr="005162DD">
        <w:rPr>
          <w:rFonts w:ascii="Times New Roman" w:hAnsi="Times New Roman"/>
          <w:szCs w:val="24"/>
        </w:rPr>
        <w:t>of the</w:t>
      </w:r>
      <w:r w:rsidR="00BC7EEC">
        <w:rPr>
          <w:rFonts w:ascii="Times New Roman" w:hAnsi="Times New Roman"/>
          <w:szCs w:val="24"/>
        </w:rPr>
        <w:t xml:space="preserve"> </w:t>
      </w:r>
      <w:r w:rsidR="00BC7EEC" w:rsidRPr="005A4609">
        <w:rPr>
          <w:rFonts w:ascii="Times New Roman" w:hAnsi="Times New Roman"/>
          <w:color w:val="666666"/>
          <w:szCs w:val="24"/>
        </w:rPr>
        <w:t>Generalised System of Preferences</w:t>
      </w:r>
      <w:r w:rsidR="00771693">
        <w:rPr>
          <w:rFonts w:ascii="Times New Roman" w:hAnsi="Times New Roman"/>
          <w:color w:val="666666"/>
          <w:szCs w:val="24"/>
        </w:rPr>
        <w:t xml:space="preserve"> (GSP)</w:t>
      </w:r>
      <w:r w:rsidR="00BC7EEC">
        <w:rPr>
          <w:rFonts w:ascii="Times New Roman" w:hAnsi="Times New Roman"/>
          <w:color w:val="666666"/>
          <w:szCs w:val="24"/>
        </w:rPr>
        <w:t>'</w:t>
      </w:r>
      <w:r w:rsidR="00BC7EEC">
        <w:rPr>
          <w:rFonts w:ascii="inherit" w:hAnsi="inherit" w:cs="Arial"/>
          <w:color w:val="666666"/>
          <w:sz w:val="18"/>
          <w:szCs w:val="18"/>
        </w:rPr>
        <w:t xml:space="preserve"> </w:t>
      </w:r>
      <w:r w:rsidRPr="005162DD">
        <w:rPr>
          <w:rFonts w:ascii="Times New Roman" w:hAnsi="Times New Roman"/>
          <w:szCs w:val="24"/>
        </w:rPr>
        <w:t xml:space="preserve">monitoring exercise (paragraph 45) and for a methodological monitoring of </w:t>
      </w:r>
      <w:r w:rsidR="00BC7EEC">
        <w:rPr>
          <w:rFonts w:ascii="Times New Roman" w:hAnsi="Times New Roman"/>
          <w:szCs w:val="24"/>
        </w:rPr>
        <w:t xml:space="preserve">the implementation of the </w:t>
      </w:r>
      <w:r w:rsidR="00BC7EEC" w:rsidRPr="005A4609">
        <w:rPr>
          <w:rFonts w:ascii="Times New Roman" w:hAnsi="Times New Roman"/>
          <w:szCs w:val="24"/>
        </w:rPr>
        <w:t>Trade and Sustainable Development</w:t>
      </w:r>
      <w:r w:rsidR="00771693">
        <w:rPr>
          <w:rFonts w:ascii="Times New Roman" w:hAnsi="Times New Roman"/>
          <w:szCs w:val="24"/>
        </w:rPr>
        <w:t xml:space="preserve"> (TSD)</w:t>
      </w:r>
      <w:r w:rsidRPr="005162DD">
        <w:rPr>
          <w:rFonts w:ascii="Times New Roman" w:hAnsi="Times New Roman"/>
          <w:szCs w:val="24"/>
        </w:rPr>
        <w:t xml:space="preserve"> (paragraph 46).</w:t>
      </w:r>
      <w:r>
        <w:rPr>
          <w:rFonts w:ascii="Times New Roman" w:hAnsi="Times New Roman"/>
          <w:szCs w:val="24"/>
        </w:rPr>
        <w:t xml:space="preserve"> Furthermore, the </w:t>
      </w:r>
      <w:r w:rsidR="00F36953">
        <w:rPr>
          <w:rFonts w:ascii="Times New Roman" w:hAnsi="Times New Roman"/>
          <w:szCs w:val="24"/>
        </w:rPr>
        <w:t xml:space="preserve">resolution </w:t>
      </w:r>
      <w:r>
        <w:rPr>
          <w:rFonts w:ascii="Times New Roman" w:hAnsi="Times New Roman"/>
          <w:szCs w:val="24"/>
        </w:rPr>
        <w:t>calls for the inclusion of a chapter on gender in future EU trade and investment agreements (paragraph</w:t>
      </w:r>
      <w:r w:rsidR="008D019C">
        <w:rPr>
          <w:rFonts w:ascii="Times New Roman" w:hAnsi="Times New Roman"/>
          <w:szCs w:val="24"/>
        </w:rPr>
        <w:t>s</w:t>
      </w:r>
      <w:r>
        <w:rPr>
          <w:rFonts w:ascii="Times New Roman" w:hAnsi="Times New Roman"/>
          <w:szCs w:val="24"/>
        </w:rPr>
        <w:t xml:space="preserve"> 50</w:t>
      </w:r>
      <w:r w:rsidR="008D019C">
        <w:rPr>
          <w:rFonts w:ascii="Times New Roman" w:hAnsi="Times New Roman"/>
          <w:szCs w:val="24"/>
        </w:rPr>
        <w:t xml:space="preserve"> and </w:t>
      </w:r>
      <w:r>
        <w:rPr>
          <w:rFonts w:ascii="Times New Roman" w:hAnsi="Times New Roman"/>
          <w:szCs w:val="24"/>
        </w:rPr>
        <w:t xml:space="preserve">51). Corporate social responsibility should be reinforced in EU trade policy (paragraph 54). </w:t>
      </w:r>
      <w:r w:rsidRPr="005162DD">
        <w:rPr>
          <w:rFonts w:ascii="Times New Roman" w:hAnsi="Times New Roman"/>
          <w:szCs w:val="24"/>
        </w:rPr>
        <w:t xml:space="preserve">The </w:t>
      </w:r>
      <w:r w:rsidR="00F36953">
        <w:rPr>
          <w:rFonts w:ascii="Times New Roman" w:hAnsi="Times New Roman"/>
          <w:szCs w:val="24"/>
        </w:rPr>
        <w:t xml:space="preserve">resolution </w:t>
      </w:r>
      <w:r w:rsidRPr="005162DD">
        <w:rPr>
          <w:rFonts w:ascii="Times New Roman" w:hAnsi="Times New Roman"/>
          <w:szCs w:val="24"/>
        </w:rPr>
        <w:t>advocates support to the Continental Free Trade Area in Africa (</w:t>
      </w:r>
      <w:proofErr w:type="spellStart"/>
      <w:r w:rsidRPr="005162DD">
        <w:rPr>
          <w:rFonts w:ascii="Times New Roman" w:hAnsi="Times New Roman"/>
          <w:szCs w:val="24"/>
        </w:rPr>
        <w:t>AfCFTA</w:t>
      </w:r>
      <w:proofErr w:type="spellEnd"/>
      <w:r w:rsidRPr="005162DD">
        <w:rPr>
          <w:rFonts w:ascii="Times New Roman" w:hAnsi="Times New Roman"/>
          <w:szCs w:val="24"/>
        </w:rPr>
        <w:t xml:space="preserve">) (paragraph 56); a proposal to ban the importation of goods produced using child and forced labour (paragraph 57); dialogue with Economic Partnership Agreement (EPA) partners (paragraph 58); timely convening of </w:t>
      </w:r>
      <w:proofErr w:type="spellStart"/>
      <w:r w:rsidRPr="005162DD">
        <w:rPr>
          <w:rFonts w:ascii="Times New Roman" w:hAnsi="Times New Roman"/>
          <w:szCs w:val="24"/>
        </w:rPr>
        <w:t>Cariforum</w:t>
      </w:r>
      <w:proofErr w:type="spellEnd"/>
      <w:r w:rsidRPr="005162DD">
        <w:rPr>
          <w:rFonts w:ascii="Times New Roman" w:hAnsi="Times New Roman"/>
          <w:szCs w:val="24"/>
        </w:rPr>
        <w:t xml:space="preserve"> civil society institutions (paragraph 59).</w:t>
      </w:r>
    </w:p>
    <w:p w:rsidR="00494589" w:rsidRPr="00747D86" w:rsidRDefault="00494589" w:rsidP="005A4609">
      <w:pPr>
        <w:widowControl w:val="0"/>
        <w:spacing w:after="120"/>
        <w:ind w:right="-28"/>
        <w:rPr>
          <w:rFonts w:ascii="Times New Roman" w:hAnsi="Times New Roman"/>
          <w:szCs w:val="24"/>
        </w:rPr>
      </w:pPr>
      <w:r>
        <w:rPr>
          <w:rFonts w:ascii="Times New Roman" w:hAnsi="Times New Roman"/>
          <w:szCs w:val="24"/>
        </w:rPr>
        <w:t xml:space="preserve">The </w:t>
      </w:r>
      <w:r w:rsidR="00F36953">
        <w:rPr>
          <w:rFonts w:ascii="Times New Roman" w:hAnsi="Times New Roman"/>
          <w:szCs w:val="24"/>
        </w:rPr>
        <w:t xml:space="preserve">resolution </w:t>
      </w:r>
      <w:r w:rsidRPr="00A533F8">
        <w:rPr>
          <w:rFonts w:ascii="Times New Roman" w:hAnsi="Times New Roman"/>
          <w:szCs w:val="24"/>
        </w:rPr>
        <w:t>demands</w:t>
      </w:r>
      <w:r>
        <w:rPr>
          <w:rFonts w:ascii="Times New Roman" w:hAnsi="Times New Roman"/>
          <w:szCs w:val="24"/>
        </w:rPr>
        <w:t xml:space="preserve"> </w:t>
      </w:r>
      <w:proofErr w:type="gramStart"/>
      <w:r w:rsidR="00A533F8">
        <w:rPr>
          <w:rFonts w:ascii="Times New Roman" w:hAnsi="Times New Roman"/>
          <w:szCs w:val="24"/>
        </w:rPr>
        <w:t xml:space="preserve">a </w:t>
      </w:r>
      <w:r w:rsidR="00F36953">
        <w:rPr>
          <w:rFonts w:ascii="Times New Roman" w:hAnsi="Times New Roman"/>
          <w:szCs w:val="24"/>
        </w:rPr>
        <w:t>”</w:t>
      </w:r>
      <w:proofErr w:type="gramEnd"/>
      <w:r>
        <w:rPr>
          <w:rFonts w:ascii="Times New Roman" w:hAnsi="Times New Roman"/>
          <w:szCs w:val="24"/>
        </w:rPr>
        <w:t>social and environmental traceability labelling system</w:t>
      </w:r>
      <w:r w:rsidR="00F36953">
        <w:rPr>
          <w:rFonts w:ascii="Times New Roman" w:hAnsi="Times New Roman"/>
          <w:szCs w:val="24"/>
        </w:rPr>
        <w:t>”</w:t>
      </w:r>
      <w:r>
        <w:rPr>
          <w:rFonts w:ascii="Times New Roman" w:hAnsi="Times New Roman"/>
          <w:szCs w:val="24"/>
        </w:rPr>
        <w:t xml:space="preserve"> (paragraph 60), publication of draft mandates (paragraphs 61</w:t>
      </w:r>
      <w:r w:rsidR="00771693">
        <w:rPr>
          <w:rFonts w:ascii="Times New Roman" w:hAnsi="Times New Roman"/>
          <w:szCs w:val="24"/>
        </w:rPr>
        <w:t xml:space="preserve"> and </w:t>
      </w:r>
      <w:r>
        <w:rPr>
          <w:rFonts w:ascii="Times New Roman" w:hAnsi="Times New Roman"/>
          <w:szCs w:val="24"/>
        </w:rPr>
        <w:t>63) as well as a communication strategy about trade policy (paragraph 62).</w:t>
      </w:r>
    </w:p>
    <w:p w:rsidR="00494589" w:rsidRPr="00FC09CC" w:rsidRDefault="00494589" w:rsidP="005A4609">
      <w:pPr>
        <w:widowControl w:val="0"/>
        <w:spacing w:before="240"/>
        <w:ind w:left="567" w:right="-28" w:hanging="567"/>
        <w:rPr>
          <w:rFonts w:ascii="Times New Roman" w:hAnsi="Times New Roman"/>
          <w:b/>
          <w:szCs w:val="24"/>
        </w:rPr>
      </w:pPr>
      <w:r>
        <w:rPr>
          <w:rFonts w:ascii="Times New Roman" w:hAnsi="Times New Roman"/>
          <w:b/>
          <w:szCs w:val="24"/>
        </w:rPr>
        <w:t>7.</w:t>
      </w:r>
      <w:r>
        <w:rPr>
          <w:rFonts w:ascii="Times New Roman" w:hAnsi="Times New Roman"/>
          <w:b/>
          <w:szCs w:val="24"/>
        </w:rPr>
        <w:tab/>
      </w:r>
      <w:r w:rsidRPr="00747D86">
        <w:rPr>
          <w:rFonts w:ascii="Times New Roman" w:hAnsi="Times New Roman"/>
          <w:b/>
          <w:szCs w:val="24"/>
        </w:rPr>
        <w:t xml:space="preserve">Response to the requests in the </w:t>
      </w:r>
      <w:r w:rsidR="00B85FED">
        <w:rPr>
          <w:rFonts w:ascii="Times New Roman" w:hAnsi="Times New Roman"/>
          <w:b/>
          <w:szCs w:val="24"/>
        </w:rPr>
        <w:t xml:space="preserve">resolution </w:t>
      </w:r>
      <w:r w:rsidRPr="00747D86">
        <w:rPr>
          <w:rFonts w:ascii="Times New Roman" w:hAnsi="Times New Roman"/>
          <w:b/>
          <w:szCs w:val="24"/>
        </w:rPr>
        <w:t>and overview of the action taken, or intended to be taken, by the Commission</w:t>
      </w:r>
      <w:r>
        <w:rPr>
          <w:rFonts w:ascii="Times New Roman" w:hAnsi="Times New Roman"/>
          <w:b/>
          <w:szCs w:val="24"/>
        </w:rPr>
        <w:t>:</w:t>
      </w:r>
      <w:r w:rsidRPr="00BF260B">
        <w:rPr>
          <w:rFonts w:ascii="Times New Roman" w:hAnsi="Times New Roman"/>
          <w:szCs w:val="24"/>
        </w:rPr>
        <w:t xml:space="preserve"> </w:t>
      </w:r>
    </w:p>
    <w:p w:rsidR="00494589" w:rsidRDefault="00494589" w:rsidP="005A4609">
      <w:pPr>
        <w:widowControl w:val="0"/>
        <w:spacing w:after="120"/>
        <w:ind w:right="-28"/>
        <w:rPr>
          <w:rFonts w:ascii="Times New Roman" w:hAnsi="Times New Roman"/>
          <w:szCs w:val="24"/>
        </w:rPr>
      </w:pPr>
      <w:r w:rsidRPr="00743034">
        <w:rPr>
          <w:rFonts w:ascii="Times New Roman" w:hAnsi="Times New Roman"/>
          <w:b/>
          <w:szCs w:val="24"/>
        </w:rPr>
        <w:t>Paragraph 3</w:t>
      </w:r>
      <w:r>
        <w:rPr>
          <w:rFonts w:ascii="Times New Roman" w:hAnsi="Times New Roman"/>
          <w:szCs w:val="24"/>
        </w:rPr>
        <w:t>: T</w:t>
      </w:r>
      <w:r w:rsidRPr="005E132B">
        <w:rPr>
          <w:rFonts w:ascii="Times New Roman" w:hAnsi="Times New Roman"/>
          <w:szCs w:val="24"/>
        </w:rPr>
        <w:t>he facilitation of digital trade</w:t>
      </w:r>
      <w:r>
        <w:rPr>
          <w:rFonts w:ascii="Times New Roman" w:hAnsi="Times New Roman"/>
          <w:szCs w:val="24"/>
        </w:rPr>
        <w:t xml:space="preserve"> is an important feature of the </w:t>
      </w:r>
      <w:r w:rsidRPr="005E132B">
        <w:rPr>
          <w:rFonts w:ascii="Times New Roman" w:hAnsi="Times New Roman"/>
          <w:szCs w:val="24"/>
        </w:rPr>
        <w:t xml:space="preserve">EU's trade </w:t>
      </w:r>
      <w:r>
        <w:rPr>
          <w:rFonts w:ascii="Times New Roman" w:hAnsi="Times New Roman"/>
          <w:szCs w:val="24"/>
        </w:rPr>
        <w:t>policy</w:t>
      </w:r>
      <w:r w:rsidRPr="005E132B">
        <w:rPr>
          <w:rFonts w:ascii="Times New Roman" w:hAnsi="Times New Roman"/>
          <w:szCs w:val="24"/>
        </w:rPr>
        <w:t>.</w:t>
      </w:r>
      <w:r>
        <w:rPr>
          <w:rFonts w:ascii="Times New Roman" w:hAnsi="Times New Roman"/>
          <w:szCs w:val="24"/>
        </w:rPr>
        <w:t xml:space="preserve"> </w:t>
      </w:r>
      <w:r w:rsidRPr="005E132B">
        <w:rPr>
          <w:rFonts w:ascii="Times New Roman" w:hAnsi="Times New Roman"/>
          <w:szCs w:val="24"/>
        </w:rPr>
        <w:t xml:space="preserve">The agreement in principle concluded recently with Mexico </w:t>
      </w:r>
      <w:r>
        <w:rPr>
          <w:rFonts w:ascii="Times New Roman" w:hAnsi="Times New Roman"/>
          <w:szCs w:val="24"/>
        </w:rPr>
        <w:t>exemplifies</w:t>
      </w:r>
      <w:r w:rsidRPr="005E132B">
        <w:rPr>
          <w:rFonts w:ascii="Times New Roman" w:hAnsi="Times New Roman"/>
          <w:szCs w:val="24"/>
        </w:rPr>
        <w:t xml:space="preserve"> the EU's current ambitious approach </w:t>
      </w:r>
      <w:r>
        <w:rPr>
          <w:rFonts w:ascii="Times New Roman" w:hAnsi="Times New Roman"/>
          <w:szCs w:val="24"/>
        </w:rPr>
        <w:t>to</w:t>
      </w:r>
      <w:r w:rsidRPr="005E132B">
        <w:rPr>
          <w:rFonts w:ascii="Times New Roman" w:hAnsi="Times New Roman"/>
          <w:szCs w:val="24"/>
        </w:rPr>
        <w:t xml:space="preserve"> digital trade. </w:t>
      </w:r>
      <w:r>
        <w:rPr>
          <w:rFonts w:ascii="Times New Roman" w:hAnsi="Times New Roman"/>
          <w:szCs w:val="24"/>
        </w:rPr>
        <w:t>O</w:t>
      </w:r>
      <w:r w:rsidRPr="00743034">
        <w:rPr>
          <w:rFonts w:ascii="Times New Roman" w:hAnsi="Times New Roman"/>
          <w:szCs w:val="24"/>
        </w:rPr>
        <w:t>n 31 January 2018, the Commission endorsed horizontal provisions for cross-border data flows and personal data protection in trade negotiations</w:t>
      </w:r>
      <w:r>
        <w:rPr>
          <w:rFonts w:ascii="Times New Roman" w:hAnsi="Times New Roman"/>
          <w:szCs w:val="24"/>
        </w:rPr>
        <w:t xml:space="preserve"> which prohibit</w:t>
      </w:r>
      <w:r w:rsidRPr="00743034">
        <w:rPr>
          <w:rFonts w:ascii="Times New Roman" w:hAnsi="Times New Roman"/>
          <w:szCs w:val="24"/>
        </w:rPr>
        <w:t xml:space="preserve"> protectionist barriers to cross-border data flows, in full compliance with the EU's data protection and data privacy rules. </w:t>
      </w:r>
      <w:r>
        <w:rPr>
          <w:rFonts w:ascii="Times New Roman" w:hAnsi="Times New Roman"/>
          <w:szCs w:val="24"/>
        </w:rPr>
        <w:t>The Commission proposes to include</w:t>
      </w:r>
      <w:r w:rsidRPr="00743034">
        <w:rPr>
          <w:rFonts w:ascii="Times New Roman" w:hAnsi="Times New Roman"/>
          <w:szCs w:val="24"/>
        </w:rPr>
        <w:t xml:space="preserve"> the horizontal provisions in the ongoing trade negotiations with Chile, Indonesia</w:t>
      </w:r>
      <w:r>
        <w:rPr>
          <w:rFonts w:ascii="Times New Roman" w:hAnsi="Times New Roman"/>
          <w:szCs w:val="24"/>
        </w:rPr>
        <w:t xml:space="preserve"> and subsequently with</w:t>
      </w:r>
      <w:r w:rsidRPr="00743034">
        <w:rPr>
          <w:rFonts w:ascii="Times New Roman" w:hAnsi="Times New Roman"/>
          <w:szCs w:val="24"/>
        </w:rPr>
        <w:t xml:space="preserve"> Australia and New Zealand.</w:t>
      </w:r>
    </w:p>
    <w:p w:rsidR="00494589" w:rsidRPr="00046B89" w:rsidRDefault="00494589" w:rsidP="005A4609">
      <w:pPr>
        <w:widowControl w:val="0"/>
        <w:spacing w:after="120"/>
        <w:ind w:right="-28"/>
        <w:rPr>
          <w:rFonts w:ascii="Times New Roman" w:hAnsi="Times New Roman"/>
          <w:szCs w:val="24"/>
        </w:rPr>
      </w:pPr>
      <w:r w:rsidRPr="00046B89">
        <w:rPr>
          <w:rFonts w:ascii="Times New Roman" w:hAnsi="Times New Roman"/>
          <w:b/>
          <w:szCs w:val="24"/>
        </w:rPr>
        <w:t>Paragraph 4</w:t>
      </w:r>
      <w:r w:rsidRPr="00046B89">
        <w:rPr>
          <w:rFonts w:ascii="Times New Roman" w:hAnsi="Times New Roman"/>
          <w:szCs w:val="24"/>
        </w:rPr>
        <w:t xml:space="preserve">: </w:t>
      </w:r>
      <w:r w:rsidRPr="009F71C1">
        <w:rPr>
          <w:rFonts w:ascii="Times New Roman" w:hAnsi="Times New Roman"/>
          <w:szCs w:val="24"/>
        </w:rPr>
        <w:t>The Commis</w:t>
      </w:r>
      <w:r>
        <w:rPr>
          <w:rFonts w:ascii="Times New Roman" w:hAnsi="Times New Roman"/>
          <w:szCs w:val="24"/>
        </w:rPr>
        <w:t>sion agrees with the Parliament'</w:t>
      </w:r>
      <w:r w:rsidRPr="009F71C1">
        <w:rPr>
          <w:rFonts w:ascii="Times New Roman" w:hAnsi="Times New Roman"/>
          <w:szCs w:val="24"/>
        </w:rPr>
        <w:t xml:space="preserve">s assessment that the withdrawal of the United Kingdom from the EU will have consequences </w:t>
      </w:r>
      <w:r>
        <w:rPr>
          <w:rFonts w:ascii="Times New Roman" w:hAnsi="Times New Roman"/>
          <w:szCs w:val="24"/>
        </w:rPr>
        <w:t>on</w:t>
      </w:r>
      <w:r w:rsidRPr="009F71C1">
        <w:rPr>
          <w:rFonts w:ascii="Times New Roman" w:hAnsi="Times New Roman"/>
          <w:szCs w:val="24"/>
        </w:rPr>
        <w:t xml:space="preserve"> trading conditions</w:t>
      </w:r>
      <w:r>
        <w:rPr>
          <w:rFonts w:ascii="Times New Roman" w:hAnsi="Times New Roman"/>
          <w:szCs w:val="24"/>
        </w:rPr>
        <w:t xml:space="preserve"> for both Parties</w:t>
      </w:r>
      <w:r w:rsidRPr="009F71C1">
        <w:rPr>
          <w:rFonts w:ascii="Times New Roman" w:hAnsi="Times New Roman"/>
          <w:szCs w:val="24"/>
        </w:rPr>
        <w:t xml:space="preserve">. The EU will maintain its rights and obligations in its bilateral relations with third countries </w:t>
      </w:r>
      <w:r>
        <w:rPr>
          <w:rFonts w:ascii="Times New Roman" w:hAnsi="Times New Roman"/>
          <w:szCs w:val="24"/>
        </w:rPr>
        <w:t>and i</w:t>
      </w:r>
      <w:r w:rsidRPr="009F71C1">
        <w:rPr>
          <w:rFonts w:ascii="Times New Roman" w:hAnsi="Times New Roman"/>
          <w:szCs w:val="24"/>
        </w:rPr>
        <w:t xml:space="preserve">s working towards a solution for the apportionment of common commitments in the WTO so that the existing level of market access available to other WTO Members would be maintained. The EU trade policy is delivering good results benefiting workers, consumers and businesses, and </w:t>
      </w:r>
      <w:r>
        <w:rPr>
          <w:rFonts w:ascii="Times New Roman" w:hAnsi="Times New Roman"/>
          <w:szCs w:val="24"/>
        </w:rPr>
        <w:t>is able</w:t>
      </w:r>
      <w:r w:rsidRPr="009F71C1">
        <w:rPr>
          <w:rFonts w:ascii="Times New Roman" w:hAnsi="Times New Roman"/>
          <w:szCs w:val="24"/>
        </w:rPr>
        <w:t xml:space="preserve"> to integrate and to adapt to new developments, including the withdrawal of the United Kingdom from the EU.</w:t>
      </w:r>
    </w:p>
    <w:p w:rsidR="00494589" w:rsidRPr="00511A4A" w:rsidRDefault="00494589" w:rsidP="005A4609">
      <w:pPr>
        <w:widowControl w:val="0"/>
        <w:spacing w:after="120"/>
        <w:ind w:right="-28"/>
        <w:rPr>
          <w:rFonts w:ascii="Times New Roman" w:hAnsi="Times New Roman"/>
          <w:szCs w:val="24"/>
        </w:rPr>
      </w:pPr>
      <w:r w:rsidRPr="00743034">
        <w:rPr>
          <w:rFonts w:ascii="Times New Roman" w:hAnsi="Times New Roman"/>
          <w:b/>
          <w:szCs w:val="24"/>
        </w:rPr>
        <w:t>Paragraph 5</w:t>
      </w:r>
      <w:r>
        <w:rPr>
          <w:rFonts w:ascii="Times New Roman" w:hAnsi="Times New Roman"/>
          <w:szCs w:val="24"/>
        </w:rPr>
        <w:t>: I</w:t>
      </w:r>
      <w:r w:rsidRPr="00743034">
        <w:rPr>
          <w:rFonts w:ascii="Times New Roman" w:hAnsi="Times New Roman"/>
          <w:szCs w:val="24"/>
        </w:rPr>
        <w:t>n view of the clarity provided by</w:t>
      </w:r>
      <w:r>
        <w:rPr>
          <w:rFonts w:ascii="Times New Roman" w:hAnsi="Times New Roman"/>
          <w:szCs w:val="24"/>
        </w:rPr>
        <w:t xml:space="preserve"> Opinion 2/15 of the Court of Justice of the EU</w:t>
      </w:r>
      <w:r w:rsidRPr="00743034">
        <w:rPr>
          <w:rFonts w:ascii="Times New Roman" w:hAnsi="Times New Roman"/>
          <w:szCs w:val="24"/>
        </w:rPr>
        <w:t>, the Commission intends to recommend th</w:t>
      </w:r>
      <w:r>
        <w:rPr>
          <w:rFonts w:ascii="Times New Roman" w:hAnsi="Times New Roman"/>
          <w:szCs w:val="24"/>
        </w:rPr>
        <w:t xml:space="preserve">at </w:t>
      </w:r>
      <w:r w:rsidRPr="00743034">
        <w:rPr>
          <w:rFonts w:ascii="Times New Roman" w:hAnsi="Times New Roman"/>
          <w:szCs w:val="24"/>
        </w:rPr>
        <w:t xml:space="preserve">future trade agreements covering </w:t>
      </w:r>
      <w:r>
        <w:rPr>
          <w:rFonts w:ascii="Times New Roman" w:hAnsi="Times New Roman"/>
          <w:szCs w:val="24"/>
        </w:rPr>
        <w:t xml:space="preserve">matters pertaining to the </w:t>
      </w:r>
      <w:r w:rsidRPr="00743034">
        <w:rPr>
          <w:rFonts w:ascii="Times New Roman" w:hAnsi="Times New Roman"/>
          <w:szCs w:val="24"/>
        </w:rPr>
        <w:t>exclusive EU competence</w:t>
      </w:r>
      <w:r>
        <w:rPr>
          <w:rFonts w:ascii="Times New Roman" w:hAnsi="Times New Roman"/>
          <w:szCs w:val="24"/>
        </w:rPr>
        <w:t xml:space="preserve"> be concluded by the EU separately from </w:t>
      </w:r>
      <w:r w:rsidRPr="00743034">
        <w:rPr>
          <w:rFonts w:ascii="Times New Roman" w:hAnsi="Times New Roman"/>
          <w:szCs w:val="24"/>
        </w:rPr>
        <w:t xml:space="preserve"> mixed inve</w:t>
      </w:r>
      <w:r>
        <w:rPr>
          <w:rFonts w:ascii="Times New Roman" w:hAnsi="Times New Roman"/>
          <w:szCs w:val="24"/>
        </w:rPr>
        <w:t>stment protection agreements negotiated with the same partner countries. The Commission continues to keep the European Parliament informed at all stages of the negotiation process as set out in the current framework agreement on relations with the European Parliament.</w:t>
      </w:r>
    </w:p>
    <w:p w:rsidR="00494589" w:rsidRDefault="00494589" w:rsidP="005A4609">
      <w:pPr>
        <w:widowControl w:val="0"/>
        <w:spacing w:after="120"/>
        <w:ind w:right="-28"/>
        <w:rPr>
          <w:rFonts w:ascii="Times New Roman" w:hAnsi="Times New Roman"/>
          <w:szCs w:val="24"/>
        </w:rPr>
      </w:pPr>
      <w:r w:rsidRPr="00BB2BA0">
        <w:rPr>
          <w:rFonts w:ascii="Times New Roman" w:hAnsi="Times New Roman"/>
          <w:b/>
          <w:szCs w:val="24"/>
        </w:rPr>
        <w:t>Paragraph 7</w:t>
      </w:r>
      <w:r>
        <w:rPr>
          <w:rFonts w:ascii="Times New Roman" w:hAnsi="Times New Roman"/>
          <w:szCs w:val="24"/>
        </w:rPr>
        <w:t xml:space="preserve">: </w:t>
      </w:r>
      <w:r w:rsidRPr="001063A1">
        <w:rPr>
          <w:rFonts w:ascii="Times New Roman" w:hAnsi="Times New Roman"/>
          <w:szCs w:val="24"/>
        </w:rPr>
        <w:t>The Commission agrees on the central role o</w:t>
      </w:r>
      <w:r>
        <w:rPr>
          <w:rFonts w:ascii="Times New Roman" w:hAnsi="Times New Roman"/>
          <w:szCs w:val="24"/>
        </w:rPr>
        <w:t>f the WTO and the rules-</w:t>
      </w:r>
      <w:r w:rsidRPr="001063A1">
        <w:rPr>
          <w:rFonts w:ascii="Times New Roman" w:hAnsi="Times New Roman"/>
          <w:szCs w:val="24"/>
        </w:rPr>
        <w:t>based multilateral trading system</w:t>
      </w:r>
      <w:r>
        <w:rPr>
          <w:rFonts w:ascii="Times New Roman" w:hAnsi="Times New Roman"/>
          <w:szCs w:val="24"/>
        </w:rPr>
        <w:t xml:space="preserve">. The Commission </w:t>
      </w:r>
      <w:r w:rsidRPr="001063A1">
        <w:rPr>
          <w:rFonts w:ascii="Times New Roman" w:hAnsi="Times New Roman"/>
          <w:szCs w:val="24"/>
        </w:rPr>
        <w:t>reiterates the importance of supporting and streng</w:t>
      </w:r>
      <w:r>
        <w:rPr>
          <w:rFonts w:ascii="Times New Roman" w:hAnsi="Times New Roman"/>
          <w:szCs w:val="24"/>
        </w:rPr>
        <w:t xml:space="preserve">thening the WTO through its modernisation </w:t>
      </w:r>
      <w:r w:rsidRPr="001063A1">
        <w:rPr>
          <w:rFonts w:ascii="Times New Roman" w:hAnsi="Times New Roman"/>
          <w:szCs w:val="24"/>
        </w:rPr>
        <w:t xml:space="preserve">in terms of broadening </w:t>
      </w:r>
      <w:r>
        <w:rPr>
          <w:rFonts w:ascii="Times New Roman" w:hAnsi="Times New Roman"/>
          <w:szCs w:val="24"/>
        </w:rPr>
        <w:t>the</w:t>
      </w:r>
      <w:r w:rsidRPr="001063A1">
        <w:rPr>
          <w:rFonts w:ascii="Times New Roman" w:hAnsi="Times New Roman"/>
          <w:szCs w:val="24"/>
        </w:rPr>
        <w:t xml:space="preserve"> negotiating agenda to address level playing field issues, injecting flexibility into negotiating processes, resolving the </w:t>
      </w:r>
      <w:r>
        <w:rPr>
          <w:rFonts w:ascii="Times New Roman" w:hAnsi="Times New Roman"/>
          <w:szCs w:val="24"/>
        </w:rPr>
        <w:t xml:space="preserve">stalemate with the </w:t>
      </w:r>
      <w:r w:rsidRPr="001063A1">
        <w:rPr>
          <w:rFonts w:ascii="Times New Roman" w:hAnsi="Times New Roman"/>
          <w:szCs w:val="24"/>
        </w:rPr>
        <w:t>Appellate Body, and making the WTO's regular work more effective</w:t>
      </w:r>
      <w:r>
        <w:rPr>
          <w:rFonts w:ascii="Times New Roman" w:hAnsi="Times New Roman"/>
          <w:szCs w:val="24"/>
        </w:rPr>
        <w:t xml:space="preserve"> and </w:t>
      </w:r>
      <w:r w:rsidRPr="001063A1">
        <w:rPr>
          <w:rFonts w:ascii="Times New Roman" w:hAnsi="Times New Roman"/>
          <w:szCs w:val="24"/>
        </w:rPr>
        <w:t>transparen</w:t>
      </w:r>
      <w:r>
        <w:rPr>
          <w:rFonts w:ascii="Times New Roman" w:hAnsi="Times New Roman"/>
          <w:szCs w:val="24"/>
        </w:rPr>
        <w:t>t</w:t>
      </w:r>
      <w:r w:rsidRPr="001063A1">
        <w:rPr>
          <w:rFonts w:ascii="Times New Roman" w:hAnsi="Times New Roman"/>
          <w:szCs w:val="24"/>
        </w:rPr>
        <w:t>.</w:t>
      </w:r>
    </w:p>
    <w:p w:rsidR="00494589" w:rsidRDefault="00494589" w:rsidP="005A4609">
      <w:pPr>
        <w:widowControl w:val="0"/>
        <w:spacing w:after="120"/>
        <w:ind w:right="-28"/>
        <w:rPr>
          <w:rFonts w:ascii="Times New Roman" w:hAnsi="Times New Roman"/>
          <w:szCs w:val="24"/>
        </w:rPr>
      </w:pPr>
      <w:r w:rsidRPr="00B13BA1">
        <w:rPr>
          <w:rFonts w:ascii="Times New Roman" w:hAnsi="Times New Roman"/>
          <w:b/>
          <w:szCs w:val="24"/>
        </w:rPr>
        <w:t>Paragraph 8</w:t>
      </w:r>
      <w:r w:rsidRPr="00B13BA1">
        <w:rPr>
          <w:rFonts w:ascii="Times New Roman" w:hAnsi="Times New Roman"/>
          <w:szCs w:val="24"/>
        </w:rPr>
        <w:t xml:space="preserve">: </w:t>
      </w:r>
      <w:r>
        <w:rPr>
          <w:rFonts w:ascii="Times New Roman" w:hAnsi="Times New Roman"/>
          <w:szCs w:val="24"/>
        </w:rPr>
        <w:t>The Commission remains committed to ambitious Trade in Services (</w:t>
      </w:r>
      <w:proofErr w:type="spellStart"/>
      <w:r w:rsidRPr="00B13BA1">
        <w:rPr>
          <w:rFonts w:ascii="Times New Roman" w:hAnsi="Times New Roman"/>
          <w:szCs w:val="24"/>
        </w:rPr>
        <w:t>TiSA</w:t>
      </w:r>
      <w:proofErr w:type="spellEnd"/>
      <w:r>
        <w:rPr>
          <w:rFonts w:ascii="Times New Roman" w:hAnsi="Times New Roman"/>
          <w:szCs w:val="24"/>
        </w:rPr>
        <w:t>)</w:t>
      </w:r>
      <w:r w:rsidRPr="00B13BA1">
        <w:rPr>
          <w:rFonts w:ascii="Times New Roman" w:hAnsi="Times New Roman"/>
          <w:szCs w:val="24"/>
        </w:rPr>
        <w:t xml:space="preserve"> </w:t>
      </w:r>
      <w:r>
        <w:rPr>
          <w:rFonts w:ascii="Times New Roman" w:hAnsi="Times New Roman"/>
          <w:szCs w:val="24"/>
        </w:rPr>
        <w:t xml:space="preserve">and </w:t>
      </w:r>
      <w:r>
        <w:rPr>
          <w:rFonts w:ascii="Times New Roman" w:hAnsi="Times New Roman"/>
        </w:rPr>
        <w:t>Environmental Goods Agreements (EGA)</w:t>
      </w:r>
      <w:r w:rsidRPr="000146BA">
        <w:rPr>
          <w:rFonts w:ascii="Times New Roman" w:hAnsi="Times New Roman"/>
          <w:szCs w:val="24"/>
        </w:rPr>
        <w:t xml:space="preserve">. </w:t>
      </w:r>
      <w:r w:rsidRPr="006970C3">
        <w:rPr>
          <w:rFonts w:ascii="Times New Roman" w:hAnsi="Times New Roman"/>
          <w:szCs w:val="24"/>
        </w:rPr>
        <w:t xml:space="preserve">While the Commission regrets </w:t>
      </w:r>
      <w:r>
        <w:rPr>
          <w:rFonts w:ascii="Times New Roman" w:hAnsi="Times New Roman"/>
          <w:szCs w:val="24"/>
        </w:rPr>
        <w:t>the pausing of these negotiations</w:t>
      </w:r>
      <w:r w:rsidRPr="00B13BA1">
        <w:rPr>
          <w:rFonts w:ascii="Times New Roman" w:hAnsi="Times New Roman"/>
          <w:szCs w:val="24"/>
        </w:rPr>
        <w:t xml:space="preserve"> </w:t>
      </w:r>
      <w:r w:rsidRPr="000146BA">
        <w:rPr>
          <w:rFonts w:ascii="Times New Roman" w:hAnsi="Times New Roman"/>
          <w:szCs w:val="24"/>
        </w:rPr>
        <w:t>since November 2016</w:t>
      </w:r>
      <w:r w:rsidRPr="006970C3">
        <w:rPr>
          <w:rFonts w:ascii="Times New Roman" w:hAnsi="Times New Roman"/>
          <w:szCs w:val="24"/>
        </w:rPr>
        <w:t xml:space="preserve">, in view of the substantial progress </w:t>
      </w:r>
      <w:r>
        <w:rPr>
          <w:rFonts w:ascii="Times New Roman" w:hAnsi="Times New Roman"/>
          <w:szCs w:val="24"/>
        </w:rPr>
        <w:t>that</w:t>
      </w:r>
      <w:r w:rsidRPr="006970C3">
        <w:rPr>
          <w:rFonts w:ascii="Times New Roman" w:hAnsi="Times New Roman"/>
          <w:szCs w:val="24"/>
        </w:rPr>
        <w:t xml:space="preserve"> had </w:t>
      </w:r>
      <w:r>
        <w:rPr>
          <w:rFonts w:ascii="Times New Roman" w:hAnsi="Times New Roman"/>
          <w:szCs w:val="24"/>
        </w:rPr>
        <w:t xml:space="preserve">been </w:t>
      </w:r>
      <w:r w:rsidRPr="006970C3">
        <w:rPr>
          <w:rFonts w:ascii="Times New Roman" w:hAnsi="Times New Roman"/>
          <w:szCs w:val="24"/>
        </w:rPr>
        <w:t xml:space="preserve">achieved by then, </w:t>
      </w:r>
      <w:r>
        <w:rPr>
          <w:rFonts w:ascii="Times New Roman" w:hAnsi="Times New Roman"/>
          <w:szCs w:val="24"/>
        </w:rPr>
        <w:t>it is</w:t>
      </w:r>
      <w:r w:rsidRPr="006970C3">
        <w:rPr>
          <w:rFonts w:ascii="Times New Roman" w:hAnsi="Times New Roman"/>
          <w:szCs w:val="24"/>
        </w:rPr>
        <w:t xml:space="preserve"> optimistic that </w:t>
      </w:r>
      <w:proofErr w:type="spellStart"/>
      <w:r w:rsidRPr="006970C3">
        <w:rPr>
          <w:rFonts w:ascii="Times New Roman" w:hAnsi="Times New Roman"/>
          <w:szCs w:val="24"/>
        </w:rPr>
        <w:t>TiSA</w:t>
      </w:r>
      <w:proofErr w:type="spellEnd"/>
      <w:r w:rsidRPr="006970C3">
        <w:rPr>
          <w:rFonts w:ascii="Times New Roman" w:hAnsi="Times New Roman"/>
          <w:szCs w:val="24"/>
        </w:rPr>
        <w:t xml:space="preserve"> </w:t>
      </w:r>
      <w:r>
        <w:rPr>
          <w:rFonts w:ascii="Times New Roman" w:hAnsi="Times New Roman"/>
          <w:szCs w:val="24"/>
        </w:rPr>
        <w:t xml:space="preserve">and EGA </w:t>
      </w:r>
      <w:r w:rsidRPr="006970C3">
        <w:rPr>
          <w:rFonts w:ascii="Times New Roman" w:hAnsi="Times New Roman"/>
          <w:szCs w:val="24"/>
        </w:rPr>
        <w:t xml:space="preserve">could be </w:t>
      </w:r>
      <w:r>
        <w:rPr>
          <w:rFonts w:ascii="Times New Roman" w:hAnsi="Times New Roman"/>
          <w:szCs w:val="24"/>
        </w:rPr>
        <w:t xml:space="preserve">concluded </w:t>
      </w:r>
      <w:r w:rsidRPr="006970C3">
        <w:rPr>
          <w:rFonts w:ascii="Times New Roman" w:hAnsi="Times New Roman"/>
          <w:szCs w:val="24"/>
        </w:rPr>
        <w:t xml:space="preserve">quickly, if and </w:t>
      </w:r>
      <w:r>
        <w:rPr>
          <w:rFonts w:ascii="Times New Roman" w:hAnsi="Times New Roman"/>
          <w:szCs w:val="24"/>
        </w:rPr>
        <w:t>when</w:t>
      </w:r>
      <w:r w:rsidRPr="006970C3">
        <w:rPr>
          <w:rFonts w:ascii="Times New Roman" w:hAnsi="Times New Roman"/>
          <w:szCs w:val="24"/>
        </w:rPr>
        <w:t xml:space="preserve"> negotiations were to resume.</w:t>
      </w:r>
    </w:p>
    <w:p w:rsidR="00494589" w:rsidRDefault="00494589" w:rsidP="005A4609">
      <w:pPr>
        <w:widowControl w:val="0"/>
        <w:spacing w:after="120"/>
        <w:ind w:right="-28"/>
        <w:rPr>
          <w:rFonts w:ascii="Times New Roman" w:hAnsi="Times New Roman"/>
          <w:szCs w:val="24"/>
        </w:rPr>
      </w:pPr>
      <w:r w:rsidRPr="00561321">
        <w:rPr>
          <w:rFonts w:ascii="Times New Roman" w:hAnsi="Times New Roman"/>
          <w:b/>
          <w:szCs w:val="24"/>
        </w:rPr>
        <w:t>Paragraph 9</w:t>
      </w:r>
      <w:r>
        <w:rPr>
          <w:rFonts w:ascii="Times New Roman" w:hAnsi="Times New Roman"/>
          <w:szCs w:val="24"/>
        </w:rPr>
        <w:t>: T</w:t>
      </w:r>
      <w:r w:rsidRPr="00046B89">
        <w:rPr>
          <w:rFonts w:ascii="Times New Roman" w:hAnsi="Times New Roman"/>
          <w:szCs w:val="24"/>
        </w:rPr>
        <w:t xml:space="preserve">rade negotiations with Australia and with New Zealand </w:t>
      </w:r>
      <w:r>
        <w:rPr>
          <w:rFonts w:ascii="Times New Roman" w:hAnsi="Times New Roman"/>
          <w:szCs w:val="24"/>
        </w:rPr>
        <w:t>were launched in June 2018.</w:t>
      </w:r>
    </w:p>
    <w:p w:rsidR="00494589" w:rsidRPr="005A4609" w:rsidRDefault="00494589" w:rsidP="005A4609">
      <w:pPr>
        <w:spacing w:after="120"/>
        <w:rPr>
          <w:rFonts w:ascii="Times New Roman" w:hAnsi="Times New Roman"/>
          <w:iCs/>
          <w:szCs w:val="24"/>
        </w:rPr>
      </w:pPr>
      <w:r w:rsidRPr="00511A4A">
        <w:rPr>
          <w:rFonts w:ascii="Times New Roman" w:hAnsi="Times New Roman"/>
          <w:b/>
          <w:szCs w:val="24"/>
        </w:rPr>
        <w:t>Paragraph 10</w:t>
      </w:r>
      <w:r w:rsidRPr="00511A4A">
        <w:rPr>
          <w:rFonts w:ascii="Times New Roman" w:hAnsi="Times New Roman"/>
          <w:szCs w:val="24"/>
        </w:rPr>
        <w:t xml:space="preserve">: </w:t>
      </w:r>
      <w:proofErr w:type="gramStart"/>
      <w:r w:rsidRPr="00511A4A">
        <w:rPr>
          <w:rFonts w:ascii="Times New Roman" w:hAnsi="Times New Roman"/>
          <w:szCs w:val="24"/>
        </w:rPr>
        <w:t xml:space="preserve">Bilateral negotiations on a comprehensive agreement on investment with China </w:t>
      </w:r>
      <w:r>
        <w:rPr>
          <w:rFonts w:ascii="Times New Roman" w:hAnsi="Times New Roman"/>
          <w:szCs w:val="24"/>
        </w:rPr>
        <w:t>is</w:t>
      </w:r>
      <w:proofErr w:type="gramEnd"/>
      <w:r w:rsidRPr="00511A4A">
        <w:rPr>
          <w:rFonts w:ascii="Times New Roman" w:hAnsi="Times New Roman"/>
          <w:szCs w:val="24"/>
        </w:rPr>
        <w:t xml:space="preserve"> a key priority identified in </w:t>
      </w:r>
      <w:r w:rsidRPr="0097350B">
        <w:rPr>
          <w:rFonts w:ascii="Times New Roman" w:hAnsi="Times New Roman"/>
          <w:szCs w:val="24"/>
        </w:rPr>
        <w:t>the EU Strategy on China.</w:t>
      </w:r>
      <w:r w:rsidRPr="00511A4A">
        <w:rPr>
          <w:rFonts w:ascii="Times New Roman" w:hAnsi="Times New Roman"/>
          <w:szCs w:val="24"/>
        </w:rPr>
        <w:t xml:space="preserve"> The </w:t>
      </w:r>
      <w:r>
        <w:rPr>
          <w:rFonts w:ascii="Times New Roman" w:hAnsi="Times New Roman"/>
          <w:szCs w:val="24"/>
        </w:rPr>
        <w:t>main</w:t>
      </w:r>
      <w:r w:rsidRPr="00511A4A">
        <w:rPr>
          <w:rFonts w:ascii="Times New Roman" w:hAnsi="Times New Roman"/>
          <w:szCs w:val="24"/>
        </w:rPr>
        <w:t xml:space="preserve"> objective for the </w:t>
      </w:r>
      <w:r>
        <w:rPr>
          <w:rFonts w:ascii="Times New Roman" w:hAnsi="Times New Roman"/>
          <w:szCs w:val="24"/>
        </w:rPr>
        <w:t>Commission</w:t>
      </w:r>
      <w:r w:rsidRPr="00511A4A">
        <w:rPr>
          <w:rFonts w:ascii="Times New Roman" w:hAnsi="Times New Roman"/>
          <w:szCs w:val="24"/>
        </w:rPr>
        <w:t xml:space="preserve"> in these negotiations is to bring </w:t>
      </w:r>
      <w:r>
        <w:rPr>
          <w:rFonts w:ascii="Times New Roman" w:hAnsi="Times New Roman"/>
          <w:szCs w:val="24"/>
        </w:rPr>
        <w:t xml:space="preserve">considerable </w:t>
      </w:r>
      <w:r w:rsidRPr="00511A4A">
        <w:rPr>
          <w:rFonts w:ascii="Times New Roman" w:hAnsi="Times New Roman"/>
          <w:szCs w:val="24"/>
        </w:rPr>
        <w:t>value-added to the existing framework</w:t>
      </w:r>
      <w:r>
        <w:rPr>
          <w:rFonts w:ascii="Times New Roman" w:hAnsi="Times New Roman"/>
          <w:szCs w:val="24"/>
        </w:rPr>
        <w:t xml:space="preserve"> of bilateral relations</w:t>
      </w:r>
      <w:r w:rsidRPr="00511A4A">
        <w:rPr>
          <w:rFonts w:ascii="Times New Roman" w:hAnsi="Times New Roman"/>
          <w:szCs w:val="24"/>
        </w:rPr>
        <w:t xml:space="preserve">. </w:t>
      </w:r>
      <w:r>
        <w:rPr>
          <w:rFonts w:ascii="Times New Roman" w:hAnsi="Times New Roman"/>
          <w:szCs w:val="24"/>
        </w:rPr>
        <w:t xml:space="preserve">Like </w:t>
      </w:r>
      <w:r w:rsidRPr="00511A4A">
        <w:rPr>
          <w:rFonts w:ascii="Times New Roman" w:hAnsi="Times New Roman"/>
          <w:szCs w:val="24"/>
        </w:rPr>
        <w:t>in all trade and investment agreements, the EU proposes to include</w:t>
      </w:r>
      <w:r>
        <w:rPr>
          <w:rFonts w:ascii="Times New Roman" w:hAnsi="Times New Roman"/>
          <w:szCs w:val="24"/>
        </w:rPr>
        <w:t xml:space="preserve"> </w:t>
      </w:r>
      <w:r w:rsidRPr="00511A4A">
        <w:rPr>
          <w:rFonts w:ascii="Times New Roman" w:hAnsi="Times New Roman"/>
          <w:szCs w:val="24"/>
        </w:rPr>
        <w:t>ambitious chapter</w:t>
      </w:r>
      <w:r>
        <w:rPr>
          <w:rFonts w:ascii="Times New Roman" w:hAnsi="Times New Roman"/>
          <w:szCs w:val="24"/>
        </w:rPr>
        <w:t>s</w:t>
      </w:r>
      <w:r w:rsidRPr="00511A4A">
        <w:rPr>
          <w:rFonts w:ascii="Times New Roman" w:hAnsi="Times New Roman"/>
          <w:szCs w:val="24"/>
        </w:rPr>
        <w:t xml:space="preserve"> on investment and sustainable development.</w:t>
      </w:r>
    </w:p>
    <w:p w:rsidR="00494589" w:rsidRPr="003B4145" w:rsidRDefault="00494589" w:rsidP="005A4609">
      <w:pPr>
        <w:widowControl w:val="0"/>
        <w:spacing w:after="120"/>
        <w:ind w:right="-28"/>
        <w:rPr>
          <w:rFonts w:ascii="Times New Roman" w:hAnsi="Times New Roman"/>
          <w:szCs w:val="24"/>
        </w:rPr>
      </w:pPr>
      <w:r w:rsidRPr="00BB2BA0">
        <w:rPr>
          <w:rFonts w:ascii="Times New Roman" w:hAnsi="Times New Roman"/>
          <w:b/>
          <w:szCs w:val="24"/>
        </w:rPr>
        <w:t>Paragraph 11</w:t>
      </w:r>
      <w:r>
        <w:rPr>
          <w:rFonts w:ascii="Times New Roman" w:hAnsi="Times New Roman"/>
          <w:szCs w:val="24"/>
        </w:rPr>
        <w:t xml:space="preserve">: </w:t>
      </w:r>
      <w:r w:rsidRPr="00743034">
        <w:rPr>
          <w:rFonts w:ascii="Times New Roman" w:hAnsi="Times New Roman"/>
          <w:szCs w:val="24"/>
        </w:rPr>
        <w:t>The EU has a long-established approach</w:t>
      </w:r>
      <w:r>
        <w:rPr>
          <w:rFonts w:ascii="Times New Roman" w:hAnsi="Times New Roman"/>
          <w:szCs w:val="24"/>
        </w:rPr>
        <w:t xml:space="preserve"> i</w:t>
      </w:r>
      <w:r w:rsidRPr="00743034">
        <w:rPr>
          <w:rFonts w:ascii="Times New Roman" w:hAnsi="Times New Roman"/>
          <w:szCs w:val="24"/>
        </w:rPr>
        <w:t>n the WTO (GATS) and in</w:t>
      </w:r>
      <w:r>
        <w:rPr>
          <w:rFonts w:ascii="Times New Roman" w:hAnsi="Times New Roman"/>
          <w:szCs w:val="24"/>
        </w:rPr>
        <w:t xml:space="preserve"> its FTAs</w:t>
      </w:r>
      <w:r w:rsidRPr="00743034">
        <w:rPr>
          <w:rFonts w:ascii="Times New Roman" w:hAnsi="Times New Roman"/>
          <w:szCs w:val="24"/>
        </w:rPr>
        <w:t xml:space="preserve"> to protect </w:t>
      </w:r>
      <w:r>
        <w:rPr>
          <w:rFonts w:ascii="Times New Roman" w:hAnsi="Times New Roman"/>
          <w:szCs w:val="24"/>
        </w:rPr>
        <w:t xml:space="preserve">the supply of </w:t>
      </w:r>
      <w:r w:rsidRPr="00743034">
        <w:rPr>
          <w:rFonts w:ascii="Times New Roman" w:hAnsi="Times New Roman"/>
          <w:szCs w:val="24"/>
        </w:rPr>
        <w:t xml:space="preserve">public services. No EU </w:t>
      </w:r>
      <w:r>
        <w:rPr>
          <w:rFonts w:ascii="Times New Roman" w:hAnsi="Times New Roman"/>
          <w:szCs w:val="24"/>
        </w:rPr>
        <w:t>FTA obliges</w:t>
      </w:r>
      <w:r w:rsidRPr="00743034">
        <w:rPr>
          <w:rFonts w:ascii="Times New Roman" w:hAnsi="Times New Roman"/>
          <w:szCs w:val="24"/>
        </w:rPr>
        <w:t xml:space="preserve"> governments to privatise or deregulate any public service at </w:t>
      </w:r>
      <w:r>
        <w:rPr>
          <w:rFonts w:ascii="Times New Roman" w:hAnsi="Times New Roman"/>
          <w:szCs w:val="24"/>
        </w:rPr>
        <w:t>any</w:t>
      </w:r>
      <w:r w:rsidRPr="00743034">
        <w:rPr>
          <w:rFonts w:ascii="Times New Roman" w:hAnsi="Times New Roman"/>
          <w:szCs w:val="24"/>
        </w:rPr>
        <w:t xml:space="preserve"> level</w:t>
      </w:r>
      <w:r>
        <w:rPr>
          <w:rFonts w:ascii="Times New Roman" w:hAnsi="Times New Roman"/>
          <w:szCs w:val="24"/>
        </w:rPr>
        <w:t xml:space="preserve"> of government</w:t>
      </w:r>
      <w:r w:rsidRPr="00743034">
        <w:rPr>
          <w:rFonts w:ascii="Times New Roman" w:hAnsi="Times New Roman"/>
          <w:szCs w:val="24"/>
        </w:rPr>
        <w:t>.</w:t>
      </w:r>
      <w:r>
        <w:rPr>
          <w:rFonts w:ascii="Times New Roman" w:hAnsi="Times New Roman"/>
          <w:szCs w:val="24"/>
        </w:rPr>
        <w:t xml:space="preserve"> Likewise, EU FTAs do not require EU </w:t>
      </w:r>
      <w:r w:rsidRPr="00743034">
        <w:rPr>
          <w:rFonts w:ascii="Times New Roman" w:hAnsi="Times New Roman"/>
          <w:szCs w:val="24"/>
        </w:rPr>
        <w:t xml:space="preserve">Member States' authorities </w:t>
      </w:r>
      <w:r w:rsidRPr="00ED3EBE">
        <w:rPr>
          <w:rFonts w:ascii="Times New Roman" w:hAnsi="Times New Roman"/>
          <w:szCs w:val="24"/>
        </w:rPr>
        <w:t xml:space="preserve">to extend domestic subsidies to </w:t>
      </w:r>
      <w:proofErr w:type="gramStart"/>
      <w:r w:rsidRPr="00ED3EBE">
        <w:rPr>
          <w:rFonts w:ascii="Times New Roman" w:hAnsi="Times New Roman"/>
          <w:szCs w:val="24"/>
        </w:rPr>
        <w:t>foreign service</w:t>
      </w:r>
      <w:proofErr w:type="gramEnd"/>
      <w:r w:rsidRPr="00ED3EBE">
        <w:rPr>
          <w:rFonts w:ascii="Times New Roman" w:hAnsi="Times New Roman"/>
          <w:szCs w:val="24"/>
        </w:rPr>
        <w:t xml:space="preserve"> suppliers</w:t>
      </w:r>
      <w:r>
        <w:rPr>
          <w:rFonts w:ascii="Times New Roman" w:hAnsi="Times New Roman"/>
          <w:szCs w:val="24"/>
        </w:rPr>
        <w:t xml:space="preserve">. EU </w:t>
      </w:r>
      <w:r w:rsidRPr="00743034">
        <w:rPr>
          <w:rFonts w:ascii="Times New Roman" w:hAnsi="Times New Roman"/>
          <w:szCs w:val="24"/>
        </w:rPr>
        <w:t>Member States' authorities</w:t>
      </w:r>
      <w:r>
        <w:rPr>
          <w:rFonts w:ascii="Times New Roman" w:hAnsi="Times New Roman"/>
          <w:szCs w:val="24"/>
        </w:rPr>
        <w:t xml:space="preserve"> </w:t>
      </w:r>
      <w:r w:rsidRPr="00743034">
        <w:rPr>
          <w:rFonts w:ascii="Times New Roman" w:hAnsi="Times New Roman"/>
          <w:szCs w:val="24"/>
        </w:rPr>
        <w:t xml:space="preserve">retain the right to </w:t>
      </w:r>
      <w:r>
        <w:rPr>
          <w:rFonts w:ascii="Times New Roman" w:hAnsi="Times New Roman"/>
          <w:szCs w:val="24"/>
        </w:rPr>
        <w:t xml:space="preserve">renationalise </w:t>
      </w:r>
      <w:r w:rsidRPr="00743034">
        <w:rPr>
          <w:rFonts w:ascii="Times New Roman" w:hAnsi="Times New Roman"/>
          <w:szCs w:val="24"/>
        </w:rPr>
        <w:t xml:space="preserve">privately provided </w:t>
      </w:r>
      <w:r>
        <w:rPr>
          <w:rFonts w:ascii="Times New Roman" w:hAnsi="Times New Roman"/>
          <w:szCs w:val="24"/>
        </w:rPr>
        <w:t xml:space="preserve">public </w:t>
      </w:r>
      <w:r w:rsidRPr="00743034">
        <w:rPr>
          <w:rFonts w:ascii="Times New Roman" w:hAnsi="Times New Roman"/>
          <w:szCs w:val="24"/>
        </w:rPr>
        <w:t xml:space="preserve">services. There is no general right </w:t>
      </w:r>
      <w:r>
        <w:rPr>
          <w:rFonts w:ascii="Times New Roman" w:hAnsi="Times New Roman"/>
          <w:szCs w:val="24"/>
        </w:rPr>
        <w:t xml:space="preserve">granted to </w:t>
      </w:r>
      <w:proofErr w:type="gramStart"/>
      <w:r>
        <w:rPr>
          <w:rFonts w:ascii="Times New Roman" w:hAnsi="Times New Roman"/>
          <w:szCs w:val="24"/>
        </w:rPr>
        <w:t xml:space="preserve">foreign </w:t>
      </w:r>
      <w:r w:rsidRPr="00ED3EBE">
        <w:rPr>
          <w:rFonts w:ascii="Times New Roman" w:hAnsi="Times New Roman"/>
          <w:szCs w:val="24"/>
        </w:rPr>
        <w:t>service</w:t>
      </w:r>
      <w:proofErr w:type="gramEnd"/>
      <w:r w:rsidRPr="00ED3EBE">
        <w:rPr>
          <w:rFonts w:ascii="Times New Roman" w:hAnsi="Times New Roman"/>
          <w:szCs w:val="24"/>
        </w:rPr>
        <w:t xml:space="preserve"> suppliers to invest in or supply pub</w:t>
      </w:r>
      <w:r>
        <w:rPr>
          <w:rFonts w:ascii="Times New Roman" w:hAnsi="Times New Roman"/>
          <w:szCs w:val="24"/>
        </w:rPr>
        <w:t>lic services</w:t>
      </w:r>
      <w:r w:rsidRPr="00ED3EBE">
        <w:rPr>
          <w:rFonts w:ascii="Times New Roman" w:hAnsi="Times New Roman"/>
          <w:szCs w:val="24"/>
        </w:rPr>
        <w:t>.</w:t>
      </w:r>
      <w:r>
        <w:rPr>
          <w:rFonts w:ascii="Times New Roman" w:hAnsi="Times New Roman"/>
          <w:szCs w:val="24"/>
        </w:rPr>
        <w:t xml:space="preserve"> T</w:t>
      </w:r>
      <w:r w:rsidRPr="00743034">
        <w:rPr>
          <w:rFonts w:ascii="Times New Roman" w:hAnsi="Times New Roman"/>
          <w:szCs w:val="24"/>
        </w:rPr>
        <w:t xml:space="preserve">he EU has systematically included an EU-wide exception </w:t>
      </w:r>
      <w:r w:rsidRPr="00ED3EBE">
        <w:rPr>
          <w:rFonts w:ascii="Times New Roman" w:hAnsi="Times New Roman"/>
          <w:szCs w:val="24"/>
        </w:rPr>
        <w:t>to the granting of market access to supply</w:t>
      </w:r>
      <w:r w:rsidRPr="00743034">
        <w:rPr>
          <w:rFonts w:ascii="Times New Roman" w:hAnsi="Times New Roman"/>
          <w:szCs w:val="24"/>
        </w:rPr>
        <w:t xml:space="preserve"> </w:t>
      </w:r>
      <w:r w:rsidRPr="00ED3EBE">
        <w:rPr>
          <w:rFonts w:ascii="Times New Roman" w:hAnsi="Times New Roman"/>
          <w:szCs w:val="24"/>
        </w:rPr>
        <w:t>services considered to be public utilities</w:t>
      </w:r>
      <w:r w:rsidRPr="00743034">
        <w:rPr>
          <w:rFonts w:ascii="Times New Roman" w:hAnsi="Times New Roman"/>
          <w:szCs w:val="24"/>
        </w:rPr>
        <w:t>.</w:t>
      </w:r>
      <w:r>
        <w:rPr>
          <w:rFonts w:ascii="Times New Roman" w:hAnsi="Times New Roman"/>
          <w:szCs w:val="24"/>
        </w:rPr>
        <w:t xml:space="preserve"> Moreover, t</w:t>
      </w:r>
      <w:r w:rsidRPr="00743034">
        <w:rPr>
          <w:rFonts w:ascii="Times New Roman" w:hAnsi="Times New Roman"/>
          <w:szCs w:val="24"/>
        </w:rPr>
        <w:t xml:space="preserve">he EU </w:t>
      </w:r>
      <w:r>
        <w:rPr>
          <w:rFonts w:ascii="Times New Roman" w:hAnsi="Times New Roman"/>
          <w:szCs w:val="24"/>
        </w:rPr>
        <w:t>systematically</w:t>
      </w:r>
      <w:r w:rsidRPr="00743034">
        <w:rPr>
          <w:rFonts w:ascii="Times New Roman" w:hAnsi="Times New Roman"/>
          <w:szCs w:val="24"/>
        </w:rPr>
        <w:t xml:space="preserve"> exclude</w:t>
      </w:r>
      <w:r>
        <w:rPr>
          <w:rFonts w:ascii="Times New Roman" w:hAnsi="Times New Roman"/>
          <w:szCs w:val="24"/>
        </w:rPr>
        <w:t xml:space="preserve">s water management services, </w:t>
      </w:r>
      <w:r w:rsidRPr="00743034">
        <w:rPr>
          <w:rFonts w:ascii="Times New Roman" w:hAnsi="Times New Roman"/>
          <w:szCs w:val="24"/>
        </w:rPr>
        <w:t>publicly-funded health</w:t>
      </w:r>
      <w:r>
        <w:rPr>
          <w:rFonts w:ascii="Times New Roman" w:hAnsi="Times New Roman"/>
          <w:szCs w:val="24"/>
        </w:rPr>
        <w:t>,</w:t>
      </w:r>
      <w:r w:rsidRPr="00743034">
        <w:rPr>
          <w:rFonts w:ascii="Times New Roman" w:hAnsi="Times New Roman"/>
          <w:szCs w:val="24"/>
        </w:rPr>
        <w:t xml:space="preserve"> social</w:t>
      </w:r>
      <w:r>
        <w:rPr>
          <w:rFonts w:ascii="Times New Roman" w:hAnsi="Times New Roman"/>
          <w:szCs w:val="24"/>
        </w:rPr>
        <w:t xml:space="preserve"> services and education as well as </w:t>
      </w:r>
      <w:r w:rsidRPr="00743034">
        <w:rPr>
          <w:rFonts w:ascii="Times New Roman" w:hAnsi="Times New Roman"/>
          <w:szCs w:val="24"/>
        </w:rPr>
        <w:t xml:space="preserve">film, TV and other audio-visual services </w:t>
      </w:r>
      <w:r>
        <w:rPr>
          <w:rFonts w:ascii="Times New Roman" w:hAnsi="Times New Roman"/>
          <w:szCs w:val="24"/>
        </w:rPr>
        <w:t>from any commitments.</w:t>
      </w:r>
    </w:p>
    <w:p w:rsidR="00494589" w:rsidRPr="00511A4A" w:rsidRDefault="00494589" w:rsidP="005A4609">
      <w:pPr>
        <w:widowControl w:val="0"/>
        <w:spacing w:after="120"/>
        <w:ind w:right="-28"/>
        <w:rPr>
          <w:rFonts w:ascii="Times New Roman" w:hAnsi="Times New Roman"/>
          <w:szCs w:val="24"/>
        </w:rPr>
      </w:pPr>
      <w:r w:rsidRPr="00511A4A">
        <w:rPr>
          <w:rFonts w:ascii="Times New Roman" w:hAnsi="Times New Roman"/>
          <w:b/>
          <w:szCs w:val="24"/>
        </w:rPr>
        <w:t>Paragraph 12</w:t>
      </w:r>
      <w:r w:rsidRPr="00511A4A">
        <w:rPr>
          <w:rFonts w:ascii="Times New Roman" w:hAnsi="Times New Roman"/>
          <w:szCs w:val="24"/>
        </w:rPr>
        <w:t xml:space="preserve">: </w:t>
      </w:r>
      <w:r>
        <w:rPr>
          <w:rFonts w:ascii="Times New Roman" w:hAnsi="Times New Roman"/>
          <w:szCs w:val="24"/>
        </w:rPr>
        <w:t>The Council may review and update its negotiating directives at any time.</w:t>
      </w:r>
    </w:p>
    <w:p w:rsidR="00494589" w:rsidRPr="00094372" w:rsidRDefault="00494589" w:rsidP="005A4609">
      <w:pPr>
        <w:spacing w:after="120"/>
        <w:rPr>
          <w:rFonts w:ascii="Times New Roman" w:hAnsi="Times New Roman"/>
          <w:szCs w:val="24"/>
        </w:rPr>
      </w:pPr>
      <w:r w:rsidRPr="001268E6">
        <w:rPr>
          <w:rFonts w:ascii="Times New Roman" w:hAnsi="Times New Roman"/>
          <w:b/>
          <w:szCs w:val="24"/>
        </w:rPr>
        <w:t>Paragraph 13</w:t>
      </w:r>
      <w:r w:rsidRPr="00511A4A">
        <w:rPr>
          <w:rFonts w:ascii="Times New Roman" w:hAnsi="Times New Roman"/>
          <w:szCs w:val="24"/>
        </w:rPr>
        <w:t xml:space="preserve">: </w:t>
      </w:r>
      <w:r w:rsidRPr="00A704ED">
        <w:rPr>
          <w:rFonts w:ascii="Times New Roman" w:hAnsi="Times New Roman"/>
          <w:szCs w:val="24"/>
        </w:rPr>
        <w:t>There are</w:t>
      </w:r>
      <w:r w:rsidRPr="00696819">
        <w:rPr>
          <w:rFonts w:ascii="Times New Roman" w:hAnsi="Times New Roman"/>
          <w:szCs w:val="24"/>
        </w:rPr>
        <w:t xml:space="preserve"> bilateral </w:t>
      </w:r>
      <w:r w:rsidRPr="00BF3243">
        <w:rPr>
          <w:rFonts w:ascii="Times New Roman" w:hAnsi="Times New Roman"/>
          <w:szCs w:val="24"/>
        </w:rPr>
        <w:t>working groups with Hong Kong and Taiwan, in which investment experts have been meeting several times.</w:t>
      </w:r>
      <w:r w:rsidRPr="00E71B45">
        <w:t xml:space="preserve"> </w:t>
      </w:r>
      <w:r w:rsidRPr="00E71B45">
        <w:rPr>
          <w:rFonts w:ascii="Times New Roman" w:hAnsi="Times New Roman"/>
          <w:szCs w:val="24"/>
        </w:rPr>
        <w:t>After finalising its internal assessment, the Commission will make a decision on the opportunity to launch negotiations on investment agreements with H</w:t>
      </w:r>
      <w:r>
        <w:rPr>
          <w:rFonts w:ascii="Times New Roman" w:hAnsi="Times New Roman"/>
          <w:szCs w:val="24"/>
        </w:rPr>
        <w:t xml:space="preserve">ong </w:t>
      </w:r>
      <w:r w:rsidRPr="00E71B45">
        <w:rPr>
          <w:rFonts w:ascii="Times New Roman" w:hAnsi="Times New Roman"/>
          <w:szCs w:val="24"/>
        </w:rPr>
        <w:t>K</w:t>
      </w:r>
      <w:r>
        <w:rPr>
          <w:rFonts w:ascii="Times New Roman" w:hAnsi="Times New Roman"/>
          <w:szCs w:val="24"/>
        </w:rPr>
        <w:t>ong</w:t>
      </w:r>
      <w:r w:rsidRPr="00E71B45">
        <w:rPr>
          <w:rFonts w:ascii="Times New Roman" w:hAnsi="Times New Roman"/>
          <w:szCs w:val="24"/>
        </w:rPr>
        <w:t xml:space="preserve"> and Taiwan.</w:t>
      </w:r>
      <w:r w:rsidRPr="00BF3243">
        <w:rPr>
          <w:rFonts w:ascii="Times New Roman" w:hAnsi="Times New Roman"/>
          <w:szCs w:val="24"/>
        </w:rPr>
        <w:t xml:space="preserve"> </w:t>
      </w:r>
      <w:r>
        <w:rPr>
          <w:rFonts w:ascii="Times New Roman" w:hAnsi="Times New Roman"/>
          <w:szCs w:val="24"/>
        </w:rPr>
        <w:t>It is to be recalled that t</w:t>
      </w:r>
      <w:r w:rsidRPr="00BF3243">
        <w:rPr>
          <w:rFonts w:ascii="Times New Roman" w:hAnsi="Times New Roman"/>
          <w:szCs w:val="24"/>
        </w:rPr>
        <w:t>he final decision to launch negotiations lies with the Council.</w:t>
      </w:r>
    </w:p>
    <w:p w:rsidR="00494589" w:rsidRPr="00384924" w:rsidRDefault="00494589" w:rsidP="005A4609">
      <w:pPr>
        <w:widowControl w:val="0"/>
        <w:spacing w:after="120"/>
        <w:ind w:right="-28"/>
        <w:rPr>
          <w:rFonts w:ascii="Times New Roman" w:hAnsi="Times New Roman"/>
          <w:szCs w:val="24"/>
          <w:lang w:val="en-US"/>
        </w:rPr>
      </w:pPr>
      <w:r w:rsidRPr="003B4145">
        <w:rPr>
          <w:rFonts w:ascii="Times New Roman" w:hAnsi="Times New Roman"/>
          <w:b/>
          <w:szCs w:val="24"/>
        </w:rPr>
        <w:t>Paragraph 14</w:t>
      </w:r>
      <w:r>
        <w:rPr>
          <w:rFonts w:ascii="Times New Roman" w:hAnsi="Times New Roman"/>
          <w:szCs w:val="24"/>
        </w:rPr>
        <w:t>: The Commission thanks</w:t>
      </w:r>
      <w:r w:rsidRPr="00384924">
        <w:rPr>
          <w:rFonts w:ascii="Times New Roman" w:hAnsi="Times New Roman"/>
          <w:szCs w:val="24"/>
        </w:rPr>
        <w:t xml:space="preserve"> the European Parliament for its support of the Commission's efforts to reform the international investment dispute settlement regime. The Commission is fully engaged in the ongoing process in the United Nations Commission on International Trade Law</w:t>
      </w:r>
      <w:r>
        <w:rPr>
          <w:rFonts w:ascii="Times New Roman" w:hAnsi="Times New Roman"/>
          <w:szCs w:val="24"/>
        </w:rPr>
        <w:t>. This is a transparent process</w:t>
      </w:r>
      <w:r w:rsidRPr="00384924">
        <w:rPr>
          <w:rFonts w:ascii="Times New Roman" w:hAnsi="Times New Roman"/>
          <w:szCs w:val="24"/>
        </w:rPr>
        <w:t xml:space="preserve"> where states and civil society are considering how to multilaterally reform the current system of investment dispute resolution</w:t>
      </w:r>
      <w:r>
        <w:rPr>
          <w:rFonts w:ascii="Times New Roman" w:hAnsi="Times New Roman"/>
          <w:szCs w:val="24"/>
        </w:rPr>
        <w:t>.</w:t>
      </w:r>
      <w:r w:rsidRPr="00384924">
        <w:rPr>
          <w:rFonts w:ascii="Times New Roman" w:hAnsi="Times New Roman"/>
          <w:szCs w:val="24"/>
        </w:rPr>
        <w:t xml:space="preserve"> </w:t>
      </w:r>
      <w:r>
        <w:rPr>
          <w:rFonts w:ascii="Times New Roman" w:hAnsi="Times New Roman"/>
          <w:szCs w:val="24"/>
        </w:rPr>
        <w:t xml:space="preserve">Many of the ideas under discussion in this process reflect </w:t>
      </w:r>
      <w:r w:rsidRPr="00384924">
        <w:rPr>
          <w:rFonts w:ascii="Times New Roman" w:hAnsi="Times New Roman"/>
          <w:szCs w:val="24"/>
        </w:rPr>
        <w:t>the concerns ra</w:t>
      </w:r>
      <w:r>
        <w:rPr>
          <w:rFonts w:ascii="Times New Roman" w:hAnsi="Times New Roman"/>
          <w:szCs w:val="24"/>
        </w:rPr>
        <w:t>ised by the European Parliament</w:t>
      </w:r>
      <w:r w:rsidRPr="00384924">
        <w:rPr>
          <w:rFonts w:ascii="Times New Roman" w:hAnsi="Times New Roman"/>
          <w:szCs w:val="24"/>
        </w:rPr>
        <w:t>.</w:t>
      </w:r>
    </w:p>
    <w:p w:rsidR="00494589" w:rsidRPr="008312A5" w:rsidRDefault="00494589" w:rsidP="005A4609">
      <w:pPr>
        <w:widowControl w:val="0"/>
        <w:spacing w:after="120"/>
        <w:ind w:right="-28"/>
        <w:rPr>
          <w:rFonts w:ascii="Times New Roman" w:hAnsi="Times New Roman"/>
          <w:szCs w:val="24"/>
        </w:rPr>
      </w:pPr>
      <w:r w:rsidRPr="003B4145">
        <w:rPr>
          <w:rFonts w:ascii="Times New Roman" w:hAnsi="Times New Roman"/>
          <w:b/>
          <w:szCs w:val="24"/>
        </w:rPr>
        <w:t>Paragraph 15</w:t>
      </w:r>
      <w:r>
        <w:rPr>
          <w:rFonts w:ascii="Times New Roman" w:hAnsi="Times New Roman"/>
          <w:szCs w:val="24"/>
        </w:rPr>
        <w:t xml:space="preserve">: </w:t>
      </w:r>
      <w:r w:rsidRPr="00384924">
        <w:rPr>
          <w:rFonts w:ascii="Times New Roman" w:hAnsi="Times New Roman"/>
          <w:szCs w:val="24"/>
        </w:rPr>
        <w:t xml:space="preserve">The ratification of the Mauritius Convention on Transparency in Treaty-based Investor-State Arbitration is currently blocked at the Council and action needs to be taken accordingly. The Commission is making efforts in that sense but action from the </w:t>
      </w:r>
      <w:r>
        <w:rPr>
          <w:rFonts w:ascii="Times New Roman" w:hAnsi="Times New Roman"/>
          <w:szCs w:val="24"/>
        </w:rPr>
        <w:t xml:space="preserve">side of the </w:t>
      </w:r>
      <w:r w:rsidRPr="00384924">
        <w:rPr>
          <w:rFonts w:ascii="Times New Roman" w:hAnsi="Times New Roman"/>
          <w:szCs w:val="24"/>
        </w:rPr>
        <w:t>Council is paramount.</w:t>
      </w:r>
      <w:r>
        <w:rPr>
          <w:rFonts w:ascii="Times New Roman" w:hAnsi="Times New Roman"/>
          <w:szCs w:val="24"/>
        </w:rPr>
        <w:t xml:space="preserve"> </w:t>
      </w:r>
      <w:r w:rsidRPr="00660086">
        <w:rPr>
          <w:rFonts w:ascii="Times New Roman" w:hAnsi="Times New Roman"/>
          <w:szCs w:val="24"/>
        </w:rPr>
        <w:t xml:space="preserve">The Commission takes note of the suggestion concerning </w:t>
      </w:r>
      <w:r w:rsidR="00CD5775">
        <w:rPr>
          <w:rFonts w:ascii="Times New Roman" w:hAnsi="Times New Roman"/>
          <w:szCs w:val="24"/>
        </w:rPr>
        <w:t xml:space="preserve">the </w:t>
      </w:r>
      <w:r w:rsidRPr="00660086">
        <w:rPr>
          <w:rFonts w:ascii="Times New Roman" w:hAnsi="Times New Roman"/>
          <w:szCs w:val="24"/>
        </w:rPr>
        <w:t>EU Regulation 1219/2012. The Commission wishes to underline that it is committed to issue a comprehensive report on the application of that Regulation by 2020, including an overview of authorisations requested and granted, in line wit</w:t>
      </w:r>
      <w:r>
        <w:rPr>
          <w:rFonts w:ascii="Times New Roman" w:hAnsi="Times New Roman"/>
          <w:szCs w:val="24"/>
        </w:rPr>
        <w:t>h Article 15 of the Regulation.</w:t>
      </w:r>
    </w:p>
    <w:p w:rsidR="00494589" w:rsidRPr="005A4609" w:rsidRDefault="00494589" w:rsidP="005A4609">
      <w:pPr>
        <w:widowControl w:val="0"/>
        <w:spacing w:after="120"/>
        <w:ind w:right="-28"/>
        <w:rPr>
          <w:rFonts w:ascii="Times New Roman" w:hAnsi="Times New Roman"/>
          <w:szCs w:val="24"/>
        </w:rPr>
      </w:pPr>
      <w:r w:rsidRPr="00F6142A">
        <w:rPr>
          <w:rFonts w:ascii="Times New Roman" w:hAnsi="Times New Roman"/>
          <w:b/>
          <w:szCs w:val="24"/>
        </w:rPr>
        <w:t>Paragraph 16</w:t>
      </w:r>
      <w:r w:rsidRPr="00F6142A">
        <w:rPr>
          <w:rFonts w:ascii="Times New Roman" w:hAnsi="Times New Roman"/>
          <w:szCs w:val="24"/>
        </w:rPr>
        <w:t xml:space="preserve">: </w:t>
      </w:r>
      <w:r>
        <w:rPr>
          <w:rFonts w:ascii="Times New Roman" w:hAnsi="Times New Roman"/>
          <w:szCs w:val="24"/>
        </w:rPr>
        <w:t>T</w:t>
      </w:r>
      <w:r w:rsidRPr="0049494B">
        <w:rPr>
          <w:rFonts w:ascii="Times New Roman" w:hAnsi="Times New Roman"/>
          <w:szCs w:val="24"/>
        </w:rPr>
        <w:t>ogether with the EEAS and EU Member States, the Commission</w:t>
      </w:r>
      <w:r>
        <w:rPr>
          <w:rFonts w:ascii="Times New Roman" w:hAnsi="Times New Roman"/>
          <w:szCs w:val="24"/>
        </w:rPr>
        <w:t xml:space="preserve"> </w:t>
      </w:r>
      <w:r w:rsidRPr="0049494B">
        <w:rPr>
          <w:rFonts w:ascii="Times New Roman" w:hAnsi="Times New Roman"/>
          <w:szCs w:val="24"/>
        </w:rPr>
        <w:t>prepare</w:t>
      </w:r>
      <w:r>
        <w:rPr>
          <w:rFonts w:ascii="Times New Roman" w:hAnsi="Times New Roman"/>
          <w:szCs w:val="24"/>
        </w:rPr>
        <w:t>s</w:t>
      </w:r>
      <w:r w:rsidRPr="0049494B">
        <w:rPr>
          <w:rFonts w:ascii="Times New Roman" w:hAnsi="Times New Roman"/>
          <w:szCs w:val="24"/>
        </w:rPr>
        <w:t xml:space="preserve"> for the UN discussions on a possible future </w:t>
      </w:r>
      <w:r>
        <w:rPr>
          <w:rFonts w:ascii="Times New Roman" w:hAnsi="Times New Roman"/>
          <w:szCs w:val="24"/>
        </w:rPr>
        <w:t>B</w:t>
      </w:r>
      <w:r w:rsidRPr="0049494B">
        <w:rPr>
          <w:rFonts w:ascii="Times New Roman" w:hAnsi="Times New Roman"/>
          <w:szCs w:val="24"/>
        </w:rPr>
        <w:t xml:space="preserve">inding </w:t>
      </w:r>
      <w:r>
        <w:rPr>
          <w:rFonts w:ascii="Times New Roman" w:hAnsi="Times New Roman"/>
          <w:szCs w:val="24"/>
        </w:rPr>
        <w:t>T</w:t>
      </w:r>
      <w:r w:rsidRPr="0049494B">
        <w:rPr>
          <w:rFonts w:ascii="Times New Roman" w:hAnsi="Times New Roman"/>
          <w:szCs w:val="24"/>
        </w:rPr>
        <w:t>reaty on Business and Human Rights. Preparatory meetings are being held with experts on various issues as well as with civil society organisations.</w:t>
      </w:r>
    </w:p>
    <w:p w:rsidR="00494589" w:rsidRDefault="00494589" w:rsidP="007B14A0">
      <w:pPr>
        <w:spacing w:after="120"/>
        <w:ind w:right="-28"/>
        <w:rPr>
          <w:rFonts w:ascii="Times New Roman" w:hAnsi="Times New Roman"/>
        </w:rPr>
      </w:pPr>
      <w:r w:rsidRPr="00511A4A">
        <w:rPr>
          <w:rFonts w:ascii="Times New Roman" w:hAnsi="Times New Roman"/>
          <w:b/>
          <w:szCs w:val="24"/>
        </w:rPr>
        <w:t>Paragraph 17</w:t>
      </w:r>
      <w:r w:rsidRPr="00511A4A">
        <w:rPr>
          <w:rFonts w:ascii="Times New Roman" w:hAnsi="Times New Roman"/>
          <w:szCs w:val="24"/>
        </w:rPr>
        <w:t>:</w:t>
      </w:r>
      <w:r w:rsidRPr="00511A4A">
        <w:rPr>
          <w:rFonts w:ascii="Times New Roman" w:hAnsi="Times New Roman"/>
        </w:rPr>
        <w:t xml:space="preserve"> Following the 2011 reform, new rules of origin are gradually introduced in new FTAs, which consider EU offensive and defensive interests as well as the EU industry</w:t>
      </w:r>
      <w:r>
        <w:rPr>
          <w:rFonts w:ascii="Times New Roman" w:hAnsi="Times New Roman"/>
        </w:rPr>
        <w:t>'</w:t>
      </w:r>
      <w:r w:rsidRPr="00511A4A">
        <w:rPr>
          <w:rFonts w:ascii="Times New Roman" w:hAnsi="Times New Roman"/>
        </w:rPr>
        <w:t xml:space="preserve">s integration into global value chains. The EU has also recently modernised procedural requirements by dropping governmental certificates and introducing self-certification of exporters. In addition, the Commission continues its efforts to unblock the Regional Convention on pan-Euro-Mediterranean rules of origin revision process. A report on rules of origin in the form of a Staff Working </w:t>
      </w:r>
      <w:r>
        <w:rPr>
          <w:rFonts w:ascii="Times New Roman" w:hAnsi="Times New Roman"/>
        </w:rPr>
        <w:t xml:space="preserve">Document </w:t>
      </w:r>
      <w:r w:rsidRPr="00511A4A">
        <w:rPr>
          <w:rFonts w:ascii="Times New Roman" w:hAnsi="Times New Roman"/>
        </w:rPr>
        <w:t xml:space="preserve">is planned </w:t>
      </w:r>
      <w:r>
        <w:rPr>
          <w:rFonts w:ascii="Times New Roman" w:hAnsi="Times New Roman"/>
        </w:rPr>
        <w:t>by</w:t>
      </w:r>
      <w:r w:rsidRPr="00511A4A">
        <w:rPr>
          <w:rFonts w:ascii="Times New Roman" w:hAnsi="Times New Roman"/>
        </w:rPr>
        <w:t xml:space="preserve"> </w:t>
      </w:r>
      <w:r>
        <w:rPr>
          <w:rFonts w:ascii="Times New Roman" w:hAnsi="Times New Roman"/>
        </w:rPr>
        <w:t xml:space="preserve">the </w:t>
      </w:r>
      <w:r w:rsidRPr="00511A4A">
        <w:rPr>
          <w:rFonts w:ascii="Times New Roman" w:hAnsi="Times New Roman"/>
        </w:rPr>
        <w:t>end of 2018.</w:t>
      </w:r>
    </w:p>
    <w:p w:rsidR="00494589" w:rsidRPr="00A332C0" w:rsidRDefault="00494589" w:rsidP="005A4609">
      <w:pPr>
        <w:spacing w:after="120"/>
        <w:rPr>
          <w:rFonts w:ascii="Times New Roman" w:hAnsi="Times New Roman"/>
        </w:rPr>
      </w:pPr>
      <w:r w:rsidRPr="00023FE1">
        <w:rPr>
          <w:rFonts w:ascii="Times New Roman" w:hAnsi="Times New Roman"/>
          <w:b/>
        </w:rPr>
        <w:t>Paragraph 19</w:t>
      </w:r>
      <w:r w:rsidRPr="00023FE1">
        <w:rPr>
          <w:rFonts w:ascii="Times New Roman" w:hAnsi="Times New Roman"/>
        </w:rPr>
        <w:t xml:space="preserve">: As highlighted in </w:t>
      </w:r>
      <w:r>
        <w:rPr>
          <w:rFonts w:ascii="Times New Roman" w:hAnsi="Times New Roman"/>
        </w:rPr>
        <w:t xml:space="preserve">the </w:t>
      </w:r>
      <w:r w:rsidRPr="00023FE1">
        <w:rPr>
          <w:rFonts w:ascii="Times New Roman" w:hAnsi="Times New Roman"/>
        </w:rPr>
        <w:t>Trade for All</w:t>
      </w:r>
      <w:r>
        <w:rPr>
          <w:rFonts w:ascii="Times New Roman" w:hAnsi="Times New Roman"/>
        </w:rPr>
        <w:t xml:space="preserve"> Communication of 2015</w:t>
      </w:r>
      <w:r w:rsidRPr="00023FE1">
        <w:rPr>
          <w:rFonts w:ascii="Times New Roman" w:hAnsi="Times New Roman"/>
        </w:rPr>
        <w:t>, the Commission is committed to ensuring that FTAs provide</w:t>
      </w:r>
      <w:r>
        <w:rPr>
          <w:rFonts w:ascii="Times New Roman" w:hAnsi="Times New Roman"/>
        </w:rPr>
        <w:t xml:space="preserve"> for </w:t>
      </w:r>
      <w:r w:rsidRPr="00023FE1">
        <w:rPr>
          <w:rFonts w:ascii="Times New Roman" w:hAnsi="Times New Roman"/>
        </w:rPr>
        <w:t xml:space="preserve">effective </w:t>
      </w:r>
      <w:r>
        <w:rPr>
          <w:rFonts w:ascii="Times New Roman" w:hAnsi="Times New Roman"/>
        </w:rPr>
        <w:t xml:space="preserve">market </w:t>
      </w:r>
      <w:r w:rsidRPr="00023FE1">
        <w:rPr>
          <w:rFonts w:ascii="Times New Roman" w:hAnsi="Times New Roman"/>
        </w:rPr>
        <w:t>openin</w:t>
      </w:r>
      <w:r w:rsidRPr="002C0BD6">
        <w:rPr>
          <w:rFonts w:ascii="Times New Roman" w:hAnsi="Times New Roman"/>
        </w:rPr>
        <w:t>g</w:t>
      </w:r>
      <w:r>
        <w:rPr>
          <w:rFonts w:ascii="Times New Roman" w:hAnsi="Times New Roman"/>
        </w:rPr>
        <w:t>,</w:t>
      </w:r>
      <w:r w:rsidRPr="002C0BD6">
        <w:rPr>
          <w:rFonts w:ascii="Times New Roman" w:hAnsi="Times New Roman"/>
        </w:rPr>
        <w:t xml:space="preserve"> while taking into account</w:t>
      </w:r>
      <w:r>
        <w:rPr>
          <w:rFonts w:ascii="Times New Roman" w:hAnsi="Times New Roman"/>
        </w:rPr>
        <w:t xml:space="preserve"> the </w:t>
      </w:r>
      <w:r w:rsidRPr="00023FE1">
        <w:rPr>
          <w:rFonts w:ascii="Times New Roman" w:hAnsi="Times New Roman"/>
        </w:rPr>
        <w:t xml:space="preserve">special asymmetrical needs of developing countries. </w:t>
      </w:r>
      <w:proofErr w:type="gramStart"/>
      <w:r>
        <w:rPr>
          <w:rFonts w:ascii="Times New Roman" w:hAnsi="Times New Roman"/>
        </w:rPr>
        <w:t>EU t</w:t>
      </w:r>
      <w:r w:rsidRPr="00023FE1">
        <w:rPr>
          <w:rFonts w:ascii="Times New Roman" w:hAnsi="Times New Roman"/>
        </w:rPr>
        <w:t>rade and investment agreements that improve access for EU goods, services, investment and public procurement</w:t>
      </w:r>
      <w:r>
        <w:rPr>
          <w:rFonts w:ascii="Times New Roman" w:hAnsi="Times New Roman"/>
        </w:rPr>
        <w:t>,</w:t>
      </w:r>
      <w:r w:rsidRPr="00023FE1">
        <w:rPr>
          <w:rFonts w:ascii="Times New Roman" w:hAnsi="Times New Roman"/>
        </w:rPr>
        <w:t xml:space="preserve"> and include binding commitments an</w:t>
      </w:r>
      <w:r w:rsidRPr="002C0BD6">
        <w:rPr>
          <w:rFonts w:ascii="Times New Roman" w:hAnsi="Times New Roman"/>
        </w:rPr>
        <w:t xml:space="preserve">d monitoring mechanisms on </w:t>
      </w:r>
      <w:r w:rsidRPr="00023FE1">
        <w:rPr>
          <w:rFonts w:ascii="Times New Roman" w:hAnsi="Times New Roman"/>
        </w:rPr>
        <w:t>soci</w:t>
      </w:r>
      <w:r w:rsidRPr="002C0BD6">
        <w:rPr>
          <w:rFonts w:ascii="Times New Roman" w:hAnsi="Times New Roman"/>
        </w:rPr>
        <w:t>al and environmental standards</w:t>
      </w:r>
      <w:r>
        <w:rPr>
          <w:rFonts w:ascii="Times New Roman" w:hAnsi="Times New Roman"/>
        </w:rPr>
        <w:t xml:space="preserve">, </w:t>
      </w:r>
      <w:r w:rsidRPr="00023FE1">
        <w:rPr>
          <w:rFonts w:ascii="Times New Roman" w:hAnsi="Times New Roman"/>
        </w:rPr>
        <w:t xml:space="preserve">are the main instruments </w:t>
      </w:r>
      <w:r>
        <w:rPr>
          <w:rFonts w:ascii="Times New Roman" w:hAnsi="Times New Roman"/>
        </w:rPr>
        <w:t>for</w:t>
      </w:r>
      <w:r w:rsidRPr="00023FE1">
        <w:rPr>
          <w:rFonts w:ascii="Times New Roman" w:hAnsi="Times New Roman"/>
        </w:rPr>
        <w:t xml:space="preserve"> provid</w:t>
      </w:r>
      <w:r>
        <w:rPr>
          <w:rFonts w:ascii="Times New Roman" w:hAnsi="Times New Roman"/>
        </w:rPr>
        <w:t>ing</w:t>
      </w:r>
      <w:r w:rsidRPr="00023FE1">
        <w:rPr>
          <w:rFonts w:ascii="Times New Roman" w:hAnsi="Times New Roman"/>
        </w:rPr>
        <w:t xml:space="preserve"> a level-playing field</w:t>
      </w:r>
      <w:r>
        <w:rPr>
          <w:rFonts w:ascii="Times New Roman" w:hAnsi="Times New Roman"/>
        </w:rPr>
        <w:t xml:space="preserve"> in third country markets</w:t>
      </w:r>
      <w:r w:rsidRPr="00023FE1">
        <w:rPr>
          <w:rFonts w:ascii="Times New Roman" w:hAnsi="Times New Roman"/>
        </w:rPr>
        <w:t>.</w:t>
      </w:r>
      <w:proofErr w:type="gramEnd"/>
    </w:p>
    <w:p w:rsidR="00494589" w:rsidRPr="004A2E05" w:rsidRDefault="00494589" w:rsidP="005A4609">
      <w:pPr>
        <w:widowControl w:val="0"/>
        <w:spacing w:after="120"/>
        <w:ind w:right="-28"/>
        <w:rPr>
          <w:rFonts w:ascii="Times New Roman" w:hAnsi="Times New Roman"/>
          <w:szCs w:val="24"/>
        </w:rPr>
      </w:pPr>
      <w:r w:rsidRPr="004A2E05">
        <w:rPr>
          <w:rFonts w:ascii="Times New Roman" w:hAnsi="Times New Roman"/>
          <w:b/>
          <w:szCs w:val="24"/>
        </w:rPr>
        <w:t>Paragraph 20</w:t>
      </w:r>
      <w:r w:rsidRPr="004A2E05">
        <w:rPr>
          <w:rFonts w:ascii="Times New Roman" w:hAnsi="Times New Roman"/>
          <w:szCs w:val="24"/>
        </w:rPr>
        <w:t xml:space="preserve">: </w:t>
      </w:r>
      <w:r w:rsidRPr="00C53660">
        <w:rPr>
          <w:rFonts w:ascii="Times New Roman" w:hAnsi="Times New Roman"/>
          <w:szCs w:val="24"/>
        </w:rPr>
        <w:t>The Commission will continue to closely monitor the application of trade defence instruments by third countries against EU exports and, where</w:t>
      </w:r>
      <w:r>
        <w:rPr>
          <w:rFonts w:ascii="Times New Roman" w:hAnsi="Times New Roman"/>
          <w:szCs w:val="24"/>
        </w:rPr>
        <w:t xml:space="preserve"> needed, intervene</w:t>
      </w:r>
      <w:r w:rsidRPr="00C53660">
        <w:rPr>
          <w:rFonts w:ascii="Times New Roman" w:hAnsi="Times New Roman"/>
          <w:szCs w:val="24"/>
        </w:rPr>
        <w:t xml:space="preserve"> to avoid unwarranted market access restrictions and potential systemic issues.</w:t>
      </w:r>
    </w:p>
    <w:p w:rsidR="00494589" w:rsidRPr="00147598" w:rsidRDefault="00494589" w:rsidP="005A4609">
      <w:pPr>
        <w:widowControl w:val="0"/>
        <w:spacing w:after="120"/>
        <w:ind w:right="-28"/>
        <w:rPr>
          <w:rFonts w:ascii="Times New Roman" w:hAnsi="Times New Roman"/>
          <w:szCs w:val="24"/>
        </w:rPr>
      </w:pPr>
      <w:r w:rsidRPr="00BF2CE7">
        <w:rPr>
          <w:rFonts w:ascii="Times New Roman" w:hAnsi="Times New Roman"/>
          <w:b/>
          <w:szCs w:val="24"/>
        </w:rPr>
        <w:t>Paragraph</w:t>
      </w:r>
      <w:r w:rsidR="00771693">
        <w:rPr>
          <w:rFonts w:ascii="Times New Roman" w:hAnsi="Times New Roman"/>
          <w:b/>
          <w:szCs w:val="24"/>
        </w:rPr>
        <w:t>s</w:t>
      </w:r>
      <w:r w:rsidRPr="00BF2CE7">
        <w:rPr>
          <w:rFonts w:ascii="Times New Roman" w:hAnsi="Times New Roman"/>
          <w:b/>
          <w:szCs w:val="24"/>
        </w:rPr>
        <w:t xml:space="preserve"> 22</w:t>
      </w:r>
      <w:r w:rsidR="00771693">
        <w:rPr>
          <w:rFonts w:ascii="Times New Roman" w:hAnsi="Times New Roman"/>
          <w:b/>
          <w:szCs w:val="24"/>
        </w:rPr>
        <w:t xml:space="preserve"> and </w:t>
      </w:r>
      <w:r>
        <w:rPr>
          <w:rFonts w:ascii="Times New Roman" w:hAnsi="Times New Roman"/>
          <w:b/>
          <w:szCs w:val="24"/>
        </w:rPr>
        <w:t>24</w:t>
      </w:r>
      <w:r w:rsidRPr="005A17DF">
        <w:rPr>
          <w:rFonts w:ascii="Times New Roman" w:hAnsi="Times New Roman"/>
          <w:szCs w:val="24"/>
        </w:rPr>
        <w:t xml:space="preserve">: </w:t>
      </w:r>
      <w:r>
        <w:rPr>
          <w:rFonts w:ascii="Times New Roman" w:hAnsi="Times New Roman"/>
          <w:szCs w:val="24"/>
        </w:rPr>
        <w:t>The publication of the first annual report on FTA implementation exemplifies</w:t>
      </w:r>
      <w:r w:rsidR="00771693">
        <w:rPr>
          <w:rFonts w:ascii="Times New Roman" w:hAnsi="Times New Roman"/>
          <w:szCs w:val="24"/>
        </w:rPr>
        <w:t xml:space="preserve"> the</w:t>
      </w:r>
      <w:r>
        <w:rPr>
          <w:rFonts w:ascii="Times New Roman" w:hAnsi="Times New Roman"/>
          <w:szCs w:val="24"/>
        </w:rPr>
        <w:t xml:space="preserve"> actions the Commission has undertaken to improve transparency and accountability of its activities in relation to implementation of more than two dozen bilateral and regional trade deals. At the same time, better implementation remains a joint responsibility of the Commission, Member States, the European Parliament and stakeholders. The Commission is therefore working to reinforce its network and synergies </w:t>
      </w:r>
      <w:r w:rsidRPr="00147598">
        <w:rPr>
          <w:rFonts w:ascii="Times New Roman" w:hAnsi="Times New Roman"/>
          <w:szCs w:val="24"/>
        </w:rPr>
        <w:t>with Member States, EU delegations and stakeholders.</w:t>
      </w:r>
    </w:p>
    <w:p w:rsidR="00494589" w:rsidRPr="00EF2DE3" w:rsidRDefault="00494589" w:rsidP="005A4609">
      <w:pPr>
        <w:widowControl w:val="0"/>
        <w:spacing w:after="120"/>
        <w:ind w:right="-28"/>
        <w:rPr>
          <w:rFonts w:ascii="Times New Roman" w:hAnsi="Times New Roman"/>
          <w:szCs w:val="24"/>
        </w:rPr>
      </w:pPr>
      <w:r w:rsidRPr="00147598">
        <w:rPr>
          <w:rFonts w:ascii="Times New Roman" w:hAnsi="Times New Roman"/>
          <w:b/>
          <w:szCs w:val="24"/>
        </w:rPr>
        <w:t>Paragraph 23</w:t>
      </w:r>
      <w:r w:rsidRPr="00147598">
        <w:rPr>
          <w:rFonts w:ascii="Times New Roman" w:hAnsi="Times New Roman"/>
          <w:szCs w:val="24"/>
        </w:rPr>
        <w:t xml:space="preserve">: </w:t>
      </w:r>
      <w:r w:rsidRPr="00A332C0">
        <w:rPr>
          <w:rFonts w:ascii="Times New Roman" w:hAnsi="Times New Roman"/>
          <w:szCs w:val="24"/>
        </w:rPr>
        <w:t>The Commission uses dispute settlement procedures</w:t>
      </w:r>
      <w:r>
        <w:rPr>
          <w:rFonts w:ascii="Times New Roman" w:hAnsi="Times New Roman"/>
          <w:szCs w:val="24"/>
        </w:rPr>
        <w:t xml:space="preserve">, including in both the WTO and FTAs, </w:t>
      </w:r>
      <w:r w:rsidRPr="00A332C0">
        <w:rPr>
          <w:rFonts w:ascii="Times New Roman" w:hAnsi="Times New Roman"/>
          <w:szCs w:val="24"/>
        </w:rPr>
        <w:t xml:space="preserve">as </w:t>
      </w:r>
      <w:r>
        <w:rPr>
          <w:rFonts w:ascii="Times New Roman" w:hAnsi="Times New Roman"/>
          <w:szCs w:val="24"/>
        </w:rPr>
        <w:t>necessary. I</w:t>
      </w:r>
      <w:r w:rsidRPr="00A332C0">
        <w:rPr>
          <w:rFonts w:ascii="Times New Roman" w:hAnsi="Times New Roman"/>
          <w:szCs w:val="24"/>
        </w:rPr>
        <w:t xml:space="preserve">n 2018, the </w:t>
      </w:r>
      <w:r>
        <w:rPr>
          <w:rFonts w:ascii="Times New Roman" w:hAnsi="Times New Roman"/>
          <w:szCs w:val="24"/>
        </w:rPr>
        <w:t>EU</w:t>
      </w:r>
      <w:r w:rsidRPr="00A332C0">
        <w:rPr>
          <w:rFonts w:ascii="Times New Roman" w:hAnsi="Times New Roman"/>
          <w:szCs w:val="24"/>
        </w:rPr>
        <w:t xml:space="preserve"> has so far initiated two disputes at the WTO: on </w:t>
      </w:r>
      <w:r>
        <w:rPr>
          <w:rFonts w:ascii="Times New Roman" w:hAnsi="Times New Roman"/>
          <w:szCs w:val="24"/>
        </w:rPr>
        <w:t xml:space="preserve">US </w:t>
      </w:r>
      <w:r w:rsidRPr="00A332C0">
        <w:rPr>
          <w:rFonts w:ascii="Times New Roman" w:hAnsi="Times New Roman"/>
          <w:szCs w:val="24"/>
        </w:rPr>
        <w:t xml:space="preserve">measures on steel and aluminium products (DS548) and on China's measures on transfer of technology (DS549). The Commission constantly monitors the observance of commitments by </w:t>
      </w:r>
      <w:r>
        <w:rPr>
          <w:rFonts w:ascii="Times New Roman" w:hAnsi="Times New Roman"/>
          <w:szCs w:val="24"/>
        </w:rPr>
        <w:t>trading</w:t>
      </w:r>
      <w:r w:rsidRPr="00A332C0">
        <w:rPr>
          <w:rFonts w:ascii="Times New Roman" w:hAnsi="Times New Roman"/>
          <w:szCs w:val="24"/>
        </w:rPr>
        <w:t xml:space="preserve"> partners and does not hesitate to use relevant dispute settlement procedures if warranted. </w:t>
      </w:r>
      <w:r w:rsidRPr="00147598">
        <w:rPr>
          <w:rFonts w:ascii="Times New Roman" w:hAnsi="Times New Roman"/>
          <w:szCs w:val="24"/>
        </w:rPr>
        <w:t>The TSD dispute settlement mechanism includes recourse to the independent panel procedure</w:t>
      </w:r>
      <w:r w:rsidRPr="00EF2DE3">
        <w:rPr>
          <w:rFonts w:ascii="Times New Roman" w:hAnsi="Times New Roman"/>
          <w:szCs w:val="24"/>
        </w:rPr>
        <w:t xml:space="preserve"> leading to a public report with recommendations. The implementation of commitments is ensured through the monitoring </w:t>
      </w:r>
      <w:r>
        <w:rPr>
          <w:rFonts w:ascii="Times New Roman" w:hAnsi="Times New Roman"/>
          <w:szCs w:val="24"/>
        </w:rPr>
        <w:t>by</w:t>
      </w:r>
      <w:r w:rsidRPr="00EF2DE3">
        <w:rPr>
          <w:rFonts w:ascii="Times New Roman" w:hAnsi="Times New Roman"/>
          <w:szCs w:val="24"/>
        </w:rPr>
        <w:t xml:space="preserve"> the dedicated government bodies (TSD Committee and</w:t>
      </w:r>
      <w:r>
        <w:rPr>
          <w:rFonts w:ascii="Times New Roman" w:hAnsi="Times New Roman"/>
          <w:szCs w:val="24"/>
        </w:rPr>
        <w:t xml:space="preserve"> </w:t>
      </w:r>
      <w:r w:rsidRPr="00EF2DE3">
        <w:rPr>
          <w:rFonts w:ascii="Times New Roman" w:hAnsi="Times New Roman"/>
          <w:szCs w:val="24"/>
        </w:rPr>
        <w:t xml:space="preserve">Trade Committee) and civil society structures (Domestic Advisory Groups and Civil Society Forums). </w:t>
      </w:r>
      <w:r>
        <w:rPr>
          <w:rFonts w:ascii="Times New Roman" w:hAnsi="Times New Roman"/>
          <w:szCs w:val="24"/>
        </w:rPr>
        <w:t>As illustrated in</w:t>
      </w:r>
      <w:r w:rsidRPr="00EF2DE3">
        <w:rPr>
          <w:rFonts w:ascii="Times New Roman" w:hAnsi="Times New Roman"/>
          <w:szCs w:val="24"/>
        </w:rPr>
        <w:t xml:space="preserve"> the </w:t>
      </w:r>
      <w:r>
        <w:rPr>
          <w:rFonts w:ascii="Times New Roman" w:hAnsi="Times New Roman"/>
          <w:szCs w:val="24"/>
        </w:rPr>
        <w:t xml:space="preserve">Commission's non-paper </w:t>
      </w:r>
      <w:r w:rsidRPr="00EF2DE3">
        <w:rPr>
          <w:rFonts w:ascii="Times New Roman" w:hAnsi="Times New Roman"/>
          <w:szCs w:val="24"/>
        </w:rPr>
        <w:t xml:space="preserve">on </w:t>
      </w:r>
      <w:r>
        <w:rPr>
          <w:rFonts w:ascii="Times New Roman" w:hAnsi="Times New Roman"/>
          <w:szCs w:val="24"/>
        </w:rPr>
        <w:t>f</w:t>
      </w:r>
      <w:r w:rsidRPr="00EF2DE3">
        <w:rPr>
          <w:rFonts w:ascii="Times New Roman" w:hAnsi="Times New Roman"/>
          <w:szCs w:val="24"/>
        </w:rPr>
        <w:t xml:space="preserve">eedback and way forward on improving the implementation and enforcement of </w:t>
      </w:r>
      <w:r>
        <w:rPr>
          <w:rFonts w:ascii="Times New Roman" w:hAnsi="Times New Roman"/>
          <w:szCs w:val="24"/>
        </w:rPr>
        <w:t>TSD</w:t>
      </w:r>
      <w:r w:rsidRPr="00EF2DE3">
        <w:rPr>
          <w:rFonts w:ascii="Times New Roman" w:hAnsi="Times New Roman"/>
          <w:szCs w:val="24"/>
        </w:rPr>
        <w:t xml:space="preserve"> chapters in EU </w:t>
      </w:r>
      <w:r>
        <w:rPr>
          <w:rFonts w:ascii="Times New Roman" w:hAnsi="Times New Roman"/>
          <w:szCs w:val="24"/>
        </w:rPr>
        <w:t>FTAs with a 15-point action plan</w:t>
      </w:r>
      <w:r w:rsidRPr="00EF2DE3">
        <w:rPr>
          <w:rFonts w:ascii="Times New Roman" w:hAnsi="Times New Roman"/>
          <w:szCs w:val="24"/>
        </w:rPr>
        <w:t xml:space="preserve">, </w:t>
      </w:r>
      <w:r>
        <w:rPr>
          <w:rFonts w:ascii="Times New Roman" w:hAnsi="Times New Roman"/>
          <w:szCs w:val="24"/>
        </w:rPr>
        <w:t>t</w:t>
      </w:r>
      <w:r w:rsidRPr="00EF2DE3">
        <w:rPr>
          <w:rFonts w:ascii="Times New Roman" w:hAnsi="Times New Roman"/>
          <w:szCs w:val="24"/>
        </w:rPr>
        <w:t>he Commission envisage</w:t>
      </w:r>
      <w:r>
        <w:rPr>
          <w:rFonts w:ascii="Times New Roman" w:hAnsi="Times New Roman"/>
          <w:szCs w:val="24"/>
        </w:rPr>
        <w:t>s</w:t>
      </w:r>
      <w:r w:rsidRPr="00EF2DE3">
        <w:rPr>
          <w:rFonts w:ascii="Times New Roman" w:hAnsi="Times New Roman"/>
          <w:szCs w:val="24"/>
        </w:rPr>
        <w:t xml:space="preserve"> </w:t>
      </w:r>
      <w:r>
        <w:rPr>
          <w:rFonts w:ascii="Times New Roman" w:hAnsi="Times New Roman"/>
          <w:szCs w:val="24"/>
        </w:rPr>
        <w:t xml:space="preserve">improving </w:t>
      </w:r>
      <w:r w:rsidR="00771693">
        <w:rPr>
          <w:rFonts w:ascii="Times New Roman" w:hAnsi="Times New Roman"/>
          <w:szCs w:val="24"/>
        </w:rPr>
        <w:t xml:space="preserve">the </w:t>
      </w:r>
      <w:r>
        <w:rPr>
          <w:rFonts w:ascii="Times New Roman" w:hAnsi="Times New Roman"/>
          <w:szCs w:val="24"/>
        </w:rPr>
        <w:t xml:space="preserve">compliance with implementation via an accentuated use of the existing tools and mechanisms. </w:t>
      </w:r>
      <w:r w:rsidRPr="00EF2DE3">
        <w:rPr>
          <w:rFonts w:ascii="Times New Roman" w:hAnsi="Times New Roman"/>
          <w:szCs w:val="24"/>
        </w:rPr>
        <w:t>Should the results of the</w:t>
      </w:r>
      <w:r>
        <w:rPr>
          <w:rFonts w:ascii="Times New Roman" w:hAnsi="Times New Roman"/>
          <w:szCs w:val="24"/>
        </w:rPr>
        <w:t xml:space="preserve"> recently stepped up monitoring and analysis of compliance with TSD commitments for several FTA partner countries</w:t>
      </w:r>
      <w:r w:rsidRPr="00EF2DE3">
        <w:rPr>
          <w:rFonts w:ascii="Times New Roman" w:hAnsi="Times New Roman"/>
          <w:szCs w:val="24"/>
        </w:rPr>
        <w:t xml:space="preserve"> not be satisfactory, the Commission </w:t>
      </w:r>
      <w:r>
        <w:rPr>
          <w:rFonts w:ascii="Times New Roman" w:hAnsi="Times New Roman"/>
          <w:szCs w:val="24"/>
        </w:rPr>
        <w:t>takes</w:t>
      </w:r>
      <w:r w:rsidRPr="00EF2DE3">
        <w:rPr>
          <w:rFonts w:ascii="Times New Roman" w:hAnsi="Times New Roman"/>
          <w:szCs w:val="24"/>
        </w:rPr>
        <w:t xml:space="preserve"> the view that dispute settlement proceedings should be launched.</w:t>
      </w:r>
    </w:p>
    <w:p w:rsidR="00494589" w:rsidRPr="00023EC3" w:rsidRDefault="00494589" w:rsidP="005A4609">
      <w:pPr>
        <w:spacing w:after="120"/>
        <w:rPr>
          <w:rFonts w:ascii="Times New Roman" w:hAnsi="Times New Roman"/>
        </w:rPr>
      </w:pPr>
      <w:r w:rsidRPr="00023EC3">
        <w:rPr>
          <w:rFonts w:ascii="Times New Roman" w:hAnsi="Times New Roman"/>
          <w:b/>
          <w:szCs w:val="24"/>
        </w:rPr>
        <w:t>Paragraph</w:t>
      </w:r>
      <w:r w:rsidR="00771693">
        <w:rPr>
          <w:rFonts w:ascii="Times New Roman" w:hAnsi="Times New Roman"/>
          <w:b/>
          <w:szCs w:val="24"/>
        </w:rPr>
        <w:t>s</w:t>
      </w:r>
      <w:r w:rsidRPr="00023EC3">
        <w:rPr>
          <w:rFonts w:ascii="Times New Roman" w:hAnsi="Times New Roman"/>
          <w:b/>
          <w:szCs w:val="24"/>
        </w:rPr>
        <w:t xml:space="preserve"> </w:t>
      </w:r>
      <w:r>
        <w:rPr>
          <w:rFonts w:ascii="Times New Roman" w:hAnsi="Times New Roman"/>
          <w:b/>
          <w:szCs w:val="24"/>
        </w:rPr>
        <w:t>25</w:t>
      </w:r>
      <w:r w:rsidR="00771693">
        <w:rPr>
          <w:rFonts w:ascii="Times New Roman" w:hAnsi="Times New Roman"/>
          <w:b/>
          <w:szCs w:val="24"/>
        </w:rPr>
        <w:t xml:space="preserve"> and</w:t>
      </w:r>
      <w:r>
        <w:rPr>
          <w:rFonts w:ascii="Times New Roman" w:hAnsi="Times New Roman"/>
          <w:b/>
          <w:szCs w:val="24"/>
        </w:rPr>
        <w:t xml:space="preserve"> </w:t>
      </w:r>
      <w:r w:rsidRPr="00023EC3">
        <w:rPr>
          <w:rFonts w:ascii="Times New Roman" w:hAnsi="Times New Roman"/>
          <w:b/>
          <w:szCs w:val="24"/>
        </w:rPr>
        <w:t>40</w:t>
      </w:r>
      <w:r w:rsidRPr="00023EC3">
        <w:rPr>
          <w:rFonts w:ascii="Times New Roman" w:hAnsi="Times New Roman"/>
          <w:szCs w:val="24"/>
        </w:rPr>
        <w:t>:</w:t>
      </w:r>
      <w:r w:rsidRPr="00023EC3">
        <w:rPr>
          <w:rFonts w:ascii="Times New Roman" w:hAnsi="Times New Roman"/>
        </w:rPr>
        <w:t xml:space="preserve"> The Commission is developing a web-based tool helping FTA users to assess the origin of their products from a procedural point of view. While such a tool cannot provide legal certainty, it could offer SMEs </w:t>
      </w:r>
      <w:r>
        <w:rPr>
          <w:rFonts w:ascii="Times New Roman" w:hAnsi="Times New Roman"/>
        </w:rPr>
        <w:t>u</w:t>
      </w:r>
      <w:r w:rsidRPr="00023EC3">
        <w:rPr>
          <w:rFonts w:ascii="Times New Roman" w:hAnsi="Times New Roman"/>
        </w:rPr>
        <w:t xml:space="preserve">seful guidance. A pilot guidance tool on rules of origin has been launched. </w:t>
      </w:r>
      <w:r w:rsidRPr="00023EC3">
        <w:rPr>
          <w:rFonts w:ascii="Times New Roman" w:hAnsi="Times New Roman"/>
          <w:szCs w:val="24"/>
        </w:rPr>
        <w:t>A more comprehensive version should be available by the end of 2018.</w:t>
      </w:r>
    </w:p>
    <w:p w:rsidR="00494589" w:rsidRPr="005A4609" w:rsidRDefault="00494589" w:rsidP="005A4609">
      <w:pPr>
        <w:spacing w:after="120"/>
        <w:rPr>
          <w:rFonts w:ascii="Times New Roman" w:hAnsi="Times New Roman"/>
          <w:szCs w:val="24"/>
        </w:rPr>
      </w:pPr>
      <w:r w:rsidRPr="0005219A">
        <w:rPr>
          <w:rFonts w:ascii="Times New Roman" w:hAnsi="Times New Roman"/>
          <w:b/>
          <w:szCs w:val="24"/>
        </w:rPr>
        <w:t>Paragraph 27</w:t>
      </w:r>
      <w:r w:rsidRPr="0005219A">
        <w:rPr>
          <w:rFonts w:ascii="Times New Roman" w:hAnsi="Times New Roman"/>
          <w:szCs w:val="24"/>
        </w:rPr>
        <w:t xml:space="preserve">: </w:t>
      </w:r>
      <w:r>
        <w:rPr>
          <w:rFonts w:ascii="Times New Roman" w:hAnsi="Times New Roman"/>
        </w:rPr>
        <w:t>The Commission performs detailed analyses of the impacts of proposed trade policy tools on all sectors of the economy across the EU, taking into account other existing policies. Impact assessments (IAs) and sustainability impact assessments (SIAs) ensure that all relevant impacts (economic, social, environmental and human rights) are analysed. It is not possible for the Commission to assess all potential territorial impacts across the EU due to lack of resources. Systematic territorial impact assessments would considerably increase the cost of the studies, as well as the time it takes to produce them. However, whenever relevant, main impacts at regional level will be assessed in the SIAs. The Commission also encourages all EU Member States to complement EU-level IAs and SIAs by national impact assessments and other relevant studies.</w:t>
      </w:r>
    </w:p>
    <w:p w:rsidR="00494589" w:rsidRDefault="00494589" w:rsidP="005A4609">
      <w:pPr>
        <w:widowControl w:val="0"/>
        <w:spacing w:after="120"/>
        <w:ind w:right="-28"/>
        <w:rPr>
          <w:rFonts w:ascii="Times New Roman" w:hAnsi="Times New Roman"/>
          <w:szCs w:val="24"/>
        </w:rPr>
      </w:pPr>
      <w:r w:rsidRPr="006E5098">
        <w:rPr>
          <w:rFonts w:ascii="Times New Roman" w:hAnsi="Times New Roman"/>
          <w:b/>
          <w:szCs w:val="24"/>
        </w:rPr>
        <w:t>Paragraph 28</w:t>
      </w:r>
      <w:r>
        <w:rPr>
          <w:rFonts w:ascii="Times New Roman" w:hAnsi="Times New Roman"/>
          <w:szCs w:val="24"/>
        </w:rPr>
        <w:t>: M</w:t>
      </w:r>
      <w:r w:rsidRPr="008F3C44">
        <w:rPr>
          <w:rFonts w:ascii="Times New Roman" w:hAnsi="Times New Roman"/>
          <w:szCs w:val="24"/>
        </w:rPr>
        <w:t>itigat</w:t>
      </w:r>
      <w:r>
        <w:rPr>
          <w:rFonts w:ascii="Times New Roman" w:hAnsi="Times New Roman"/>
          <w:szCs w:val="24"/>
        </w:rPr>
        <w:t>ing</w:t>
      </w:r>
      <w:r w:rsidRPr="008F3C44">
        <w:rPr>
          <w:rFonts w:ascii="Times New Roman" w:hAnsi="Times New Roman"/>
          <w:szCs w:val="24"/>
        </w:rPr>
        <w:t xml:space="preserve"> the disruptive effects of an ever closely interconnected global economy and technological change</w:t>
      </w:r>
      <w:r>
        <w:rPr>
          <w:rFonts w:ascii="Times New Roman" w:hAnsi="Times New Roman"/>
          <w:szCs w:val="24"/>
        </w:rPr>
        <w:t xml:space="preserve"> through i</w:t>
      </w:r>
      <w:r w:rsidRPr="008F3C44">
        <w:rPr>
          <w:rFonts w:ascii="Times New Roman" w:hAnsi="Times New Roman"/>
          <w:szCs w:val="24"/>
        </w:rPr>
        <w:t>nvesting in people and strengthening the social dimension of the E</w:t>
      </w:r>
      <w:r>
        <w:rPr>
          <w:rFonts w:ascii="Times New Roman" w:hAnsi="Times New Roman"/>
          <w:szCs w:val="24"/>
        </w:rPr>
        <w:t>U</w:t>
      </w:r>
      <w:r w:rsidRPr="008F3C44">
        <w:rPr>
          <w:rFonts w:ascii="Times New Roman" w:hAnsi="Times New Roman"/>
          <w:szCs w:val="24"/>
        </w:rPr>
        <w:t xml:space="preserve"> has been a core priority of the Juncker Commission.</w:t>
      </w:r>
      <w:r>
        <w:rPr>
          <w:rFonts w:ascii="Times New Roman" w:hAnsi="Times New Roman"/>
          <w:szCs w:val="24"/>
        </w:rPr>
        <w:t xml:space="preserve"> </w:t>
      </w:r>
      <w:r w:rsidRPr="008F3C44">
        <w:rPr>
          <w:rFonts w:ascii="Times New Roman" w:hAnsi="Times New Roman"/>
          <w:szCs w:val="24"/>
        </w:rPr>
        <w:t xml:space="preserve">The next long-term EU budget for the period 2021-2027 </w:t>
      </w:r>
      <w:r>
        <w:rPr>
          <w:rFonts w:ascii="Times New Roman" w:hAnsi="Times New Roman"/>
          <w:szCs w:val="24"/>
        </w:rPr>
        <w:t>reflects this commitment</w:t>
      </w:r>
      <w:r w:rsidRPr="008F3C44">
        <w:rPr>
          <w:rFonts w:ascii="Times New Roman" w:hAnsi="Times New Roman"/>
          <w:szCs w:val="24"/>
        </w:rPr>
        <w:t xml:space="preserve"> as the Commission pro</w:t>
      </w:r>
      <w:r>
        <w:rPr>
          <w:rFonts w:ascii="Times New Roman" w:hAnsi="Times New Roman"/>
          <w:szCs w:val="24"/>
        </w:rPr>
        <w:t xml:space="preserve">poses to establish </w:t>
      </w:r>
      <w:r w:rsidRPr="008F3C44">
        <w:rPr>
          <w:rFonts w:ascii="Times New Roman" w:hAnsi="Times New Roman"/>
          <w:szCs w:val="24"/>
        </w:rPr>
        <w:t xml:space="preserve">the </w:t>
      </w:r>
      <w:r>
        <w:rPr>
          <w:rFonts w:ascii="Times New Roman" w:hAnsi="Times New Roman"/>
          <w:szCs w:val="24"/>
        </w:rPr>
        <w:t xml:space="preserve">"European Social Fund Plus" </w:t>
      </w:r>
      <w:r w:rsidRPr="008F3C44">
        <w:rPr>
          <w:rFonts w:ascii="Times New Roman" w:hAnsi="Times New Roman"/>
          <w:szCs w:val="24"/>
        </w:rPr>
        <w:t>and a strengthened and more effective European Globalisation Adjustment Fund</w:t>
      </w:r>
      <w:r>
        <w:rPr>
          <w:rFonts w:ascii="Times New Roman" w:hAnsi="Times New Roman"/>
          <w:szCs w:val="24"/>
        </w:rPr>
        <w:t>.</w:t>
      </w:r>
    </w:p>
    <w:p w:rsidR="00494589" w:rsidRDefault="00494589" w:rsidP="005A4609">
      <w:pPr>
        <w:widowControl w:val="0"/>
        <w:spacing w:after="120"/>
        <w:ind w:right="-28"/>
        <w:rPr>
          <w:rFonts w:ascii="Times New Roman" w:hAnsi="Times New Roman"/>
          <w:szCs w:val="24"/>
        </w:rPr>
      </w:pPr>
      <w:r w:rsidRPr="002B695E">
        <w:rPr>
          <w:rFonts w:ascii="Times New Roman" w:hAnsi="Times New Roman"/>
          <w:b/>
          <w:szCs w:val="24"/>
        </w:rPr>
        <w:t>Paragraph 30</w:t>
      </w:r>
      <w:r w:rsidRPr="002B695E">
        <w:rPr>
          <w:rFonts w:ascii="Times New Roman" w:hAnsi="Times New Roman"/>
          <w:szCs w:val="24"/>
        </w:rPr>
        <w:t>: While</w:t>
      </w:r>
      <w:r w:rsidRPr="00743034">
        <w:rPr>
          <w:rFonts w:ascii="Times New Roman" w:hAnsi="Times New Roman"/>
          <w:szCs w:val="24"/>
        </w:rPr>
        <w:t xml:space="preserve"> the first annual FTA </w:t>
      </w:r>
      <w:r>
        <w:rPr>
          <w:rFonts w:ascii="Times New Roman" w:hAnsi="Times New Roman"/>
          <w:szCs w:val="24"/>
        </w:rPr>
        <w:t>i</w:t>
      </w:r>
      <w:r w:rsidRPr="00743034">
        <w:rPr>
          <w:rFonts w:ascii="Times New Roman" w:hAnsi="Times New Roman"/>
          <w:szCs w:val="24"/>
        </w:rPr>
        <w:t>mplementation report, as supplemented by the detailed Staff Working Document, already provides an extensive set of data, findings and horizontal conclusions, the Commission is currently looking into ways to further deepen the qualitative as well as quantitative analys</w:t>
      </w:r>
      <w:r>
        <w:rPr>
          <w:rFonts w:ascii="Times New Roman" w:hAnsi="Times New Roman"/>
          <w:szCs w:val="24"/>
        </w:rPr>
        <w:t xml:space="preserve">es in the </w:t>
      </w:r>
      <w:r w:rsidRPr="00743034">
        <w:rPr>
          <w:rFonts w:ascii="Times New Roman" w:hAnsi="Times New Roman"/>
          <w:szCs w:val="24"/>
        </w:rPr>
        <w:t>2018 edition</w:t>
      </w:r>
      <w:r>
        <w:rPr>
          <w:rFonts w:ascii="Times New Roman" w:hAnsi="Times New Roman"/>
          <w:szCs w:val="24"/>
        </w:rPr>
        <w:t>. The Commission is</w:t>
      </w:r>
      <w:r w:rsidRPr="00743034">
        <w:rPr>
          <w:rFonts w:ascii="Times New Roman" w:hAnsi="Times New Roman"/>
          <w:szCs w:val="24"/>
        </w:rPr>
        <w:t xml:space="preserve"> working wi</w:t>
      </w:r>
      <w:r>
        <w:rPr>
          <w:rFonts w:ascii="Times New Roman" w:hAnsi="Times New Roman"/>
          <w:szCs w:val="24"/>
        </w:rPr>
        <w:t xml:space="preserve">th </w:t>
      </w:r>
      <w:r w:rsidR="00771693">
        <w:rPr>
          <w:rFonts w:ascii="Times New Roman" w:hAnsi="Times New Roman"/>
          <w:szCs w:val="24"/>
        </w:rPr>
        <w:t xml:space="preserve">the </w:t>
      </w:r>
      <w:r>
        <w:rPr>
          <w:rFonts w:ascii="Times New Roman" w:hAnsi="Times New Roman"/>
          <w:szCs w:val="24"/>
        </w:rPr>
        <w:t xml:space="preserve">Eurostat, Member States, EU delegations </w:t>
      </w:r>
      <w:r w:rsidRPr="00743034">
        <w:rPr>
          <w:rFonts w:ascii="Times New Roman" w:hAnsi="Times New Roman"/>
          <w:szCs w:val="24"/>
        </w:rPr>
        <w:t>and FTA partners to access data on EU exports. This can sometimes be difficult as different FTA partners us</w:t>
      </w:r>
      <w:r>
        <w:rPr>
          <w:rFonts w:ascii="Times New Roman" w:hAnsi="Times New Roman"/>
          <w:szCs w:val="24"/>
        </w:rPr>
        <w:t>e</w:t>
      </w:r>
      <w:r w:rsidRPr="00743034">
        <w:rPr>
          <w:rFonts w:ascii="Times New Roman" w:hAnsi="Times New Roman"/>
          <w:szCs w:val="24"/>
        </w:rPr>
        <w:t xml:space="preserve"> different systems to compile the data and so the figures ar</w:t>
      </w:r>
      <w:r>
        <w:rPr>
          <w:rFonts w:ascii="Times New Roman" w:hAnsi="Times New Roman"/>
          <w:szCs w:val="24"/>
        </w:rPr>
        <w:t>e not readily comparable.</w:t>
      </w:r>
    </w:p>
    <w:p w:rsidR="00494589" w:rsidRDefault="00494589" w:rsidP="005A4609">
      <w:pPr>
        <w:widowControl w:val="0"/>
        <w:spacing w:after="120"/>
        <w:ind w:right="-28"/>
        <w:rPr>
          <w:rFonts w:ascii="Times New Roman" w:hAnsi="Times New Roman"/>
          <w:szCs w:val="24"/>
        </w:rPr>
      </w:pPr>
      <w:r w:rsidRPr="00023FE1">
        <w:rPr>
          <w:rFonts w:ascii="Times New Roman" w:hAnsi="Times New Roman"/>
          <w:b/>
          <w:szCs w:val="24"/>
        </w:rPr>
        <w:t>Paragraph</w:t>
      </w:r>
      <w:r w:rsidR="00F753AA">
        <w:rPr>
          <w:rFonts w:ascii="Times New Roman" w:hAnsi="Times New Roman"/>
          <w:b/>
          <w:szCs w:val="24"/>
        </w:rPr>
        <w:t>s</w:t>
      </w:r>
      <w:r w:rsidRPr="00023FE1">
        <w:rPr>
          <w:rFonts w:ascii="Times New Roman" w:hAnsi="Times New Roman"/>
          <w:b/>
          <w:szCs w:val="24"/>
        </w:rPr>
        <w:t xml:space="preserve"> </w:t>
      </w:r>
      <w:r>
        <w:rPr>
          <w:rFonts w:ascii="Times New Roman" w:hAnsi="Times New Roman"/>
          <w:b/>
          <w:szCs w:val="24"/>
        </w:rPr>
        <w:t>31</w:t>
      </w:r>
      <w:r w:rsidR="00F753AA">
        <w:rPr>
          <w:rFonts w:ascii="Times New Roman" w:hAnsi="Times New Roman"/>
          <w:b/>
          <w:szCs w:val="24"/>
        </w:rPr>
        <w:t xml:space="preserve"> and </w:t>
      </w:r>
      <w:r w:rsidRPr="00023FE1">
        <w:rPr>
          <w:rFonts w:ascii="Times New Roman" w:hAnsi="Times New Roman"/>
          <w:b/>
          <w:szCs w:val="24"/>
        </w:rPr>
        <w:t>33</w:t>
      </w:r>
      <w:r>
        <w:rPr>
          <w:rFonts w:ascii="Times New Roman" w:hAnsi="Times New Roman"/>
          <w:szCs w:val="24"/>
        </w:rPr>
        <w:t>:</w:t>
      </w:r>
      <w:r w:rsidRPr="00307902">
        <w:rPr>
          <w:rFonts w:ascii="Times New Roman" w:hAnsi="Times New Roman"/>
          <w:szCs w:val="24"/>
        </w:rPr>
        <w:t xml:space="preserve"> </w:t>
      </w:r>
      <w:r w:rsidRPr="00EA7561">
        <w:rPr>
          <w:rFonts w:ascii="Times New Roman" w:hAnsi="Times New Roman"/>
        </w:rPr>
        <w:t xml:space="preserve">Before drawing conclusions on the use of trade preferences, one needs to be aware that unlike data on EU imports, data from EU trading partners </w:t>
      </w:r>
      <w:r>
        <w:rPr>
          <w:rFonts w:ascii="Times New Roman" w:hAnsi="Times New Roman"/>
        </w:rPr>
        <w:t>is</w:t>
      </w:r>
      <w:r w:rsidRPr="00EA7561">
        <w:rPr>
          <w:rFonts w:ascii="Times New Roman" w:hAnsi="Times New Roman"/>
        </w:rPr>
        <w:t xml:space="preserve"> not harmonised and depend</w:t>
      </w:r>
      <w:r>
        <w:rPr>
          <w:rFonts w:ascii="Times New Roman" w:hAnsi="Times New Roman"/>
        </w:rPr>
        <w:t>s</w:t>
      </w:r>
      <w:r w:rsidRPr="00EA7561">
        <w:rPr>
          <w:rFonts w:ascii="Times New Roman" w:hAnsi="Times New Roman"/>
        </w:rPr>
        <w:t xml:space="preserve"> on the methods used by the partner country's authorities. Therefore, </w:t>
      </w:r>
      <w:r>
        <w:rPr>
          <w:rFonts w:ascii="Times New Roman" w:hAnsi="Times New Roman"/>
        </w:rPr>
        <w:t>such</w:t>
      </w:r>
      <w:r w:rsidRPr="00EA7561">
        <w:rPr>
          <w:rFonts w:ascii="Times New Roman" w:hAnsi="Times New Roman"/>
        </w:rPr>
        <w:t xml:space="preserve"> data on EU exports is not comparable to EU import data, for any given country or region. </w:t>
      </w:r>
      <w:r>
        <w:rPr>
          <w:rFonts w:ascii="Times New Roman" w:hAnsi="Times New Roman"/>
        </w:rPr>
        <w:t>Moreover, s</w:t>
      </w:r>
      <w:r w:rsidRPr="00023EC3">
        <w:rPr>
          <w:rFonts w:ascii="Times New Roman" w:hAnsi="Times New Roman"/>
        </w:rPr>
        <w:t xml:space="preserve">ome EU FTA partners have unilaterally decided to apply zero duties </w:t>
      </w:r>
      <w:r>
        <w:rPr>
          <w:rFonts w:ascii="Times New Roman" w:hAnsi="Times New Roman"/>
        </w:rPr>
        <w:t>to</w:t>
      </w:r>
      <w:r w:rsidRPr="00023EC3">
        <w:rPr>
          <w:rFonts w:ascii="Times New Roman" w:hAnsi="Times New Roman"/>
        </w:rPr>
        <w:t xml:space="preserve"> certain products instead of their above-zero WTO bound rates, in which case EU exporters might prefer </w:t>
      </w:r>
      <w:r>
        <w:rPr>
          <w:rFonts w:ascii="Times New Roman" w:hAnsi="Times New Roman"/>
        </w:rPr>
        <w:t>to</w:t>
      </w:r>
      <w:r w:rsidRPr="00023EC3">
        <w:rPr>
          <w:rFonts w:ascii="Times New Roman" w:hAnsi="Times New Roman"/>
        </w:rPr>
        <w:t xml:space="preserve"> export under the </w:t>
      </w:r>
      <w:r w:rsidR="00771693" w:rsidRPr="005A4609">
        <w:rPr>
          <w:rFonts w:ascii="Times New Roman" w:hAnsi="Times New Roman"/>
          <w:szCs w:val="24"/>
        </w:rPr>
        <w:t>most favoured nation</w:t>
      </w:r>
      <w:r w:rsidR="00771693">
        <w:rPr>
          <w:sz w:val="23"/>
          <w:szCs w:val="23"/>
        </w:rPr>
        <w:t xml:space="preserve"> </w:t>
      </w:r>
      <w:r w:rsidR="00771693">
        <w:rPr>
          <w:rFonts w:ascii="Times New Roman" w:hAnsi="Times New Roman"/>
        </w:rPr>
        <w:t>(</w:t>
      </w:r>
      <w:r w:rsidRPr="00023EC3">
        <w:rPr>
          <w:rFonts w:ascii="Times New Roman" w:hAnsi="Times New Roman"/>
        </w:rPr>
        <w:t>MFN</w:t>
      </w:r>
      <w:r w:rsidR="00771693">
        <w:rPr>
          <w:rFonts w:ascii="Times New Roman" w:hAnsi="Times New Roman"/>
        </w:rPr>
        <w:t>)</w:t>
      </w:r>
      <w:r w:rsidRPr="00023EC3">
        <w:rPr>
          <w:rFonts w:ascii="Times New Roman" w:hAnsi="Times New Roman"/>
        </w:rPr>
        <w:t xml:space="preserve"> applied zero duties (for which rules of origin do not apply)</w:t>
      </w:r>
      <w:r>
        <w:rPr>
          <w:rFonts w:ascii="Times New Roman" w:hAnsi="Times New Roman"/>
        </w:rPr>
        <w:t xml:space="preserve"> and not under</w:t>
      </w:r>
      <w:r w:rsidRPr="00023EC3">
        <w:rPr>
          <w:rFonts w:ascii="Times New Roman" w:hAnsi="Times New Roman"/>
        </w:rPr>
        <w:t xml:space="preserve"> the FTA preferences</w:t>
      </w:r>
      <w:r>
        <w:rPr>
          <w:rFonts w:ascii="Times New Roman" w:hAnsi="Times New Roman"/>
        </w:rPr>
        <w:t xml:space="preserve">. </w:t>
      </w:r>
      <w:r w:rsidRPr="00EA7561">
        <w:rPr>
          <w:rFonts w:ascii="Times New Roman" w:hAnsi="Times New Roman"/>
        </w:rPr>
        <w:t>The Commission is aware that this situatio</w:t>
      </w:r>
      <w:r w:rsidRPr="00D97363">
        <w:rPr>
          <w:rFonts w:ascii="Times New Roman" w:hAnsi="Times New Roman"/>
        </w:rPr>
        <w:t>n is unsatisfactory</w:t>
      </w:r>
      <w:r>
        <w:rPr>
          <w:rFonts w:ascii="Times New Roman" w:hAnsi="Times New Roman"/>
        </w:rPr>
        <w:t>.</w:t>
      </w:r>
      <w:r w:rsidRPr="00D97363">
        <w:rPr>
          <w:rFonts w:ascii="Times New Roman" w:hAnsi="Times New Roman"/>
        </w:rPr>
        <w:t xml:space="preserve"> DG Trade is looking into possible </w:t>
      </w:r>
      <w:r>
        <w:rPr>
          <w:rFonts w:ascii="Times New Roman" w:hAnsi="Times New Roman"/>
        </w:rPr>
        <w:t xml:space="preserve">and </w:t>
      </w:r>
      <w:r w:rsidRPr="00D97363">
        <w:rPr>
          <w:rFonts w:ascii="Times New Roman" w:hAnsi="Times New Roman"/>
        </w:rPr>
        <w:t>more meaningful ways to ga</w:t>
      </w:r>
      <w:r w:rsidRPr="00D07EDD">
        <w:rPr>
          <w:rFonts w:ascii="Times New Roman" w:hAnsi="Times New Roman"/>
        </w:rPr>
        <w:t>u</w:t>
      </w:r>
      <w:r w:rsidRPr="001B23B9">
        <w:rPr>
          <w:rFonts w:ascii="Times New Roman" w:hAnsi="Times New Roman"/>
        </w:rPr>
        <w:t>ge the utili</w:t>
      </w:r>
      <w:r w:rsidRPr="00023FE1">
        <w:rPr>
          <w:rFonts w:ascii="Times New Roman" w:hAnsi="Times New Roman"/>
        </w:rPr>
        <w:t>sation of FTAs by EU companies. To this effect</w:t>
      </w:r>
      <w:r>
        <w:rPr>
          <w:rFonts w:ascii="Times New Roman" w:hAnsi="Times New Roman"/>
        </w:rPr>
        <w:t>,</w:t>
      </w:r>
      <w:r w:rsidRPr="00D97363">
        <w:rPr>
          <w:rFonts w:ascii="Times New Roman" w:hAnsi="Times New Roman"/>
        </w:rPr>
        <w:t xml:space="preserve"> and to help Member States' FTA implementation efforts, DG Trade has recently published a comprehensive report identifying (foregone) duty savings of EU exports by partner country, broad product group and Member State. Access to Member States' firm- and transaction</w:t>
      </w:r>
      <w:r>
        <w:rPr>
          <w:rFonts w:ascii="Times New Roman" w:hAnsi="Times New Roman"/>
        </w:rPr>
        <w:t>-</w:t>
      </w:r>
      <w:r w:rsidRPr="00D97363">
        <w:rPr>
          <w:rFonts w:ascii="Times New Roman" w:hAnsi="Times New Roman"/>
        </w:rPr>
        <w:t xml:space="preserve">level data </w:t>
      </w:r>
      <w:r>
        <w:rPr>
          <w:rFonts w:ascii="Times New Roman" w:hAnsi="Times New Roman"/>
        </w:rPr>
        <w:t xml:space="preserve">would enable a </w:t>
      </w:r>
      <w:r w:rsidRPr="00D97363">
        <w:rPr>
          <w:rFonts w:ascii="Times New Roman" w:hAnsi="Times New Roman"/>
        </w:rPr>
        <w:t>more complete analysis.</w:t>
      </w:r>
    </w:p>
    <w:p w:rsidR="00494589" w:rsidRDefault="00494589" w:rsidP="005A4609">
      <w:pPr>
        <w:widowControl w:val="0"/>
        <w:spacing w:after="120"/>
        <w:ind w:right="-28"/>
        <w:rPr>
          <w:rFonts w:ascii="Times New Roman" w:hAnsi="Times New Roman"/>
          <w:szCs w:val="24"/>
        </w:rPr>
      </w:pPr>
      <w:r w:rsidRPr="00023EC3">
        <w:rPr>
          <w:rFonts w:ascii="Times New Roman" w:hAnsi="Times New Roman"/>
          <w:b/>
          <w:szCs w:val="24"/>
        </w:rPr>
        <w:t>Paragraph 32</w:t>
      </w:r>
      <w:r w:rsidRPr="00023EC3">
        <w:rPr>
          <w:rFonts w:ascii="Times New Roman" w:hAnsi="Times New Roman"/>
          <w:szCs w:val="24"/>
        </w:rPr>
        <w:t xml:space="preserve">: </w:t>
      </w:r>
      <w:r>
        <w:rPr>
          <w:rFonts w:ascii="Times New Roman" w:hAnsi="Times New Roman"/>
          <w:szCs w:val="24"/>
        </w:rPr>
        <w:t xml:space="preserve">EU FTA partners (their customs' authorities) hold the key to providing data on EU exports to their jurisdictions. The Commission is therefore seeking to enshrine periodic reporting obligations in its FTAs under negotiation. </w:t>
      </w:r>
    </w:p>
    <w:p w:rsidR="00494589" w:rsidRPr="00F426DA" w:rsidRDefault="00494589" w:rsidP="005A4609">
      <w:pPr>
        <w:widowControl w:val="0"/>
        <w:spacing w:after="120"/>
        <w:ind w:right="-28"/>
        <w:rPr>
          <w:rFonts w:ascii="Times New Roman" w:hAnsi="Times New Roman"/>
          <w:szCs w:val="24"/>
        </w:rPr>
      </w:pPr>
      <w:r w:rsidRPr="00F426DA">
        <w:rPr>
          <w:rFonts w:ascii="Times New Roman" w:hAnsi="Times New Roman"/>
          <w:b/>
          <w:szCs w:val="24"/>
        </w:rPr>
        <w:t>Paragraph 36</w:t>
      </w:r>
      <w:r w:rsidRPr="00F426DA">
        <w:rPr>
          <w:rFonts w:ascii="Times New Roman" w:hAnsi="Times New Roman"/>
          <w:szCs w:val="24"/>
        </w:rPr>
        <w:t xml:space="preserve">: The Commission is </w:t>
      </w:r>
      <w:r>
        <w:rPr>
          <w:rFonts w:ascii="Times New Roman" w:hAnsi="Times New Roman"/>
          <w:szCs w:val="24"/>
        </w:rPr>
        <w:t>assuming</w:t>
      </w:r>
      <w:r w:rsidRPr="00F426DA">
        <w:rPr>
          <w:rFonts w:ascii="Times New Roman" w:hAnsi="Times New Roman"/>
          <w:szCs w:val="24"/>
        </w:rPr>
        <w:t xml:space="preserve"> i</w:t>
      </w:r>
      <w:r>
        <w:rPr>
          <w:rFonts w:ascii="Times New Roman" w:hAnsi="Times New Roman"/>
          <w:szCs w:val="24"/>
        </w:rPr>
        <w:t>ts responsibility to monitor that</w:t>
      </w:r>
      <w:r w:rsidRPr="00F426DA">
        <w:rPr>
          <w:rFonts w:ascii="Times New Roman" w:hAnsi="Times New Roman"/>
          <w:szCs w:val="24"/>
        </w:rPr>
        <w:t xml:space="preserve"> the FTA partner</w:t>
      </w:r>
      <w:r>
        <w:rPr>
          <w:rFonts w:ascii="Times New Roman" w:hAnsi="Times New Roman"/>
          <w:szCs w:val="24"/>
        </w:rPr>
        <w:t>s</w:t>
      </w:r>
      <w:r w:rsidRPr="00F426DA">
        <w:rPr>
          <w:rFonts w:ascii="Times New Roman" w:hAnsi="Times New Roman"/>
          <w:szCs w:val="24"/>
        </w:rPr>
        <w:t xml:space="preserve"> </w:t>
      </w:r>
      <w:r>
        <w:rPr>
          <w:rFonts w:ascii="Times New Roman" w:hAnsi="Times New Roman"/>
          <w:szCs w:val="24"/>
        </w:rPr>
        <w:t>are</w:t>
      </w:r>
      <w:r w:rsidRPr="00F426DA">
        <w:rPr>
          <w:rFonts w:ascii="Times New Roman" w:hAnsi="Times New Roman"/>
          <w:szCs w:val="24"/>
        </w:rPr>
        <w:t xml:space="preserve"> implementing</w:t>
      </w:r>
      <w:r>
        <w:rPr>
          <w:rFonts w:ascii="Times New Roman" w:hAnsi="Times New Roman"/>
          <w:szCs w:val="24"/>
        </w:rPr>
        <w:t xml:space="preserve"> their</w:t>
      </w:r>
      <w:r w:rsidRPr="00F426DA">
        <w:rPr>
          <w:rFonts w:ascii="Times New Roman" w:hAnsi="Times New Roman"/>
          <w:szCs w:val="24"/>
        </w:rPr>
        <w:t xml:space="preserve"> FTA</w:t>
      </w:r>
      <w:r>
        <w:rPr>
          <w:rFonts w:ascii="Times New Roman" w:hAnsi="Times New Roman"/>
          <w:szCs w:val="24"/>
        </w:rPr>
        <w:t xml:space="preserve"> commitments</w:t>
      </w:r>
      <w:r w:rsidRPr="00F426DA">
        <w:rPr>
          <w:rFonts w:ascii="Times New Roman" w:hAnsi="Times New Roman"/>
          <w:szCs w:val="24"/>
        </w:rPr>
        <w:t>. For important agreements</w:t>
      </w:r>
      <w:r>
        <w:rPr>
          <w:rFonts w:ascii="Times New Roman" w:hAnsi="Times New Roman"/>
          <w:szCs w:val="24"/>
        </w:rPr>
        <w:t xml:space="preserve"> EU d</w:t>
      </w:r>
      <w:r w:rsidRPr="00F426DA">
        <w:rPr>
          <w:rFonts w:ascii="Times New Roman" w:hAnsi="Times New Roman"/>
          <w:szCs w:val="24"/>
        </w:rPr>
        <w:t xml:space="preserve">elegations are </w:t>
      </w:r>
      <w:r>
        <w:rPr>
          <w:rFonts w:ascii="Times New Roman" w:hAnsi="Times New Roman"/>
          <w:szCs w:val="24"/>
        </w:rPr>
        <w:t>analysing</w:t>
      </w:r>
      <w:r w:rsidRPr="00F426DA">
        <w:rPr>
          <w:rFonts w:ascii="Times New Roman" w:hAnsi="Times New Roman"/>
          <w:szCs w:val="24"/>
        </w:rPr>
        <w:t xml:space="preserve">, with the help of external consultants, legislative </w:t>
      </w:r>
      <w:r>
        <w:rPr>
          <w:rFonts w:ascii="Times New Roman" w:hAnsi="Times New Roman"/>
          <w:szCs w:val="24"/>
        </w:rPr>
        <w:t>and</w:t>
      </w:r>
      <w:r w:rsidRPr="00F426DA">
        <w:rPr>
          <w:rFonts w:ascii="Times New Roman" w:hAnsi="Times New Roman"/>
          <w:szCs w:val="24"/>
        </w:rPr>
        <w:t xml:space="preserve"> administrative developments in the partner country. </w:t>
      </w:r>
      <w:r>
        <w:rPr>
          <w:rFonts w:ascii="Times New Roman" w:hAnsi="Times New Roman"/>
          <w:szCs w:val="24"/>
        </w:rPr>
        <w:t>Regarding</w:t>
      </w:r>
      <w:r w:rsidRPr="00F426DA">
        <w:rPr>
          <w:rFonts w:ascii="Times New Roman" w:hAnsi="Times New Roman"/>
          <w:szCs w:val="24"/>
        </w:rPr>
        <w:t xml:space="preserve"> </w:t>
      </w:r>
      <w:r>
        <w:rPr>
          <w:rFonts w:ascii="Times New Roman" w:hAnsi="Times New Roman"/>
          <w:szCs w:val="24"/>
        </w:rPr>
        <w:t>TSD</w:t>
      </w:r>
      <w:r w:rsidRPr="00F426DA">
        <w:rPr>
          <w:rFonts w:ascii="Times New Roman" w:hAnsi="Times New Roman"/>
          <w:szCs w:val="24"/>
        </w:rPr>
        <w:t xml:space="preserve">, the Commission </w:t>
      </w:r>
      <w:r>
        <w:rPr>
          <w:rFonts w:ascii="Times New Roman" w:hAnsi="Times New Roman"/>
          <w:szCs w:val="24"/>
        </w:rPr>
        <w:t>follows</w:t>
      </w:r>
      <w:r w:rsidRPr="00F426DA">
        <w:rPr>
          <w:rFonts w:ascii="Times New Roman" w:hAnsi="Times New Roman"/>
          <w:szCs w:val="24"/>
        </w:rPr>
        <w:t xml:space="preserve"> the 15-point action plan on improving the implementation and enforcement of TSD.</w:t>
      </w:r>
      <w:r>
        <w:rPr>
          <w:rFonts w:ascii="Times New Roman" w:hAnsi="Times New Roman"/>
          <w:szCs w:val="24"/>
        </w:rPr>
        <w:t xml:space="preserve"> Under a</w:t>
      </w:r>
      <w:r w:rsidRPr="00F426DA">
        <w:rPr>
          <w:rFonts w:ascii="Times New Roman" w:hAnsi="Times New Roman"/>
          <w:szCs w:val="24"/>
        </w:rPr>
        <w:t xml:space="preserve"> joint pilot project with Sweden a handbook </w:t>
      </w:r>
      <w:r>
        <w:rPr>
          <w:rFonts w:ascii="Times New Roman" w:hAnsi="Times New Roman"/>
          <w:szCs w:val="24"/>
        </w:rPr>
        <w:t>is developed</w:t>
      </w:r>
      <w:r w:rsidRPr="00F426DA">
        <w:rPr>
          <w:rFonts w:ascii="Times New Roman" w:hAnsi="Times New Roman"/>
          <w:szCs w:val="24"/>
        </w:rPr>
        <w:t xml:space="preserve"> to help guid</w:t>
      </w:r>
      <w:r>
        <w:rPr>
          <w:rFonts w:ascii="Times New Roman" w:hAnsi="Times New Roman"/>
          <w:szCs w:val="24"/>
        </w:rPr>
        <w:t>e</w:t>
      </w:r>
      <w:r w:rsidRPr="00F426DA">
        <w:rPr>
          <w:rFonts w:ascii="Times New Roman" w:hAnsi="Times New Roman"/>
          <w:szCs w:val="24"/>
        </w:rPr>
        <w:t xml:space="preserve"> the early stages of TSD implementation</w:t>
      </w:r>
      <w:r>
        <w:rPr>
          <w:rFonts w:ascii="Times New Roman" w:hAnsi="Times New Roman"/>
          <w:szCs w:val="24"/>
        </w:rPr>
        <w:t xml:space="preserve"> in Ecuador, based on which a </w:t>
      </w:r>
      <w:r w:rsidRPr="00F426DA">
        <w:rPr>
          <w:rFonts w:ascii="Times New Roman" w:hAnsi="Times New Roman"/>
          <w:szCs w:val="24"/>
        </w:rPr>
        <w:t>general guiding tool to assist the TSD chapter implementation of all future FTAs</w:t>
      </w:r>
      <w:r>
        <w:rPr>
          <w:rFonts w:ascii="Times New Roman" w:hAnsi="Times New Roman"/>
          <w:szCs w:val="24"/>
        </w:rPr>
        <w:t xml:space="preserve"> should be developed</w:t>
      </w:r>
      <w:r w:rsidRPr="00F426DA">
        <w:rPr>
          <w:rFonts w:ascii="Times New Roman" w:hAnsi="Times New Roman"/>
          <w:szCs w:val="24"/>
        </w:rPr>
        <w:t>.</w:t>
      </w:r>
    </w:p>
    <w:p w:rsidR="00494589" w:rsidRPr="003167B9" w:rsidRDefault="00494589" w:rsidP="005A4609">
      <w:pPr>
        <w:widowControl w:val="0"/>
        <w:spacing w:after="120"/>
        <w:ind w:right="-28"/>
        <w:rPr>
          <w:rFonts w:ascii="Times New Roman" w:hAnsi="Times New Roman"/>
          <w:szCs w:val="24"/>
        </w:rPr>
      </w:pPr>
      <w:r w:rsidRPr="006A1591">
        <w:rPr>
          <w:rFonts w:ascii="Times New Roman" w:hAnsi="Times New Roman"/>
          <w:b/>
          <w:szCs w:val="24"/>
        </w:rPr>
        <w:t>Paragraph</w:t>
      </w:r>
      <w:r w:rsidR="00F753AA">
        <w:rPr>
          <w:rFonts w:ascii="Times New Roman" w:hAnsi="Times New Roman"/>
          <w:b/>
          <w:szCs w:val="24"/>
        </w:rPr>
        <w:t>s</w:t>
      </w:r>
      <w:r w:rsidRPr="006A1591">
        <w:rPr>
          <w:rFonts w:ascii="Times New Roman" w:hAnsi="Times New Roman"/>
          <w:b/>
          <w:szCs w:val="24"/>
        </w:rPr>
        <w:t xml:space="preserve"> 38</w:t>
      </w:r>
      <w:r w:rsidR="00F753AA">
        <w:rPr>
          <w:rFonts w:ascii="Times New Roman" w:hAnsi="Times New Roman"/>
          <w:b/>
          <w:szCs w:val="24"/>
        </w:rPr>
        <w:t xml:space="preserve"> and </w:t>
      </w:r>
      <w:r>
        <w:rPr>
          <w:rFonts w:ascii="Times New Roman" w:hAnsi="Times New Roman"/>
          <w:b/>
          <w:szCs w:val="24"/>
        </w:rPr>
        <w:t>39</w:t>
      </w:r>
      <w:r w:rsidRPr="006A1591">
        <w:rPr>
          <w:rFonts w:ascii="Times New Roman" w:hAnsi="Times New Roman"/>
          <w:szCs w:val="24"/>
        </w:rPr>
        <w:t xml:space="preserve">: </w:t>
      </w:r>
      <w:r w:rsidRPr="0009608C">
        <w:rPr>
          <w:rFonts w:ascii="Times New Roman" w:hAnsi="Times New Roman"/>
          <w:szCs w:val="24"/>
        </w:rPr>
        <w:t>Raising economic operators</w:t>
      </w:r>
      <w:r>
        <w:rPr>
          <w:rFonts w:ascii="Times New Roman" w:hAnsi="Times New Roman"/>
          <w:szCs w:val="24"/>
        </w:rPr>
        <w:t>'</w:t>
      </w:r>
      <w:r w:rsidRPr="0009608C">
        <w:rPr>
          <w:rFonts w:ascii="Times New Roman" w:hAnsi="Times New Roman"/>
          <w:szCs w:val="24"/>
        </w:rPr>
        <w:t xml:space="preserve"> awareness about existing and future trade agreements is a priority for the Commission. The Commission is reflecting on how the SME internationalisation strategy can be further developed</w:t>
      </w:r>
      <w:r>
        <w:rPr>
          <w:rFonts w:ascii="Times New Roman" w:hAnsi="Times New Roman"/>
          <w:szCs w:val="24"/>
        </w:rPr>
        <w:t>. In 2018, t</w:t>
      </w:r>
      <w:r w:rsidRPr="0009608C">
        <w:rPr>
          <w:rFonts w:ascii="Times New Roman" w:hAnsi="Times New Roman"/>
          <w:szCs w:val="24"/>
        </w:rPr>
        <w:t>he Commission has launched a 2</w:t>
      </w:r>
      <w:r>
        <w:rPr>
          <w:rFonts w:ascii="Times New Roman" w:hAnsi="Times New Roman"/>
          <w:szCs w:val="24"/>
        </w:rPr>
        <w:t>-</w:t>
      </w:r>
      <w:r w:rsidRPr="0009608C">
        <w:rPr>
          <w:rFonts w:ascii="Times New Roman" w:hAnsi="Times New Roman"/>
          <w:szCs w:val="24"/>
        </w:rPr>
        <w:t xml:space="preserve">year project to help raise awareness about trade agreements among European SMEs. It will work closely with existing networks and structures at national and European level, including the Enterprise Europe </w:t>
      </w:r>
      <w:r>
        <w:rPr>
          <w:rFonts w:ascii="Times New Roman" w:hAnsi="Times New Roman"/>
          <w:szCs w:val="24"/>
        </w:rPr>
        <w:t>N</w:t>
      </w:r>
      <w:r w:rsidRPr="0009608C">
        <w:rPr>
          <w:rFonts w:ascii="Times New Roman" w:hAnsi="Times New Roman"/>
          <w:szCs w:val="24"/>
        </w:rPr>
        <w:t xml:space="preserve">etwork. The project will also modernise and upgrade existing online tools that provide information </w:t>
      </w:r>
      <w:r>
        <w:rPr>
          <w:rFonts w:ascii="Times New Roman" w:hAnsi="Times New Roman"/>
          <w:szCs w:val="24"/>
        </w:rPr>
        <w:t xml:space="preserve">to </w:t>
      </w:r>
      <w:r w:rsidRPr="0009608C">
        <w:rPr>
          <w:rFonts w:ascii="Times New Roman" w:hAnsi="Times New Roman"/>
          <w:szCs w:val="24"/>
        </w:rPr>
        <w:t xml:space="preserve">companies, namely the EU Market </w:t>
      </w:r>
      <w:r>
        <w:rPr>
          <w:rFonts w:ascii="Times New Roman" w:hAnsi="Times New Roman"/>
          <w:szCs w:val="24"/>
        </w:rPr>
        <w:t>A</w:t>
      </w:r>
      <w:r w:rsidRPr="0009608C">
        <w:rPr>
          <w:rFonts w:ascii="Times New Roman" w:hAnsi="Times New Roman"/>
          <w:szCs w:val="24"/>
        </w:rPr>
        <w:t xml:space="preserve">ccess Database and the EU Trade Helpdesk, which will be combined </w:t>
      </w:r>
      <w:r>
        <w:rPr>
          <w:rFonts w:ascii="Times New Roman" w:hAnsi="Times New Roman"/>
          <w:szCs w:val="24"/>
        </w:rPr>
        <w:t>into</w:t>
      </w:r>
      <w:r w:rsidRPr="0009608C">
        <w:rPr>
          <w:rFonts w:ascii="Times New Roman" w:hAnsi="Times New Roman"/>
          <w:szCs w:val="24"/>
        </w:rPr>
        <w:t xml:space="preserve"> one single portal.</w:t>
      </w:r>
      <w:r>
        <w:rPr>
          <w:rFonts w:ascii="Times New Roman" w:hAnsi="Times New Roman"/>
          <w:szCs w:val="24"/>
        </w:rPr>
        <w:t xml:space="preserve"> Whereas t</w:t>
      </w:r>
      <w:r w:rsidRPr="0009608C">
        <w:rPr>
          <w:rFonts w:ascii="Times New Roman" w:hAnsi="Times New Roman"/>
          <w:szCs w:val="24"/>
        </w:rPr>
        <w:t xml:space="preserve">rade promotion is </w:t>
      </w:r>
      <w:r>
        <w:rPr>
          <w:rFonts w:ascii="Times New Roman" w:hAnsi="Times New Roman"/>
          <w:szCs w:val="24"/>
        </w:rPr>
        <w:t xml:space="preserve">of the primary </w:t>
      </w:r>
      <w:r w:rsidRPr="0009608C">
        <w:rPr>
          <w:rFonts w:ascii="Times New Roman" w:hAnsi="Times New Roman"/>
          <w:szCs w:val="24"/>
        </w:rPr>
        <w:t xml:space="preserve"> responsibility of Member States </w:t>
      </w:r>
      <w:r>
        <w:rPr>
          <w:rFonts w:ascii="Times New Roman" w:hAnsi="Times New Roman"/>
          <w:szCs w:val="24"/>
        </w:rPr>
        <w:t>who</w:t>
      </w:r>
      <w:r w:rsidRPr="0009608C">
        <w:rPr>
          <w:rFonts w:ascii="Times New Roman" w:hAnsi="Times New Roman"/>
          <w:szCs w:val="24"/>
        </w:rPr>
        <w:t xml:space="preserve"> will provide appropriate tools for their SMEs to internationalise,</w:t>
      </w:r>
      <w:r>
        <w:rPr>
          <w:rFonts w:ascii="Times New Roman" w:hAnsi="Times New Roman"/>
          <w:szCs w:val="24"/>
        </w:rPr>
        <w:t xml:space="preserve"> the Commission assists the Member States through</w:t>
      </w:r>
      <w:r w:rsidRPr="0009608C">
        <w:rPr>
          <w:rFonts w:ascii="Times New Roman" w:hAnsi="Times New Roman"/>
          <w:szCs w:val="24"/>
        </w:rPr>
        <w:t xml:space="preserve"> complementary information</w:t>
      </w:r>
      <w:r>
        <w:rPr>
          <w:rFonts w:ascii="Times New Roman" w:hAnsi="Times New Roman"/>
          <w:szCs w:val="24"/>
        </w:rPr>
        <w:t xml:space="preserve"> such as the Market Access Database or the trade and investment facilitation mechanism (TIFM) for the </w:t>
      </w:r>
      <w:proofErr w:type="spellStart"/>
      <w:r>
        <w:rPr>
          <w:rFonts w:ascii="Times New Roman" w:hAnsi="Times New Roman"/>
          <w:szCs w:val="24"/>
        </w:rPr>
        <w:t>Euromed</w:t>
      </w:r>
      <w:proofErr w:type="spellEnd"/>
      <w:r w:rsidRPr="0009608C">
        <w:rPr>
          <w:rFonts w:ascii="Times New Roman" w:hAnsi="Times New Roman"/>
          <w:szCs w:val="24"/>
        </w:rPr>
        <w:t xml:space="preserve">. </w:t>
      </w:r>
      <w:r>
        <w:rPr>
          <w:rFonts w:ascii="Times New Roman" w:hAnsi="Times New Roman"/>
          <w:szCs w:val="24"/>
        </w:rPr>
        <w:t>EU</w:t>
      </w:r>
      <w:r w:rsidRPr="0009608C">
        <w:rPr>
          <w:rFonts w:ascii="Times New Roman" w:hAnsi="Times New Roman"/>
          <w:szCs w:val="24"/>
        </w:rPr>
        <w:t xml:space="preserve"> delegations are already promoting the EU as a business partner and coordinate in a complementary way with Member States</w:t>
      </w:r>
      <w:r>
        <w:rPr>
          <w:rFonts w:ascii="Times New Roman" w:hAnsi="Times New Roman"/>
          <w:szCs w:val="24"/>
        </w:rPr>
        <w:t>.</w:t>
      </w:r>
      <w:r w:rsidRPr="003167B9">
        <w:rPr>
          <w:rFonts w:ascii="Times New Roman" w:hAnsi="Times New Roman"/>
          <w:szCs w:val="24"/>
        </w:rPr>
        <w:t xml:space="preserve"> </w:t>
      </w:r>
      <w:r>
        <w:rPr>
          <w:rFonts w:ascii="Times New Roman" w:hAnsi="Times New Roman"/>
          <w:szCs w:val="24"/>
        </w:rPr>
        <w:t>The ongoing work will be reflected in the upcoming FTA implementation report.</w:t>
      </w:r>
    </w:p>
    <w:p w:rsidR="00494589" w:rsidRPr="00F77E5B" w:rsidRDefault="00494589" w:rsidP="005A4609">
      <w:pPr>
        <w:widowControl w:val="0"/>
        <w:spacing w:after="120"/>
        <w:ind w:right="-28"/>
        <w:rPr>
          <w:rFonts w:ascii="Times New Roman" w:hAnsi="Times New Roman"/>
          <w:szCs w:val="24"/>
        </w:rPr>
      </w:pPr>
      <w:r w:rsidRPr="00E9454E">
        <w:rPr>
          <w:rFonts w:ascii="Times New Roman" w:hAnsi="Times New Roman"/>
          <w:b/>
          <w:szCs w:val="24"/>
        </w:rPr>
        <w:t>Paragraph 41</w:t>
      </w:r>
      <w:r w:rsidRPr="00E9454E">
        <w:rPr>
          <w:rFonts w:ascii="Times New Roman" w:hAnsi="Times New Roman"/>
          <w:szCs w:val="24"/>
        </w:rPr>
        <w:t xml:space="preserve">: </w:t>
      </w:r>
      <w:r>
        <w:rPr>
          <w:rFonts w:ascii="Times New Roman" w:hAnsi="Times New Roman"/>
          <w:szCs w:val="24"/>
        </w:rPr>
        <w:t>A</w:t>
      </w:r>
      <w:r w:rsidRPr="00F77E5B">
        <w:rPr>
          <w:rFonts w:ascii="Times New Roman" w:hAnsi="Times New Roman"/>
          <w:szCs w:val="24"/>
        </w:rPr>
        <w:t xml:space="preserve"> high level of protection and enforcement of EU GIs is a key</w:t>
      </w:r>
      <w:r>
        <w:rPr>
          <w:rFonts w:ascii="Times New Roman" w:hAnsi="Times New Roman"/>
          <w:szCs w:val="24"/>
        </w:rPr>
        <w:t xml:space="preserve"> </w:t>
      </w:r>
      <w:r w:rsidRPr="00F77E5B">
        <w:rPr>
          <w:rFonts w:ascii="Times New Roman" w:hAnsi="Times New Roman"/>
          <w:szCs w:val="24"/>
        </w:rPr>
        <w:t>interest of EU trade policy that the Commission will continue to prioritise in FTA negotiations. The Commission will continue working towards effective implementation of FTAs to secure the positive results on protection and enforcement of listed GIs, in accordance with the provisions and compromises agreed in the respective FTAs. The Commission is making full use of the institutional set up of the</w:t>
      </w:r>
      <w:r>
        <w:rPr>
          <w:rFonts w:ascii="Times New Roman" w:hAnsi="Times New Roman"/>
          <w:szCs w:val="24"/>
        </w:rPr>
        <w:t xml:space="preserve"> a</w:t>
      </w:r>
      <w:r w:rsidRPr="00F77E5B">
        <w:rPr>
          <w:rFonts w:ascii="Times New Roman" w:hAnsi="Times New Roman"/>
          <w:szCs w:val="24"/>
        </w:rPr>
        <w:t xml:space="preserve">greements, including </w:t>
      </w:r>
      <w:r>
        <w:rPr>
          <w:rFonts w:ascii="Times New Roman" w:hAnsi="Times New Roman"/>
          <w:szCs w:val="24"/>
        </w:rPr>
        <w:t xml:space="preserve">through </w:t>
      </w:r>
      <w:r w:rsidRPr="00F77E5B">
        <w:rPr>
          <w:rFonts w:ascii="Times New Roman" w:hAnsi="Times New Roman"/>
          <w:szCs w:val="24"/>
        </w:rPr>
        <w:t>the Sub-committee devoted to GIs, to address concerns about the enforcement of GIs.</w:t>
      </w:r>
    </w:p>
    <w:p w:rsidR="00494589" w:rsidRPr="009B1AF0" w:rsidRDefault="00494589" w:rsidP="005A4609">
      <w:pPr>
        <w:widowControl w:val="0"/>
        <w:spacing w:after="120"/>
        <w:ind w:right="-28"/>
        <w:rPr>
          <w:rFonts w:ascii="Times New Roman" w:hAnsi="Times New Roman"/>
          <w:szCs w:val="24"/>
        </w:rPr>
      </w:pPr>
      <w:r w:rsidRPr="008A10AF">
        <w:rPr>
          <w:rFonts w:ascii="Times New Roman" w:hAnsi="Times New Roman"/>
          <w:b/>
          <w:szCs w:val="24"/>
        </w:rPr>
        <w:t>Paragraph 42</w:t>
      </w:r>
      <w:r>
        <w:rPr>
          <w:rFonts w:ascii="Times New Roman" w:hAnsi="Times New Roman"/>
          <w:szCs w:val="24"/>
        </w:rPr>
        <w:t>:</w:t>
      </w:r>
      <w:r w:rsidRPr="008A10AF">
        <w:rPr>
          <w:rFonts w:ascii="Times New Roman" w:hAnsi="Times New Roman"/>
          <w:szCs w:val="24"/>
        </w:rPr>
        <w:t xml:space="preserve"> </w:t>
      </w:r>
      <w:r w:rsidRPr="009B1AF0">
        <w:rPr>
          <w:rFonts w:ascii="Times New Roman" w:hAnsi="Times New Roman"/>
          <w:szCs w:val="24"/>
        </w:rPr>
        <w:t>The Commission's proposal for an International Procurement Instrument (IPI) aims at securing greater access to third countries</w:t>
      </w:r>
      <w:r>
        <w:rPr>
          <w:rFonts w:ascii="Times New Roman" w:hAnsi="Times New Roman"/>
          <w:szCs w:val="24"/>
        </w:rPr>
        <w:t>'</w:t>
      </w:r>
      <w:r w:rsidRPr="009B1AF0">
        <w:rPr>
          <w:rFonts w:ascii="Times New Roman" w:hAnsi="Times New Roman"/>
          <w:szCs w:val="24"/>
        </w:rPr>
        <w:t xml:space="preserve"> public procurement markets by incentivising trading partners to negotiate procurement deals</w:t>
      </w:r>
      <w:r>
        <w:rPr>
          <w:rFonts w:ascii="Times New Roman" w:hAnsi="Times New Roman"/>
          <w:szCs w:val="24"/>
        </w:rPr>
        <w:t xml:space="preserve">. The EU's objective remains to foster an open internal market, accessible to both domestic and foreign operators in a non-discriminatory manner, while preventing market </w:t>
      </w:r>
      <w:r w:rsidRPr="009B1AF0">
        <w:rPr>
          <w:rFonts w:ascii="Times New Roman" w:hAnsi="Times New Roman"/>
          <w:szCs w:val="24"/>
        </w:rPr>
        <w:t>distorti</w:t>
      </w:r>
      <w:r>
        <w:rPr>
          <w:rFonts w:ascii="Times New Roman" w:hAnsi="Times New Roman"/>
          <w:szCs w:val="24"/>
        </w:rPr>
        <w:t>o</w:t>
      </w:r>
      <w:r w:rsidRPr="009B1AF0">
        <w:rPr>
          <w:rFonts w:ascii="Times New Roman" w:hAnsi="Times New Roman"/>
          <w:szCs w:val="24"/>
        </w:rPr>
        <w:t>n</w:t>
      </w:r>
      <w:r>
        <w:rPr>
          <w:rFonts w:ascii="Times New Roman" w:hAnsi="Times New Roman"/>
          <w:szCs w:val="24"/>
        </w:rPr>
        <w:t xml:space="preserve"> in full compliance with EU and international rules. </w:t>
      </w:r>
      <w:r>
        <w:rPr>
          <w:rFonts w:ascii="Times" w:hAnsi="Times"/>
        </w:rPr>
        <w:t>T</w:t>
      </w:r>
      <w:r w:rsidRPr="007B71ED">
        <w:rPr>
          <w:rFonts w:ascii="Times New Roman" w:hAnsi="Times New Roman"/>
          <w:szCs w:val="24"/>
        </w:rPr>
        <w:t xml:space="preserve">he </w:t>
      </w:r>
      <w:r>
        <w:rPr>
          <w:rFonts w:ascii="Times New Roman" w:hAnsi="Times New Roman"/>
          <w:szCs w:val="24"/>
        </w:rPr>
        <w:t>Commission therefore calls for</w:t>
      </w:r>
      <w:r w:rsidRPr="007B71ED">
        <w:rPr>
          <w:rFonts w:ascii="Times New Roman" w:hAnsi="Times New Roman"/>
          <w:szCs w:val="24"/>
        </w:rPr>
        <w:t xml:space="preserve"> swift adoption</w:t>
      </w:r>
      <w:r>
        <w:rPr>
          <w:rFonts w:ascii="Times New Roman" w:hAnsi="Times New Roman"/>
          <w:szCs w:val="24"/>
        </w:rPr>
        <w:t xml:space="preserve"> of the proposal </w:t>
      </w:r>
      <w:r w:rsidRPr="007B71ED">
        <w:rPr>
          <w:rFonts w:ascii="Times New Roman" w:hAnsi="Times New Roman"/>
          <w:szCs w:val="24"/>
        </w:rPr>
        <w:t>to promote open</w:t>
      </w:r>
      <w:r>
        <w:rPr>
          <w:rFonts w:ascii="Times New Roman" w:hAnsi="Times New Roman"/>
          <w:szCs w:val="24"/>
        </w:rPr>
        <w:t>ness</w:t>
      </w:r>
      <w:r w:rsidRPr="007B71ED">
        <w:rPr>
          <w:rFonts w:ascii="Times New Roman" w:hAnsi="Times New Roman"/>
          <w:szCs w:val="24"/>
        </w:rPr>
        <w:t xml:space="preserve"> and </w:t>
      </w:r>
      <w:r>
        <w:rPr>
          <w:rFonts w:ascii="Times New Roman" w:hAnsi="Times New Roman"/>
          <w:szCs w:val="24"/>
        </w:rPr>
        <w:t>a level playing field in access</w:t>
      </w:r>
      <w:r w:rsidRPr="007B71ED">
        <w:rPr>
          <w:rFonts w:ascii="Times New Roman" w:hAnsi="Times New Roman"/>
          <w:szCs w:val="24"/>
        </w:rPr>
        <w:t xml:space="preserve"> to public procurement markets around the world.</w:t>
      </w:r>
    </w:p>
    <w:p w:rsidR="00494589" w:rsidRPr="009B1AF0" w:rsidRDefault="00494589" w:rsidP="005A4609">
      <w:pPr>
        <w:widowControl w:val="0"/>
        <w:spacing w:after="120"/>
        <w:ind w:right="-28"/>
        <w:rPr>
          <w:rFonts w:ascii="Times New Roman" w:hAnsi="Times New Roman"/>
          <w:szCs w:val="24"/>
        </w:rPr>
      </w:pPr>
      <w:r>
        <w:rPr>
          <w:rFonts w:ascii="Times New Roman" w:hAnsi="Times New Roman"/>
          <w:b/>
          <w:szCs w:val="24"/>
        </w:rPr>
        <w:t>Paragraph</w:t>
      </w:r>
      <w:r w:rsidRPr="00415BEF">
        <w:rPr>
          <w:rFonts w:ascii="Times New Roman" w:hAnsi="Times New Roman"/>
          <w:b/>
          <w:szCs w:val="24"/>
        </w:rPr>
        <w:t xml:space="preserve"> </w:t>
      </w:r>
      <w:r w:rsidRPr="00670808">
        <w:rPr>
          <w:rFonts w:ascii="Times New Roman" w:hAnsi="Times New Roman"/>
          <w:b/>
          <w:szCs w:val="24"/>
        </w:rPr>
        <w:t>43</w:t>
      </w:r>
      <w:r>
        <w:rPr>
          <w:rFonts w:ascii="Times New Roman" w:hAnsi="Times New Roman"/>
          <w:szCs w:val="24"/>
        </w:rPr>
        <w:t xml:space="preserve">: </w:t>
      </w:r>
      <w:r w:rsidRPr="00D91245">
        <w:rPr>
          <w:rFonts w:ascii="Times New Roman" w:hAnsi="Times New Roman"/>
          <w:szCs w:val="24"/>
        </w:rPr>
        <w:t>Not</w:t>
      </w:r>
      <w:r w:rsidRPr="009B1AF0">
        <w:rPr>
          <w:rFonts w:ascii="Times New Roman" w:hAnsi="Times New Roman"/>
          <w:szCs w:val="24"/>
        </w:rPr>
        <w:t xml:space="preserve"> all third countries collect data on public procurement</w:t>
      </w:r>
      <w:r>
        <w:rPr>
          <w:rFonts w:ascii="Times New Roman" w:hAnsi="Times New Roman"/>
          <w:szCs w:val="24"/>
        </w:rPr>
        <w:t xml:space="preserve">; </w:t>
      </w:r>
      <w:r w:rsidRPr="009B1AF0">
        <w:rPr>
          <w:rFonts w:ascii="Times New Roman" w:hAnsi="Times New Roman"/>
          <w:szCs w:val="24"/>
        </w:rPr>
        <w:t>thus, the possibility to measure</w:t>
      </w:r>
      <w:r>
        <w:rPr>
          <w:rFonts w:ascii="Times New Roman" w:hAnsi="Times New Roman"/>
          <w:szCs w:val="24"/>
        </w:rPr>
        <w:t xml:space="preserve"> </w:t>
      </w:r>
      <w:r w:rsidRPr="009B1AF0">
        <w:rPr>
          <w:rFonts w:ascii="Times New Roman" w:hAnsi="Times New Roman"/>
          <w:szCs w:val="24"/>
        </w:rPr>
        <w:t>increased access to public procurement markets depends on the commitments</w:t>
      </w:r>
      <w:r w:rsidRPr="005D70AA">
        <w:rPr>
          <w:rFonts w:ascii="Times New Roman" w:hAnsi="Times New Roman"/>
          <w:szCs w:val="24"/>
        </w:rPr>
        <w:t xml:space="preserve"> </w:t>
      </w:r>
      <w:r w:rsidRPr="009B1AF0">
        <w:rPr>
          <w:rFonts w:ascii="Times New Roman" w:hAnsi="Times New Roman"/>
          <w:szCs w:val="24"/>
        </w:rPr>
        <w:t>on exchange of statistics undertaken in the FTAs.</w:t>
      </w:r>
      <w:r>
        <w:rPr>
          <w:rFonts w:ascii="Times New Roman" w:hAnsi="Times New Roman"/>
          <w:szCs w:val="24"/>
        </w:rPr>
        <w:t xml:space="preserve"> However, even such data can</w:t>
      </w:r>
      <w:r w:rsidRPr="009B1AF0">
        <w:rPr>
          <w:rFonts w:ascii="Times New Roman" w:hAnsi="Times New Roman"/>
          <w:szCs w:val="24"/>
        </w:rPr>
        <w:t xml:space="preserve"> only provide information on procurement contracts won by EU operators. It would neither give information about the possible difficulties in getting access nor whether there were any EU operators that took part in the bidding, but which were not awarded the contract because they were not the most competitive. The Market Access Database provides some information about the problems companies are confronted with in third countries.</w:t>
      </w:r>
      <w:r>
        <w:rPr>
          <w:rFonts w:ascii="Times New Roman" w:hAnsi="Times New Roman"/>
          <w:szCs w:val="24"/>
        </w:rPr>
        <w:t xml:space="preserve"> </w:t>
      </w:r>
      <w:r w:rsidRPr="009B1AF0">
        <w:rPr>
          <w:rFonts w:ascii="Times New Roman" w:hAnsi="Times New Roman"/>
          <w:szCs w:val="24"/>
        </w:rPr>
        <w:t xml:space="preserve">The economic importance of intellectual property rights (IPRs) both in terms of employment and contribution to the EU's GDP was </w:t>
      </w:r>
      <w:r>
        <w:rPr>
          <w:rFonts w:ascii="Times New Roman" w:hAnsi="Times New Roman"/>
          <w:szCs w:val="24"/>
        </w:rPr>
        <w:t>re</w:t>
      </w:r>
      <w:r w:rsidRPr="009B1AF0">
        <w:rPr>
          <w:rFonts w:ascii="Times New Roman" w:hAnsi="Times New Roman"/>
          <w:szCs w:val="24"/>
        </w:rPr>
        <w:t xml:space="preserve">confirmed by a joint EPO/EUIPO report released in October 2016. </w:t>
      </w:r>
      <w:r>
        <w:rPr>
          <w:rFonts w:ascii="Times New Roman" w:hAnsi="Times New Roman"/>
          <w:szCs w:val="24"/>
        </w:rPr>
        <w:t>A</w:t>
      </w:r>
      <w:r w:rsidRPr="009B1AF0">
        <w:rPr>
          <w:rFonts w:ascii="Times New Roman" w:hAnsi="Times New Roman"/>
          <w:szCs w:val="24"/>
        </w:rPr>
        <w:t>bout 20% of total sales of EU GI products are exported outside the EU</w:t>
      </w:r>
      <w:r>
        <w:rPr>
          <w:rFonts w:ascii="Times New Roman" w:hAnsi="Times New Roman"/>
          <w:szCs w:val="24"/>
        </w:rPr>
        <w:t>. B</w:t>
      </w:r>
      <w:r w:rsidRPr="009B1AF0">
        <w:rPr>
          <w:rFonts w:ascii="Times New Roman" w:hAnsi="Times New Roman"/>
          <w:szCs w:val="24"/>
        </w:rPr>
        <w:t>etween 25% and 30% of processed agricultural products are covered by GIs</w:t>
      </w:r>
      <w:r>
        <w:rPr>
          <w:rFonts w:ascii="Times New Roman" w:hAnsi="Times New Roman"/>
          <w:szCs w:val="24"/>
        </w:rPr>
        <w:t>.</w:t>
      </w:r>
      <w:r w:rsidRPr="009B1AF0">
        <w:rPr>
          <w:rFonts w:ascii="Times New Roman" w:hAnsi="Times New Roman"/>
          <w:szCs w:val="24"/>
        </w:rPr>
        <w:t xml:space="preserve"> 80% of total wine exports and almost all spirits exports are covered by GIs. Beyond economic indicators, GIs create opportunities for growth and jobs, play a crucial role in rural development, attract tourism, and </w:t>
      </w:r>
      <w:r>
        <w:rPr>
          <w:rFonts w:ascii="Times New Roman" w:hAnsi="Times New Roman"/>
          <w:szCs w:val="24"/>
        </w:rPr>
        <w:t>protect</w:t>
      </w:r>
      <w:r w:rsidRPr="009B1AF0">
        <w:rPr>
          <w:rFonts w:ascii="Times New Roman" w:hAnsi="Times New Roman"/>
          <w:szCs w:val="24"/>
        </w:rPr>
        <w:t xml:space="preserve"> heritage, regional diversity and traditions</w:t>
      </w:r>
      <w:r>
        <w:rPr>
          <w:rFonts w:ascii="Times New Roman" w:hAnsi="Times New Roman"/>
          <w:szCs w:val="24"/>
        </w:rPr>
        <w:t>. These aspects are</w:t>
      </w:r>
      <w:r w:rsidRPr="009B1AF0">
        <w:rPr>
          <w:rFonts w:ascii="Times New Roman" w:hAnsi="Times New Roman"/>
          <w:szCs w:val="24"/>
        </w:rPr>
        <w:t xml:space="preserve"> </w:t>
      </w:r>
      <w:r>
        <w:rPr>
          <w:rFonts w:ascii="Times New Roman" w:hAnsi="Times New Roman"/>
          <w:szCs w:val="24"/>
        </w:rPr>
        <w:t xml:space="preserve">important </w:t>
      </w:r>
      <w:r w:rsidRPr="009B1AF0">
        <w:rPr>
          <w:rFonts w:ascii="Times New Roman" w:hAnsi="Times New Roman"/>
          <w:szCs w:val="24"/>
        </w:rPr>
        <w:t xml:space="preserve">for SMEs and entrepreneurs producing in a specific geographical area, where the characteristics or </w:t>
      </w:r>
      <w:r>
        <w:rPr>
          <w:rFonts w:ascii="Times New Roman" w:hAnsi="Times New Roman"/>
          <w:szCs w:val="24"/>
        </w:rPr>
        <w:t xml:space="preserve">the </w:t>
      </w:r>
      <w:r w:rsidRPr="009B1AF0">
        <w:rPr>
          <w:rFonts w:ascii="Times New Roman" w:hAnsi="Times New Roman"/>
          <w:szCs w:val="24"/>
        </w:rPr>
        <w:t xml:space="preserve">reputation of </w:t>
      </w:r>
      <w:r>
        <w:rPr>
          <w:rFonts w:ascii="Times New Roman" w:hAnsi="Times New Roman"/>
          <w:szCs w:val="24"/>
        </w:rPr>
        <w:t>a</w:t>
      </w:r>
      <w:r w:rsidRPr="009B1AF0">
        <w:rPr>
          <w:rFonts w:ascii="Times New Roman" w:hAnsi="Times New Roman"/>
          <w:szCs w:val="24"/>
        </w:rPr>
        <w:t xml:space="preserve"> product are essentially attributable to the geographical origin.</w:t>
      </w:r>
    </w:p>
    <w:p w:rsidR="00494589" w:rsidRDefault="00494589" w:rsidP="005A4609">
      <w:pPr>
        <w:widowControl w:val="0"/>
        <w:spacing w:after="120"/>
        <w:ind w:right="-28"/>
        <w:rPr>
          <w:rFonts w:ascii="Times New Roman" w:hAnsi="Times New Roman"/>
          <w:szCs w:val="24"/>
          <w:lang w:val="en-US"/>
        </w:rPr>
      </w:pPr>
      <w:r w:rsidRPr="009843BC">
        <w:rPr>
          <w:rFonts w:ascii="Times New Roman" w:hAnsi="Times New Roman"/>
          <w:b/>
          <w:szCs w:val="24"/>
          <w:lang w:val="en-US"/>
        </w:rPr>
        <w:t>Paragraph 45</w:t>
      </w:r>
      <w:r>
        <w:rPr>
          <w:rFonts w:ascii="Times New Roman" w:hAnsi="Times New Roman"/>
          <w:szCs w:val="24"/>
          <w:lang w:val="en-US"/>
        </w:rPr>
        <w:t xml:space="preserve">: </w:t>
      </w:r>
      <w:r w:rsidRPr="000E5FAA">
        <w:rPr>
          <w:rFonts w:ascii="Times New Roman" w:hAnsi="Times New Roman"/>
          <w:szCs w:val="24"/>
          <w:lang w:val="en-US"/>
        </w:rPr>
        <w:t>Th</w:t>
      </w:r>
      <w:r>
        <w:rPr>
          <w:rFonts w:ascii="Times New Roman" w:hAnsi="Times New Roman"/>
          <w:szCs w:val="24"/>
          <w:lang w:val="en-US"/>
        </w:rPr>
        <w:t xml:space="preserve">e </w:t>
      </w:r>
      <w:r w:rsidRPr="000E5FAA">
        <w:rPr>
          <w:rFonts w:ascii="Times New Roman" w:hAnsi="Times New Roman"/>
          <w:szCs w:val="24"/>
          <w:lang w:val="en-US"/>
        </w:rPr>
        <w:t>second biennial GSP report</w:t>
      </w:r>
      <w:r>
        <w:rPr>
          <w:rFonts w:ascii="Times New Roman" w:hAnsi="Times New Roman"/>
          <w:szCs w:val="24"/>
          <w:lang w:val="en-US"/>
        </w:rPr>
        <w:t xml:space="preserve">, adopted on 19 January 2018, shows the benefits of </w:t>
      </w:r>
      <w:r w:rsidRPr="000E5FAA">
        <w:rPr>
          <w:rFonts w:ascii="Times New Roman" w:hAnsi="Times New Roman"/>
          <w:szCs w:val="24"/>
          <w:lang w:val="en-US"/>
        </w:rPr>
        <w:t xml:space="preserve">increased </w:t>
      </w:r>
      <w:r>
        <w:rPr>
          <w:rFonts w:ascii="Times New Roman" w:hAnsi="Times New Roman"/>
          <w:szCs w:val="24"/>
          <w:lang w:val="en-US"/>
        </w:rPr>
        <w:t xml:space="preserve">cooperation with beneficiary countries, </w:t>
      </w:r>
      <w:r w:rsidRPr="000E5FAA">
        <w:rPr>
          <w:rFonts w:ascii="Times New Roman" w:hAnsi="Times New Roman"/>
          <w:szCs w:val="24"/>
          <w:lang w:val="en-US"/>
        </w:rPr>
        <w:t>civil society</w:t>
      </w:r>
      <w:r>
        <w:rPr>
          <w:rFonts w:ascii="Times New Roman" w:hAnsi="Times New Roman"/>
          <w:szCs w:val="24"/>
          <w:lang w:val="en-US"/>
        </w:rPr>
        <w:t xml:space="preserve">, international organizations and Member States' authorities </w:t>
      </w:r>
      <w:r w:rsidRPr="000E5FAA">
        <w:rPr>
          <w:rFonts w:ascii="Times New Roman" w:hAnsi="Times New Roman"/>
          <w:szCs w:val="24"/>
          <w:lang w:val="en-US"/>
        </w:rPr>
        <w:t>in GSP+ monitoring</w:t>
      </w:r>
      <w:r>
        <w:rPr>
          <w:rFonts w:ascii="Times New Roman" w:hAnsi="Times New Roman"/>
          <w:szCs w:val="24"/>
          <w:lang w:val="en-US"/>
        </w:rPr>
        <w:t>. The strengthened monitoring did not only improve information gathering; it also increased the pressure on beneficiary countries to progress in the effective implementation of GSP+ conventions.</w:t>
      </w:r>
    </w:p>
    <w:p w:rsidR="00494589" w:rsidRDefault="00494589" w:rsidP="005A4609">
      <w:pPr>
        <w:widowControl w:val="0"/>
        <w:spacing w:after="120"/>
        <w:ind w:right="-28"/>
        <w:rPr>
          <w:rFonts w:ascii="Times New Roman" w:hAnsi="Times New Roman"/>
          <w:szCs w:val="24"/>
        </w:rPr>
      </w:pPr>
      <w:r w:rsidRPr="004D735B">
        <w:rPr>
          <w:rFonts w:ascii="Times New Roman" w:hAnsi="Times New Roman"/>
          <w:b/>
          <w:szCs w:val="24"/>
          <w:lang w:val="en-US"/>
        </w:rPr>
        <w:t>Paragraph 46</w:t>
      </w:r>
      <w:r w:rsidRPr="004D735B">
        <w:rPr>
          <w:rFonts w:ascii="Times New Roman" w:hAnsi="Times New Roman"/>
          <w:szCs w:val="24"/>
          <w:lang w:val="en-US"/>
        </w:rPr>
        <w:t xml:space="preserve">: </w:t>
      </w:r>
      <w:r w:rsidRPr="00720249">
        <w:rPr>
          <w:rFonts w:ascii="Times New Roman" w:hAnsi="Times New Roman"/>
          <w:szCs w:val="24"/>
        </w:rPr>
        <w:t>The implementation</w:t>
      </w:r>
      <w:r>
        <w:rPr>
          <w:rFonts w:ascii="Times New Roman" w:hAnsi="Times New Roman"/>
          <w:szCs w:val="24"/>
        </w:rPr>
        <w:t xml:space="preserve"> and enforcement</w:t>
      </w:r>
      <w:r w:rsidRPr="00720249">
        <w:rPr>
          <w:rFonts w:ascii="Times New Roman" w:hAnsi="Times New Roman"/>
          <w:szCs w:val="24"/>
        </w:rPr>
        <w:t xml:space="preserve"> </w:t>
      </w:r>
      <w:r>
        <w:rPr>
          <w:rFonts w:ascii="Times New Roman" w:hAnsi="Times New Roman"/>
          <w:szCs w:val="24"/>
        </w:rPr>
        <w:t>of TSD chapters is one of the Commission's</w:t>
      </w:r>
      <w:r w:rsidRPr="00720249">
        <w:rPr>
          <w:rFonts w:ascii="Times New Roman" w:hAnsi="Times New Roman"/>
          <w:szCs w:val="24"/>
        </w:rPr>
        <w:t xml:space="preserve"> priorities. </w:t>
      </w:r>
      <w:r w:rsidRPr="004135EF">
        <w:rPr>
          <w:rFonts w:ascii="Times New Roman" w:hAnsi="Times New Roman"/>
          <w:szCs w:val="24"/>
        </w:rPr>
        <w:t xml:space="preserve">The approach </w:t>
      </w:r>
      <w:r>
        <w:rPr>
          <w:rFonts w:ascii="Times New Roman" w:hAnsi="Times New Roman"/>
          <w:szCs w:val="24"/>
        </w:rPr>
        <w:t xml:space="preserve">is </w:t>
      </w:r>
      <w:r w:rsidRPr="004135EF">
        <w:rPr>
          <w:rFonts w:ascii="Times New Roman" w:hAnsi="Times New Roman"/>
          <w:szCs w:val="24"/>
        </w:rPr>
        <w:t>based on three p</w:t>
      </w:r>
      <w:r>
        <w:rPr>
          <w:rFonts w:ascii="Times New Roman" w:hAnsi="Times New Roman"/>
          <w:szCs w:val="24"/>
        </w:rPr>
        <w:t>illars: binding commitments by the p</w:t>
      </w:r>
      <w:r w:rsidRPr="004135EF">
        <w:rPr>
          <w:rFonts w:ascii="Times New Roman" w:hAnsi="Times New Roman"/>
          <w:szCs w:val="24"/>
        </w:rPr>
        <w:t xml:space="preserve">arties, structures to involve civil society organisations in the implementation of those commitments, and a dedicated dispute settlement mechanism </w:t>
      </w:r>
      <w:r>
        <w:rPr>
          <w:rFonts w:ascii="Times New Roman" w:hAnsi="Times New Roman"/>
          <w:szCs w:val="24"/>
        </w:rPr>
        <w:t>with</w:t>
      </w:r>
      <w:r w:rsidRPr="004135EF">
        <w:rPr>
          <w:rFonts w:ascii="Times New Roman" w:hAnsi="Times New Roman"/>
          <w:szCs w:val="24"/>
        </w:rPr>
        <w:t xml:space="preserve"> independent arbitrators. </w:t>
      </w:r>
      <w:r>
        <w:rPr>
          <w:rFonts w:ascii="Times New Roman" w:hAnsi="Times New Roman"/>
          <w:szCs w:val="24"/>
        </w:rPr>
        <w:t>D</w:t>
      </w:r>
      <w:r w:rsidRPr="004135EF">
        <w:rPr>
          <w:rFonts w:ascii="Times New Roman" w:hAnsi="Times New Roman"/>
          <w:szCs w:val="24"/>
        </w:rPr>
        <w:t xml:space="preserve">ialogue and cooperation </w:t>
      </w:r>
      <w:r>
        <w:rPr>
          <w:rFonts w:ascii="Times New Roman" w:hAnsi="Times New Roman"/>
          <w:szCs w:val="24"/>
        </w:rPr>
        <w:t>are</w:t>
      </w:r>
      <w:r w:rsidRPr="004135EF">
        <w:rPr>
          <w:rFonts w:ascii="Times New Roman" w:hAnsi="Times New Roman"/>
          <w:szCs w:val="24"/>
        </w:rPr>
        <w:t xml:space="preserve"> </w:t>
      </w:r>
      <w:r>
        <w:rPr>
          <w:rFonts w:ascii="Times New Roman" w:hAnsi="Times New Roman"/>
          <w:szCs w:val="24"/>
        </w:rPr>
        <w:t xml:space="preserve">thus </w:t>
      </w:r>
      <w:r w:rsidRPr="004135EF">
        <w:rPr>
          <w:rFonts w:ascii="Times New Roman" w:hAnsi="Times New Roman"/>
          <w:szCs w:val="24"/>
        </w:rPr>
        <w:t>combined with close monitoring efforts to ensure</w:t>
      </w:r>
      <w:r>
        <w:rPr>
          <w:rFonts w:ascii="Times New Roman" w:hAnsi="Times New Roman"/>
          <w:szCs w:val="24"/>
        </w:rPr>
        <w:t xml:space="preserve"> compliance as </w:t>
      </w:r>
      <w:r w:rsidRPr="004135EF">
        <w:rPr>
          <w:rFonts w:ascii="Times New Roman" w:hAnsi="Times New Roman"/>
          <w:szCs w:val="24"/>
        </w:rPr>
        <w:t>put forward in the 15-</w:t>
      </w:r>
      <w:r>
        <w:rPr>
          <w:rFonts w:ascii="Times New Roman" w:hAnsi="Times New Roman"/>
          <w:szCs w:val="24"/>
        </w:rPr>
        <w:t xml:space="preserve">point </w:t>
      </w:r>
      <w:r w:rsidRPr="004135EF">
        <w:rPr>
          <w:rFonts w:ascii="Times New Roman" w:hAnsi="Times New Roman"/>
          <w:szCs w:val="24"/>
        </w:rPr>
        <w:t>action plan that the C</w:t>
      </w:r>
      <w:r>
        <w:rPr>
          <w:rFonts w:ascii="Times New Roman" w:hAnsi="Times New Roman"/>
          <w:szCs w:val="24"/>
        </w:rPr>
        <w:t>ommission presented in February 2018.</w:t>
      </w:r>
    </w:p>
    <w:p w:rsidR="00494589" w:rsidRPr="008D019C" w:rsidRDefault="00494589" w:rsidP="005A4609">
      <w:pPr>
        <w:widowControl w:val="0"/>
        <w:spacing w:after="120"/>
        <w:ind w:right="-28"/>
        <w:rPr>
          <w:rFonts w:ascii="Times New Roman" w:hAnsi="Times New Roman"/>
          <w:szCs w:val="24"/>
        </w:rPr>
      </w:pPr>
      <w:r w:rsidRPr="008E6FC1">
        <w:rPr>
          <w:rFonts w:ascii="Times New Roman" w:hAnsi="Times New Roman"/>
          <w:b/>
          <w:szCs w:val="24"/>
        </w:rPr>
        <w:t>Paragraph</w:t>
      </w:r>
      <w:r w:rsidR="00AE176A">
        <w:rPr>
          <w:rFonts w:ascii="Times New Roman" w:hAnsi="Times New Roman"/>
          <w:b/>
          <w:szCs w:val="24"/>
        </w:rPr>
        <w:t>s</w:t>
      </w:r>
      <w:r w:rsidRPr="008E6FC1">
        <w:rPr>
          <w:rFonts w:ascii="Times New Roman" w:hAnsi="Times New Roman"/>
          <w:b/>
          <w:szCs w:val="24"/>
        </w:rPr>
        <w:t xml:space="preserve"> 50</w:t>
      </w:r>
      <w:r w:rsidR="008D019C">
        <w:rPr>
          <w:rFonts w:ascii="Times New Roman" w:hAnsi="Times New Roman"/>
          <w:b/>
          <w:szCs w:val="24"/>
        </w:rPr>
        <w:t xml:space="preserve"> and </w:t>
      </w:r>
      <w:r w:rsidRPr="008E6FC1">
        <w:rPr>
          <w:rFonts w:ascii="Times New Roman" w:hAnsi="Times New Roman"/>
          <w:b/>
          <w:szCs w:val="24"/>
        </w:rPr>
        <w:t>51</w:t>
      </w:r>
      <w:r>
        <w:rPr>
          <w:rFonts w:ascii="Times New Roman" w:hAnsi="Times New Roman"/>
          <w:szCs w:val="24"/>
        </w:rPr>
        <w:t xml:space="preserve">: </w:t>
      </w:r>
      <w:r w:rsidR="00AE176A">
        <w:rPr>
          <w:rFonts w:ascii="Times New Roman" w:hAnsi="Times New Roman"/>
          <w:szCs w:val="24"/>
        </w:rPr>
        <w:t xml:space="preserve">The </w:t>
      </w:r>
      <w:r w:rsidRPr="007876AF">
        <w:rPr>
          <w:rFonts w:ascii="Times New Roman" w:hAnsi="Times New Roman"/>
          <w:szCs w:val="24"/>
        </w:rPr>
        <w:t>EU trade policy c</w:t>
      </w:r>
      <w:r>
        <w:rPr>
          <w:rFonts w:ascii="Times New Roman" w:hAnsi="Times New Roman"/>
          <w:szCs w:val="24"/>
        </w:rPr>
        <w:t xml:space="preserve">ontributes to the Commission's commitment to gender equality, </w:t>
      </w:r>
      <w:r w:rsidRPr="007876AF">
        <w:rPr>
          <w:rFonts w:ascii="Times New Roman" w:hAnsi="Times New Roman"/>
          <w:szCs w:val="24"/>
        </w:rPr>
        <w:t xml:space="preserve">for example </w:t>
      </w:r>
      <w:r>
        <w:rPr>
          <w:rFonts w:ascii="Times New Roman" w:hAnsi="Times New Roman"/>
          <w:szCs w:val="24"/>
        </w:rPr>
        <w:t xml:space="preserve">through </w:t>
      </w:r>
      <w:r w:rsidRPr="007876AF">
        <w:rPr>
          <w:rFonts w:ascii="Times New Roman" w:hAnsi="Times New Roman"/>
          <w:szCs w:val="24"/>
        </w:rPr>
        <w:t xml:space="preserve">sustainability impact assessments, the </w:t>
      </w:r>
      <w:r>
        <w:rPr>
          <w:rFonts w:ascii="Times New Roman" w:hAnsi="Times New Roman"/>
          <w:szCs w:val="24"/>
        </w:rPr>
        <w:t xml:space="preserve">GSP </w:t>
      </w:r>
      <w:r w:rsidRPr="007876AF">
        <w:rPr>
          <w:rFonts w:ascii="Times New Roman" w:hAnsi="Times New Roman"/>
          <w:szCs w:val="24"/>
        </w:rPr>
        <w:t xml:space="preserve">and </w:t>
      </w:r>
      <w:r>
        <w:rPr>
          <w:rFonts w:ascii="Times New Roman" w:hAnsi="Times New Roman"/>
          <w:szCs w:val="24"/>
        </w:rPr>
        <w:t>TSD chapters in</w:t>
      </w:r>
      <w:r w:rsidRPr="007876AF">
        <w:rPr>
          <w:rFonts w:ascii="Times New Roman" w:hAnsi="Times New Roman"/>
          <w:szCs w:val="24"/>
        </w:rPr>
        <w:t xml:space="preserve"> EU </w:t>
      </w:r>
      <w:r>
        <w:rPr>
          <w:rFonts w:ascii="Times New Roman" w:hAnsi="Times New Roman"/>
          <w:szCs w:val="24"/>
        </w:rPr>
        <w:t>FTAs</w:t>
      </w:r>
      <w:r w:rsidRPr="007876AF">
        <w:rPr>
          <w:rFonts w:ascii="Times New Roman" w:hAnsi="Times New Roman"/>
          <w:szCs w:val="24"/>
        </w:rPr>
        <w:t xml:space="preserve">. </w:t>
      </w:r>
      <w:r>
        <w:rPr>
          <w:rFonts w:ascii="Times New Roman" w:hAnsi="Times New Roman"/>
          <w:szCs w:val="24"/>
        </w:rPr>
        <w:t xml:space="preserve">The proposed </w:t>
      </w:r>
      <w:r w:rsidRPr="007876AF">
        <w:rPr>
          <w:rFonts w:ascii="Times New Roman" w:hAnsi="Times New Roman"/>
          <w:szCs w:val="24"/>
        </w:rPr>
        <w:t>provisions</w:t>
      </w:r>
      <w:r>
        <w:rPr>
          <w:rFonts w:ascii="Times New Roman" w:hAnsi="Times New Roman"/>
          <w:szCs w:val="24"/>
        </w:rPr>
        <w:t xml:space="preserve"> on trade and gender equality in</w:t>
      </w:r>
      <w:r w:rsidRPr="007876AF">
        <w:rPr>
          <w:rFonts w:ascii="Times New Roman" w:hAnsi="Times New Roman"/>
          <w:szCs w:val="24"/>
        </w:rPr>
        <w:t xml:space="preserve"> the </w:t>
      </w:r>
      <w:r>
        <w:rPr>
          <w:rFonts w:ascii="Times New Roman" w:hAnsi="Times New Roman"/>
          <w:szCs w:val="24"/>
        </w:rPr>
        <w:t xml:space="preserve">context of the </w:t>
      </w:r>
      <w:r w:rsidRPr="007876AF">
        <w:rPr>
          <w:rFonts w:ascii="Times New Roman" w:hAnsi="Times New Roman"/>
          <w:szCs w:val="24"/>
        </w:rPr>
        <w:t xml:space="preserve">modernisation of the EU-Chile Association Agreement will help to get a better understanding of the constraints and opportunities faced by women in </w:t>
      </w:r>
      <w:r>
        <w:rPr>
          <w:rFonts w:ascii="Times New Roman" w:hAnsi="Times New Roman"/>
          <w:szCs w:val="24"/>
        </w:rPr>
        <w:t>trade</w:t>
      </w:r>
      <w:r w:rsidRPr="007876AF">
        <w:rPr>
          <w:rFonts w:ascii="Times New Roman" w:hAnsi="Times New Roman"/>
          <w:szCs w:val="24"/>
        </w:rPr>
        <w:t xml:space="preserve"> and to share best practices on facilitating women</w:t>
      </w:r>
      <w:r>
        <w:rPr>
          <w:rFonts w:ascii="Times New Roman" w:hAnsi="Times New Roman"/>
          <w:szCs w:val="24"/>
        </w:rPr>
        <w:t>'</w:t>
      </w:r>
      <w:r w:rsidRPr="007876AF">
        <w:rPr>
          <w:rFonts w:ascii="Times New Roman" w:hAnsi="Times New Roman"/>
          <w:szCs w:val="24"/>
        </w:rPr>
        <w:t xml:space="preserve">s participation in and benefit from international trade. </w:t>
      </w:r>
      <w:r>
        <w:rPr>
          <w:rFonts w:ascii="Times New Roman" w:hAnsi="Times New Roman"/>
          <w:szCs w:val="24"/>
        </w:rPr>
        <w:t>Moreover, t</w:t>
      </w:r>
      <w:r w:rsidRPr="007876AF">
        <w:rPr>
          <w:rFonts w:ascii="Times New Roman" w:hAnsi="Times New Roman"/>
          <w:szCs w:val="24"/>
        </w:rPr>
        <w:t xml:space="preserve">he Commission is launching a study with the International Trade Centre to </w:t>
      </w:r>
      <w:r w:rsidRPr="008D019C">
        <w:rPr>
          <w:rFonts w:ascii="Times New Roman" w:hAnsi="Times New Roman"/>
          <w:szCs w:val="24"/>
        </w:rPr>
        <w:t xml:space="preserve">collect </w:t>
      </w:r>
      <w:r w:rsidRPr="008D019C">
        <w:rPr>
          <w:rFonts w:ascii="Times New Roman" w:hAnsi="Times New Roman"/>
        </w:rPr>
        <w:t xml:space="preserve">data on </w:t>
      </w:r>
      <w:r w:rsidRPr="005A4609">
        <w:rPr>
          <w:rFonts w:ascii="Times New Roman" w:hAnsi="Times New Roman"/>
        </w:rPr>
        <w:t>women’s involvement in extra-EU trade in selected EU Member States</w:t>
      </w:r>
      <w:r w:rsidRPr="008D019C">
        <w:rPr>
          <w:rFonts w:ascii="Times New Roman" w:hAnsi="Times New Roman"/>
        </w:rPr>
        <w:t xml:space="preserve">. The study will help </w:t>
      </w:r>
      <w:r w:rsidRPr="005A4609">
        <w:rPr>
          <w:rFonts w:ascii="Times New Roman" w:hAnsi="Times New Roman"/>
        </w:rPr>
        <w:t>to understand the participation of women in extra-EU trade and the obstacles they face</w:t>
      </w:r>
      <w:r w:rsidRPr="008D019C">
        <w:rPr>
          <w:rFonts w:ascii="Times New Roman" w:hAnsi="Times New Roman"/>
        </w:rPr>
        <w:t xml:space="preserve">. </w:t>
      </w:r>
      <w:r w:rsidRPr="008D019C">
        <w:rPr>
          <w:rFonts w:ascii="Times New Roman" w:hAnsi="Times New Roman"/>
          <w:szCs w:val="24"/>
        </w:rPr>
        <w:t>The Commission raises awareness of the importance of gender equality through WTO Trade Policy Reviews.</w:t>
      </w:r>
    </w:p>
    <w:p w:rsidR="00494589" w:rsidRPr="00EE7FF2" w:rsidRDefault="00494589" w:rsidP="005A4609">
      <w:pPr>
        <w:widowControl w:val="0"/>
        <w:spacing w:after="120"/>
        <w:ind w:right="-28"/>
        <w:rPr>
          <w:rFonts w:ascii="Times New Roman" w:hAnsi="Times New Roman"/>
          <w:szCs w:val="24"/>
        </w:rPr>
      </w:pPr>
      <w:r w:rsidRPr="0060045E">
        <w:rPr>
          <w:rFonts w:ascii="Times New Roman" w:hAnsi="Times New Roman"/>
          <w:b/>
          <w:szCs w:val="24"/>
        </w:rPr>
        <w:t>Paragraph 53</w:t>
      </w:r>
      <w:r w:rsidRPr="0060045E">
        <w:rPr>
          <w:rFonts w:ascii="Times New Roman" w:hAnsi="Times New Roman"/>
          <w:szCs w:val="24"/>
        </w:rPr>
        <w:t xml:space="preserve">: </w:t>
      </w:r>
      <w:r>
        <w:rPr>
          <w:rFonts w:ascii="Times New Roman" w:hAnsi="Times New Roman"/>
          <w:szCs w:val="24"/>
        </w:rPr>
        <w:t>T</w:t>
      </w:r>
      <w:r w:rsidRPr="00EE7FF2">
        <w:rPr>
          <w:rFonts w:ascii="Times New Roman" w:hAnsi="Times New Roman"/>
          <w:szCs w:val="24"/>
        </w:rPr>
        <w:t>he Commission recalls that the Conflict Minerals Regulation has already entered into force</w:t>
      </w:r>
      <w:r>
        <w:rPr>
          <w:rFonts w:ascii="Times New Roman" w:hAnsi="Times New Roman"/>
          <w:szCs w:val="24"/>
        </w:rPr>
        <w:t>. I</w:t>
      </w:r>
      <w:r w:rsidRPr="00EE7FF2">
        <w:rPr>
          <w:rFonts w:ascii="Times New Roman" w:hAnsi="Times New Roman"/>
          <w:szCs w:val="24"/>
        </w:rPr>
        <w:t>ts requirements for EU importers will apply as of 1 January 2021.</w:t>
      </w:r>
      <w:r>
        <w:rPr>
          <w:rFonts w:ascii="Times New Roman" w:hAnsi="Times New Roman"/>
          <w:szCs w:val="24"/>
        </w:rPr>
        <w:t xml:space="preserve"> </w:t>
      </w:r>
      <w:r w:rsidRPr="00EE7FF2">
        <w:rPr>
          <w:rFonts w:ascii="Times New Roman" w:hAnsi="Times New Roman"/>
          <w:szCs w:val="24"/>
        </w:rPr>
        <w:t xml:space="preserve">The Commission agrees </w:t>
      </w:r>
      <w:r>
        <w:rPr>
          <w:rFonts w:ascii="Times New Roman" w:hAnsi="Times New Roman"/>
          <w:szCs w:val="24"/>
        </w:rPr>
        <w:t>on</w:t>
      </w:r>
      <w:r w:rsidRPr="00EE7FF2">
        <w:rPr>
          <w:rFonts w:ascii="Times New Roman" w:hAnsi="Times New Roman"/>
          <w:szCs w:val="24"/>
        </w:rPr>
        <w:t xml:space="preserve"> the importance to prepare for the implementation of the Regulation and to push ahead with the accompanying measures. </w:t>
      </w:r>
      <w:r>
        <w:rPr>
          <w:rFonts w:ascii="Times New Roman" w:hAnsi="Times New Roman"/>
          <w:szCs w:val="24"/>
        </w:rPr>
        <w:t>T</w:t>
      </w:r>
      <w:r w:rsidRPr="00EE7FF2">
        <w:rPr>
          <w:rFonts w:ascii="Times New Roman" w:hAnsi="Times New Roman"/>
          <w:szCs w:val="24"/>
        </w:rPr>
        <w:t xml:space="preserve">he Commission </w:t>
      </w:r>
      <w:r>
        <w:rPr>
          <w:rFonts w:ascii="Times New Roman" w:hAnsi="Times New Roman"/>
          <w:szCs w:val="24"/>
        </w:rPr>
        <w:t>attaches</w:t>
      </w:r>
      <w:r w:rsidRPr="00EE7FF2">
        <w:rPr>
          <w:rFonts w:ascii="Times New Roman" w:hAnsi="Times New Roman"/>
          <w:szCs w:val="24"/>
        </w:rPr>
        <w:t xml:space="preserve"> importance to facilitating SMEs' work to devise and implement policies for due diligence of mineral supply chains and will roll</w:t>
      </w:r>
      <w:r>
        <w:rPr>
          <w:rFonts w:ascii="Times New Roman" w:hAnsi="Times New Roman"/>
          <w:szCs w:val="24"/>
        </w:rPr>
        <w:t xml:space="preserve"> </w:t>
      </w:r>
      <w:r w:rsidRPr="00EE7FF2">
        <w:rPr>
          <w:rFonts w:ascii="Times New Roman" w:hAnsi="Times New Roman"/>
          <w:szCs w:val="24"/>
        </w:rPr>
        <w:t>out dedicated support by 2019.</w:t>
      </w:r>
    </w:p>
    <w:p w:rsidR="00494589" w:rsidRPr="007B14A0" w:rsidRDefault="00494589" w:rsidP="005A4609">
      <w:pPr>
        <w:widowControl w:val="0"/>
        <w:spacing w:after="120"/>
        <w:ind w:right="-28"/>
        <w:rPr>
          <w:rFonts w:ascii="Times New Roman" w:hAnsi="Times New Roman"/>
          <w:szCs w:val="24"/>
        </w:rPr>
      </w:pPr>
      <w:r w:rsidRPr="007B14A0">
        <w:rPr>
          <w:rFonts w:ascii="Times New Roman" w:hAnsi="Times New Roman"/>
          <w:b/>
          <w:szCs w:val="24"/>
        </w:rPr>
        <w:t>Paragraph 54</w:t>
      </w:r>
      <w:r w:rsidRPr="007B14A0">
        <w:rPr>
          <w:rFonts w:ascii="Times New Roman" w:hAnsi="Times New Roman"/>
          <w:szCs w:val="24"/>
        </w:rPr>
        <w:t xml:space="preserve">: All recently concluded trade and investment agreements contain specific provisions committing the parties to promote Corporate Social Responsibility/ Responsible Business Conduct (CSR/RBC) by referring to internationally agreed instruments in this area. </w:t>
      </w:r>
      <w:proofErr w:type="gramStart"/>
      <w:r w:rsidRPr="007B14A0">
        <w:rPr>
          <w:rFonts w:ascii="Times New Roman" w:hAnsi="Times New Roman"/>
          <w:szCs w:val="24"/>
        </w:rPr>
        <w:t>As new negotiations are launched, and in accordance with negotiating directives, the Commission aims at giving more prominence to such provisions.</w:t>
      </w:r>
      <w:proofErr w:type="gramEnd"/>
      <w:r w:rsidRPr="007B14A0">
        <w:rPr>
          <w:rFonts w:ascii="Times New Roman" w:hAnsi="Times New Roman"/>
          <w:szCs w:val="24"/>
        </w:rPr>
        <w:t xml:space="preserve"> As put forward in the Commission's non-paper on feedback and way forward on improving the implementation and enforcement of TSD chapters in EU FTAs, this reinforced approach will translate into TSD implementation activities. In cooperation with the </w:t>
      </w:r>
      <w:r w:rsidR="00AE176A" w:rsidRPr="007B14A0">
        <w:rPr>
          <w:rFonts w:ascii="Times New Roman" w:hAnsi="Times New Roman"/>
        </w:rPr>
        <w:t>Organisation for Economic Co-operation and Development (</w:t>
      </w:r>
      <w:r w:rsidRPr="007B14A0">
        <w:rPr>
          <w:rFonts w:ascii="Times New Roman" w:hAnsi="Times New Roman"/>
          <w:szCs w:val="24"/>
        </w:rPr>
        <w:t>OECD</w:t>
      </w:r>
      <w:r w:rsidR="00AE176A" w:rsidRPr="007B14A0">
        <w:rPr>
          <w:rFonts w:ascii="Times New Roman" w:hAnsi="Times New Roman"/>
          <w:szCs w:val="24"/>
        </w:rPr>
        <w:t>)</w:t>
      </w:r>
      <w:r w:rsidRPr="007B14A0">
        <w:rPr>
          <w:rFonts w:ascii="Times New Roman" w:hAnsi="Times New Roman"/>
          <w:szCs w:val="24"/>
        </w:rPr>
        <w:t xml:space="preserve"> and</w:t>
      </w:r>
      <w:r w:rsidR="00AE176A" w:rsidRPr="007B14A0">
        <w:rPr>
          <w:rFonts w:ascii="Times New Roman" w:hAnsi="Times New Roman"/>
          <w:szCs w:val="24"/>
        </w:rPr>
        <w:t xml:space="preserve"> the</w:t>
      </w:r>
      <w:r w:rsidRPr="007B14A0">
        <w:rPr>
          <w:rFonts w:ascii="Times New Roman" w:hAnsi="Times New Roman"/>
          <w:szCs w:val="24"/>
        </w:rPr>
        <w:t xml:space="preserve"> </w:t>
      </w:r>
      <w:r w:rsidR="00AE176A" w:rsidRPr="007B14A0">
        <w:rPr>
          <w:rFonts w:ascii="Times New Roman" w:hAnsi="Times New Roman"/>
          <w:szCs w:val="24"/>
        </w:rPr>
        <w:t>International Labour Organisation (</w:t>
      </w:r>
      <w:r w:rsidRPr="007B14A0">
        <w:rPr>
          <w:rFonts w:ascii="Times New Roman" w:hAnsi="Times New Roman"/>
          <w:szCs w:val="24"/>
        </w:rPr>
        <w:t>ILO</w:t>
      </w:r>
      <w:r w:rsidR="00AE176A" w:rsidRPr="007B14A0">
        <w:rPr>
          <w:rFonts w:ascii="Times New Roman" w:hAnsi="Times New Roman"/>
          <w:szCs w:val="24"/>
        </w:rPr>
        <w:t>)</w:t>
      </w:r>
      <w:r w:rsidRPr="007B14A0">
        <w:rPr>
          <w:rFonts w:ascii="Times New Roman" w:hAnsi="Times New Roman"/>
          <w:szCs w:val="24"/>
        </w:rPr>
        <w:t>, the Commission organised conferences and workshops on RBC in Costa Rica and Guatemala in 2016 and 2017 to create awareness and promote international guidelines and best practices on RBC. In parallel, the Commission has been closely engaging with partners on the implementation of the Bangladesh Sustainability Compact including through high-level follow-up meetings in 2014, 2016, 2017 and 2018.</w:t>
      </w:r>
    </w:p>
    <w:p w:rsidR="00494589" w:rsidRPr="00650268" w:rsidRDefault="00494589" w:rsidP="005A4609">
      <w:pPr>
        <w:widowControl w:val="0"/>
        <w:spacing w:after="120"/>
        <w:ind w:right="-28"/>
        <w:rPr>
          <w:rFonts w:ascii="Times New Roman" w:hAnsi="Times New Roman"/>
          <w:szCs w:val="24"/>
        </w:rPr>
      </w:pPr>
      <w:r w:rsidRPr="0060045E">
        <w:rPr>
          <w:rFonts w:ascii="Times New Roman" w:hAnsi="Times New Roman"/>
          <w:b/>
          <w:szCs w:val="24"/>
        </w:rPr>
        <w:t>Paragraph</w:t>
      </w:r>
      <w:r w:rsidRPr="00BB2BA0">
        <w:rPr>
          <w:rFonts w:ascii="Times New Roman" w:hAnsi="Times New Roman"/>
          <w:b/>
          <w:szCs w:val="24"/>
        </w:rPr>
        <w:t xml:space="preserve"> 55</w:t>
      </w:r>
      <w:r>
        <w:rPr>
          <w:rFonts w:ascii="Times New Roman" w:hAnsi="Times New Roman"/>
          <w:szCs w:val="24"/>
        </w:rPr>
        <w:t>: Regarding</w:t>
      </w:r>
      <w:r w:rsidRPr="00650268">
        <w:rPr>
          <w:rFonts w:ascii="Times New Roman" w:hAnsi="Times New Roman"/>
          <w:szCs w:val="24"/>
        </w:rPr>
        <w:t xml:space="preserve"> the OECD diligence guidelines for responsible supply chains in the garment and footwear sector, the Commission has been </w:t>
      </w:r>
      <w:r>
        <w:rPr>
          <w:rFonts w:ascii="Times New Roman" w:hAnsi="Times New Roman"/>
          <w:szCs w:val="24"/>
        </w:rPr>
        <w:t>supporting</w:t>
      </w:r>
      <w:r w:rsidRPr="00650268">
        <w:rPr>
          <w:rFonts w:ascii="Times New Roman" w:hAnsi="Times New Roman"/>
          <w:szCs w:val="24"/>
        </w:rPr>
        <w:t xml:space="preserve"> and funding most of the OECD work in the garment sector over the last years. Now that the Guidance is adopted, the Commission </w:t>
      </w:r>
      <w:r>
        <w:rPr>
          <w:rFonts w:ascii="Times New Roman" w:hAnsi="Times New Roman"/>
          <w:szCs w:val="24"/>
        </w:rPr>
        <w:t>focuses</w:t>
      </w:r>
      <w:r w:rsidRPr="00650268">
        <w:rPr>
          <w:rFonts w:ascii="Times New Roman" w:hAnsi="Times New Roman"/>
          <w:szCs w:val="24"/>
        </w:rPr>
        <w:t xml:space="preserve"> on </w:t>
      </w:r>
      <w:r>
        <w:rPr>
          <w:rFonts w:ascii="Times New Roman" w:hAnsi="Times New Roman"/>
          <w:szCs w:val="24"/>
        </w:rPr>
        <w:t>implementing</w:t>
      </w:r>
      <w:r w:rsidRPr="00650268">
        <w:rPr>
          <w:rFonts w:ascii="Times New Roman" w:hAnsi="Times New Roman"/>
          <w:szCs w:val="24"/>
        </w:rPr>
        <w:t xml:space="preserve"> this new instrument through the development of concrete activities and tools</w:t>
      </w:r>
      <w:r>
        <w:rPr>
          <w:rFonts w:ascii="Times New Roman" w:hAnsi="Times New Roman"/>
          <w:szCs w:val="24"/>
        </w:rPr>
        <w:t>, including</w:t>
      </w:r>
      <w:r w:rsidRPr="00650268">
        <w:rPr>
          <w:rFonts w:ascii="Times New Roman" w:hAnsi="Times New Roman"/>
          <w:szCs w:val="24"/>
        </w:rPr>
        <w:t xml:space="preserve"> trainings</w:t>
      </w:r>
      <w:r>
        <w:rPr>
          <w:rFonts w:ascii="Times New Roman" w:hAnsi="Times New Roman"/>
          <w:szCs w:val="24"/>
        </w:rPr>
        <w:t xml:space="preserve"> </w:t>
      </w:r>
      <w:r w:rsidRPr="00650268">
        <w:rPr>
          <w:rFonts w:ascii="Times New Roman" w:hAnsi="Times New Roman"/>
          <w:szCs w:val="24"/>
        </w:rPr>
        <w:t>for SMEs, outreach events</w:t>
      </w:r>
      <w:r>
        <w:rPr>
          <w:rFonts w:ascii="Times New Roman" w:hAnsi="Times New Roman"/>
          <w:szCs w:val="24"/>
        </w:rPr>
        <w:t xml:space="preserve"> and </w:t>
      </w:r>
      <w:r w:rsidRPr="00650268">
        <w:rPr>
          <w:rFonts w:ascii="Times New Roman" w:hAnsi="Times New Roman"/>
          <w:szCs w:val="24"/>
        </w:rPr>
        <w:t>support</w:t>
      </w:r>
      <w:r>
        <w:rPr>
          <w:rFonts w:ascii="Times New Roman" w:hAnsi="Times New Roman"/>
          <w:szCs w:val="24"/>
        </w:rPr>
        <w:t xml:space="preserve"> to</w:t>
      </w:r>
      <w:r w:rsidRPr="00650268">
        <w:rPr>
          <w:rFonts w:ascii="Times New Roman" w:hAnsi="Times New Roman"/>
          <w:szCs w:val="24"/>
        </w:rPr>
        <w:t xml:space="preserve"> the alignment of collaborative initiatives with the Guidance.</w:t>
      </w:r>
    </w:p>
    <w:p w:rsidR="00494589" w:rsidRPr="00BD3526" w:rsidRDefault="00494589" w:rsidP="005A4609">
      <w:pPr>
        <w:widowControl w:val="0"/>
        <w:spacing w:after="120"/>
        <w:ind w:right="-28"/>
        <w:rPr>
          <w:rFonts w:ascii="Times New Roman" w:hAnsi="Times New Roman"/>
          <w:szCs w:val="24"/>
        </w:rPr>
      </w:pPr>
      <w:r w:rsidRPr="0060045E">
        <w:rPr>
          <w:rFonts w:ascii="Times New Roman" w:hAnsi="Times New Roman"/>
          <w:b/>
          <w:szCs w:val="24"/>
        </w:rPr>
        <w:t>Paragraph 56</w:t>
      </w:r>
      <w:r w:rsidRPr="0060045E">
        <w:rPr>
          <w:rFonts w:ascii="Times New Roman" w:hAnsi="Times New Roman"/>
          <w:szCs w:val="24"/>
        </w:rPr>
        <w:t xml:space="preserve">: </w:t>
      </w:r>
      <w:r w:rsidRPr="00BD3526">
        <w:rPr>
          <w:rFonts w:ascii="Times New Roman" w:hAnsi="Times New Roman"/>
          <w:szCs w:val="24"/>
        </w:rPr>
        <w:t>The Commission fully agrees that EU trade and development policy must globally contribute to sustainable development, regional integration and the incorporation of developing countries into regional and ultimately global value chains through economic diversification. The EU contributes to these goals through the implementation</w:t>
      </w:r>
      <w:r>
        <w:rPr>
          <w:rFonts w:ascii="Times New Roman" w:hAnsi="Times New Roman"/>
          <w:szCs w:val="24"/>
        </w:rPr>
        <w:t xml:space="preserve"> of </w:t>
      </w:r>
      <w:r w:rsidRPr="00BD3526">
        <w:rPr>
          <w:rFonts w:ascii="Times New Roman" w:hAnsi="Times New Roman"/>
          <w:szCs w:val="24"/>
        </w:rPr>
        <w:t>EPAs</w:t>
      </w:r>
      <w:r>
        <w:rPr>
          <w:rFonts w:ascii="Times New Roman" w:hAnsi="Times New Roman"/>
          <w:szCs w:val="24"/>
        </w:rPr>
        <w:t xml:space="preserve">. </w:t>
      </w:r>
      <w:r w:rsidRPr="00BD3526">
        <w:rPr>
          <w:rFonts w:ascii="Times New Roman" w:hAnsi="Times New Roman"/>
          <w:szCs w:val="24"/>
        </w:rPr>
        <w:t>The</w:t>
      </w:r>
      <w:r>
        <w:rPr>
          <w:rFonts w:ascii="Times New Roman" w:hAnsi="Times New Roman"/>
          <w:szCs w:val="24"/>
        </w:rPr>
        <w:t xml:space="preserve"> </w:t>
      </w:r>
      <w:r w:rsidRPr="00BD3526">
        <w:rPr>
          <w:rFonts w:ascii="Times New Roman" w:hAnsi="Times New Roman"/>
          <w:szCs w:val="24"/>
        </w:rPr>
        <w:t>Commission</w:t>
      </w:r>
      <w:r>
        <w:rPr>
          <w:rFonts w:ascii="Times New Roman" w:hAnsi="Times New Roman"/>
          <w:szCs w:val="24"/>
        </w:rPr>
        <w:t>'</w:t>
      </w:r>
      <w:r w:rsidRPr="00BD3526">
        <w:rPr>
          <w:rFonts w:ascii="Times New Roman" w:hAnsi="Times New Roman"/>
          <w:szCs w:val="24"/>
        </w:rPr>
        <w:t xml:space="preserve">s support </w:t>
      </w:r>
      <w:r>
        <w:rPr>
          <w:rFonts w:ascii="Times New Roman" w:hAnsi="Times New Roman"/>
          <w:szCs w:val="24"/>
        </w:rPr>
        <w:t xml:space="preserve">of </w:t>
      </w:r>
      <w:r w:rsidRPr="00BD3526">
        <w:rPr>
          <w:rFonts w:ascii="Times New Roman" w:hAnsi="Times New Roman"/>
          <w:szCs w:val="24"/>
        </w:rPr>
        <w:t>Africa in its plan to establish a</w:t>
      </w:r>
      <w:r w:rsidRPr="000425D9">
        <w:rPr>
          <w:rFonts w:ascii="Times New Roman" w:hAnsi="Times New Roman"/>
          <w:szCs w:val="24"/>
        </w:rPr>
        <w:t xml:space="preserve"> </w:t>
      </w:r>
      <w:r w:rsidRPr="000146BA">
        <w:rPr>
          <w:rFonts w:ascii="Times New Roman" w:hAnsi="Times New Roman"/>
          <w:szCs w:val="24"/>
        </w:rPr>
        <w:t>Continental Free Trade Area in Africa</w:t>
      </w:r>
      <w:r>
        <w:rPr>
          <w:rFonts w:ascii="Times New Roman" w:hAnsi="Times New Roman"/>
          <w:szCs w:val="24"/>
        </w:rPr>
        <w:t xml:space="preserve"> (</w:t>
      </w:r>
      <w:proofErr w:type="spellStart"/>
      <w:r w:rsidRPr="00BD3526">
        <w:rPr>
          <w:rFonts w:ascii="Times New Roman" w:hAnsi="Times New Roman"/>
          <w:szCs w:val="24"/>
        </w:rPr>
        <w:t>AfCFTA</w:t>
      </w:r>
      <w:proofErr w:type="spellEnd"/>
      <w:r>
        <w:rPr>
          <w:rFonts w:ascii="Times New Roman" w:hAnsi="Times New Roman"/>
          <w:szCs w:val="24"/>
        </w:rPr>
        <w:t>) is</w:t>
      </w:r>
      <w:r w:rsidRPr="00BD3526">
        <w:rPr>
          <w:rFonts w:ascii="Times New Roman" w:hAnsi="Times New Roman"/>
          <w:szCs w:val="24"/>
        </w:rPr>
        <w:t xml:space="preserve"> evident since the first phase</w:t>
      </w:r>
      <w:r>
        <w:rPr>
          <w:rFonts w:ascii="Times New Roman" w:hAnsi="Times New Roman"/>
          <w:szCs w:val="24"/>
        </w:rPr>
        <w:t xml:space="preserve"> of</w:t>
      </w:r>
      <w:r w:rsidRPr="00BD3526">
        <w:rPr>
          <w:rFonts w:ascii="Times New Roman" w:hAnsi="Times New Roman"/>
          <w:szCs w:val="24"/>
        </w:rPr>
        <w:t xml:space="preserve"> </w:t>
      </w:r>
      <w:proofErr w:type="spellStart"/>
      <w:r w:rsidRPr="00BD3526">
        <w:rPr>
          <w:rFonts w:ascii="Times New Roman" w:hAnsi="Times New Roman"/>
          <w:szCs w:val="24"/>
        </w:rPr>
        <w:t>AfCFTA</w:t>
      </w:r>
      <w:proofErr w:type="spellEnd"/>
      <w:r w:rsidRPr="00BD3526">
        <w:rPr>
          <w:rFonts w:ascii="Times New Roman" w:hAnsi="Times New Roman"/>
          <w:szCs w:val="24"/>
        </w:rPr>
        <w:t xml:space="preserve"> negotiations through the Pan-African Programme Multiannual Indicative Programme 2014-2017</w:t>
      </w:r>
      <w:r>
        <w:rPr>
          <w:rFonts w:ascii="Times New Roman" w:hAnsi="Times New Roman"/>
          <w:szCs w:val="24"/>
        </w:rPr>
        <w:t xml:space="preserve"> and</w:t>
      </w:r>
      <w:r w:rsidRPr="00BD3526">
        <w:rPr>
          <w:rFonts w:ascii="Times New Roman" w:hAnsi="Times New Roman"/>
          <w:szCs w:val="24"/>
        </w:rPr>
        <w:t xml:space="preserve"> substantially reinforced in the Multiannual Indicative Programme 2018-2020.</w:t>
      </w:r>
    </w:p>
    <w:p w:rsidR="00494589" w:rsidRPr="00BB2BA0" w:rsidRDefault="00494589" w:rsidP="005A4609">
      <w:pPr>
        <w:widowControl w:val="0"/>
        <w:spacing w:after="120"/>
        <w:ind w:right="-28"/>
        <w:rPr>
          <w:rFonts w:ascii="Times New Roman" w:hAnsi="Times New Roman"/>
          <w:szCs w:val="24"/>
        </w:rPr>
      </w:pPr>
      <w:r w:rsidRPr="00BB2BA0">
        <w:rPr>
          <w:rFonts w:ascii="Times New Roman" w:hAnsi="Times New Roman"/>
          <w:b/>
          <w:szCs w:val="24"/>
        </w:rPr>
        <w:t>Paragraph 57</w:t>
      </w:r>
      <w:r>
        <w:rPr>
          <w:rFonts w:ascii="Times New Roman" w:hAnsi="Times New Roman"/>
          <w:szCs w:val="24"/>
        </w:rPr>
        <w:t xml:space="preserve">: </w:t>
      </w:r>
      <w:r w:rsidRPr="00F90BE5">
        <w:rPr>
          <w:rFonts w:ascii="Times New Roman" w:hAnsi="Times New Roman"/>
          <w:szCs w:val="24"/>
        </w:rPr>
        <w:t xml:space="preserve">The Commission is actively fighting </w:t>
      </w:r>
      <w:r>
        <w:rPr>
          <w:rFonts w:ascii="Times New Roman" w:hAnsi="Times New Roman"/>
          <w:szCs w:val="24"/>
        </w:rPr>
        <w:t>c</w:t>
      </w:r>
      <w:r w:rsidRPr="00F90BE5">
        <w:rPr>
          <w:rFonts w:ascii="Times New Roman" w:hAnsi="Times New Roman"/>
          <w:szCs w:val="24"/>
        </w:rPr>
        <w:t xml:space="preserve">hild </w:t>
      </w:r>
      <w:r>
        <w:rPr>
          <w:rFonts w:ascii="Times New Roman" w:hAnsi="Times New Roman"/>
          <w:szCs w:val="24"/>
        </w:rPr>
        <w:t>l</w:t>
      </w:r>
      <w:r w:rsidRPr="00F90BE5">
        <w:rPr>
          <w:rFonts w:ascii="Times New Roman" w:hAnsi="Times New Roman"/>
          <w:szCs w:val="24"/>
        </w:rPr>
        <w:t xml:space="preserve">abour and </w:t>
      </w:r>
      <w:r>
        <w:rPr>
          <w:rFonts w:ascii="Times New Roman" w:hAnsi="Times New Roman"/>
          <w:szCs w:val="24"/>
        </w:rPr>
        <w:t>f</w:t>
      </w:r>
      <w:r w:rsidRPr="00F90BE5">
        <w:rPr>
          <w:rFonts w:ascii="Times New Roman" w:hAnsi="Times New Roman"/>
          <w:szCs w:val="24"/>
        </w:rPr>
        <w:t xml:space="preserve">orced </w:t>
      </w:r>
      <w:r>
        <w:rPr>
          <w:rFonts w:ascii="Times New Roman" w:hAnsi="Times New Roman"/>
          <w:szCs w:val="24"/>
        </w:rPr>
        <w:t>l</w:t>
      </w:r>
      <w:r w:rsidRPr="00F90BE5">
        <w:rPr>
          <w:rFonts w:ascii="Times New Roman" w:hAnsi="Times New Roman"/>
          <w:szCs w:val="24"/>
        </w:rPr>
        <w:t xml:space="preserve">abour </w:t>
      </w:r>
      <w:r>
        <w:rPr>
          <w:rFonts w:ascii="Times New Roman" w:hAnsi="Times New Roman"/>
          <w:szCs w:val="24"/>
        </w:rPr>
        <w:t>through</w:t>
      </w:r>
      <w:r w:rsidRPr="00F90BE5">
        <w:rPr>
          <w:rFonts w:ascii="Times New Roman" w:hAnsi="Times New Roman"/>
          <w:szCs w:val="24"/>
        </w:rPr>
        <w:t xml:space="preserve"> a </w:t>
      </w:r>
      <w:r>
        <w:rPr>
          <w:rFonts w:ascii="Times New Roman" w:hAnsi="Times New Roman"/>
          <w:szCs w:val="24"/>
        </w:rPr>
        <w:t xml:space="preserve">comprehensive </w:t>
      </w:r>
      <w:r w:rsidRPr="00F90BE5">
        <w:rPr>
          <w:rFonts w:ascii="Times New Roman" w:hAnsi="Times New Roman"/>
          <w:szCs w:val="24"/>
        </w:rPr>
        <w:t>approach</w:t>
      </w:r>
      <w:r>
        <w:rPr>
          <w:rFonts w:ascii="Times New Roman" w:hAnsi="Times New Roman"/>
          <w:szCs w:val="24"/>
        </w:rPr>
        <w:t xml:space="preserve"> which involves</w:t>
      </w:r>
      <w:r w:rsidRPr="00F90BE5">
        <w:rPr>
          <w:rFonts w:ascii="Times New Roman" w:hAnsi="Times New Roman"/>
          <w:szCs w:val="24"/>
        </w:rPr>
        <w:t xml:space="preserve"> </w:t>
      </w:r>
      <w:r>
        <w:rPr>
          <w:rFonts w:ascii="Times New Roman" w:hAnsi="Times New Roman"/>
          <w:szCs w:val="24"/>
        </w:rPr>
        <w:t xml:space="preserve">engagement and </w:t>
      </w:r>
      <w:r w:rsidRPr="00F90BE5">
        <w:rPr>
          <w:rFonts w:ascii="Times New Roman" w:hAnsi="Times New Roman"/>
          <w:szCs w:val="24"/>
        </w:rPr>
        <w:t xml:space="preserve">support </w:t>
      </w:r>
      <w:r>
        <w:rPr>
          <w:rFonts w:ascii="Times New Roman" w:hAnsi="Times New Roman"/>
          <w:szCs w:val="24"/>
        </w:rPr>
        <w:t>combined with</w:t>
      </w:r>
      <w:r w:rsidRPr="00F90BE5">
        <w:rPr>
          <w:rFonts w:ascii="Times New Roman" w:hAnsi="Times New Roman"/>
          <w:szCs w:val="24"/>
        </w:rPr>
        <w:t xml:space="preserve"> political pressure</w:t>
      </w:r>
      <w:r>
        <w:rPr>
          <w:rFonts w:ascii="Times New Roman" w:hAnsi="Times New Roman"/>
          <w:szCs w:val="24"/>
        </w:rPr>
        <w:t xml:space="preserve"> on respective countries</w:t>
      </w:r>
      <w:r w:rsidRPr="00B838B0">
        <w:rPr>
          <w:rFonts w:ascii="Times New Roman" w:hAnsi="Times New Roman"/>
          <w:szCs w:val="24"/>
        </w:rPr>
        <w:t xml:space="preserve"> </w:t>
      </w:r>
      <w:r>
        <w:rPr>
          <w:rFonts w:ascii="Times New Roman" w:hAnsi="Times New Roman"/>
          <w:szCs w:val="24"/>
        </w:rPr>
        <w:t>to foster improvement</w:t>
      </w:r>
      <w:r w:rsidRPr="00F90BE5">
        <w:rPr>
          <w:rFonts w:ascii="Times New Roman" w:hAnsi="Times New Roman"/>
          <w:szCs w:val="24"/>
        </w:rPr>
        <w:t>. The Commission believes</w:t>
      </w:r>
      <w:r>
        <w:rPr>
          <w:rFonts w:ascii="Times New Roman" w:hAnsi="Times New Roman"/>
          <w:szCs w:val="24"/>
        </w:rPr>
        <w:t xml:space="preserve"> that</w:t>
      </w:r>
      <w:r w:rsidRPr="00F90BE5">
        <w:rPr>
          <w:rFonts w:ascii="Times New Roman" w:hAnsi="Times New Roman"/>
          <w:szCs w:val="24"/>
        </w:rPr>
        <w:t xml:space="preserve"> banning imports to the EU market will not address the root causes of child labour, of which poverty is the most prominent. Any possible future ban would according to WTO rules have to be global and non-discriminatory</w:t>
      </w:r>
      <w:r>
        <w:rPr>
          <w:rFonts w:ascii="Times New Roman" w:hAnsi="Times New Roman"/>
          <w:szCs w:val="24"/>
        </w:rPr>
        <w:t>. T</w:t>
      </w:r>
      <w:r w:rsidRPr="00F90BE5">
        <w:rPr>
          <w:rFonts w:ascii="Times New Roman" w:hAnsi="Times New Roman"/>
          <w:szCs w:val="24"/>
        </w:rPr>
        <w:t xml:space="preserve">rade diversion to other importers </w:t>
      </w:r>
      <w:r>
        <w:rPr>
          <w:rFonts w:ascii="Times New Roman" w:hAnsi="Times New Roman"/>
          <w:szCs w:val="24"/>
        </w:rPr>
        <w:t>would</w:t>
      </w:r>
      <w:r w:rsidRPr="00F90BE5">
        <w:rPr>
          <w:rFonts w:ascii="Times New Roman" w:hAnsi="Times New Roman"/>
          <w:szCs w:val="24"/>
        </w:rPr>
        <w:t xml:space="preserve"> likely </w:t>
      </w:r>
      <w:r>
        <w:rPr>
          <w:rFonts w:ascii="Times New Roman" w:hAnsi="Times New Roman"/>
          <w:szCs w:val="24"/>
        </w:rPr>
        <w:t>occur</w:t>
      </w:r>
      <w:r w:rsidRPr="00F90BE5">
        <w:rPr>
          <w:rFonts w:ascii="Times New Roman" w:hAnsi="Times New Roman"/>
          <w:szCs w:val="24"/>
        </w:rPr>
        <w:t xml:space="preserve">. As most child labour takes place in the agriculture sector, traceability issues are complex and costly for many developing countries where the rate of </w:t>
      </w:r>
      <w:r>
        <w:rPr>
          <w:rFonts w:ascii="Times New Roman" w:hAnsi="Times New Roman"/>
          <w:szCs w:val="24"/>
        </w:rPr>
        <w:t>c</w:t>
      </w:r>
      <w:r w:rsidRPr="00F90BE5">
        <w:rPr>
          <w:rFonts w:ascii="Times New Roman" w:hAnsi="Times New Roman"/>
          <w:szCs w:val="24"/>
        </w:rPr>
        <w:t xml:space="preserve">hild </w:t>
      </w:r>
      <w:r>
        <w:rPr>
          <w:rFonts w:ascii="Times New Roman" w:hAnsi="Times New Roman"/>
          <w:szCs w:val="24"/>
        </w:rPr>
        <w:t>l</w:t>
      </w:r>
      <w:r w:rsidRPr="00F90BE5">
        <w:rPr>
          <w:rFonts w:ascii="Times New Roman" w:hAnsi="Times New Roman"/>
          <w:szCs w:val="24"/>
        </w:rPr>
        <w:t>abour is high.</w:t>
      </w:r>
    </w:p>
    <w:p w:rsidR="00494589" w:rsidRPr="00BD3526" w:rsidRDefault="00494589" w:rsidP="005A4609">
      <w:pPr>
        <w:widowControl w:val="0"/>
        <w:spacing w:after="120"/>
        <w:ind w:right="-28"/>
        <w:rPr>
          <w:rFonts w:ascii="Times New Roman" w:hAnsi="Times New Roman"/>
          <w:szCs w:val="24"/>
        </w:rPr>
      </w:pPr>
      <w:r w:rsidRPr="0060045E">
        <w:rPr>
          <w:rFonts w:ascii="Times New Roman" w:hAnsi="Times New Roman"/>
          <w:b/>
          <w:szCs w:val="24"/>
        </w:rPr>
        <w:t>Paragraph 58</w:t>
      </w:r>
      <w:r w:rsidRPr="0060045E">
        <w:rPr>
          <w:rFonts w:ascii="Times New Roman" w:hAnsi="Times New Roman"/>
          <w:szCs w:val="24"/>
        </w:rPr>
        <w:t xml:space="preserve">: </w:t>
      </w:r>
      <w:r w:rsidRPr="00BD3526">
        <w:rPr>
          <w:rFonts w:ascii="Times New Roman" w:hAnsi="Times New Roman"/>
          <w:szCs w:val="24"/>
        </w:rPr>
        <w:t>The Commission is firmly committed to, and engaged in,</w:t>
      </w:r>
      <w:r>
        <w:rPr>
          <w:rFonts w:ascii="Times New Roman" w:hAnsi="Times New Roman"/>
          <w:szCs w:val="24"/>
        </w:rPr>
        <w:t xml:space="preserve"> the</w:t>
      </w:r>
      <w:r w:rsidRPr="00BD3526">
        <w:rPr>
          <w:rFonts w:ascii="Times New Roman" w:hAnsi="Times New Roman"/>
          <w:szCs w:val="24"/>
        </w:rPr>
        <w:t xml:space="preserve"> monitoring and evaluation of EPAs, as well as </w:t>
      </w:r>
      <w:r>
        <w:rPr>
          <w:rFonts w:ascii="Times New Roman" w:hAnsi="Times New Roman"/>
          <w:szCs w:val="24"/>
        </w:rPr>
        <w:t>the</w:t>
      </w:r>
      <w:r w:rsidRPr="00BD3526">
        <w:rPr>
          <w:rFonts w:ascii="Times New Roman" w:hAnsi="Times New Roman"/>
          <w:szCs w:val="24"/>
        </w:rPr>
        <w:t xml:space="preserve"> establishing</w:t>
      </w:r>
      <w:r>
        <w:rPr>
          <w:rFonts w:ascii="Times New Roman" w:hAnsi="Times New Roman"/>
          <w:szCs w:val="24"/>
        </w:rPr>
        <w:t xml:space="preserve"> of</w:t>
      </w:r>
      <w:r w:rsidRPr="00BD3526">
        <w:rPr>
          <w:rFonts w:ascii="Times New Roman" w:hAnsi="Times New Roman"/>
          <w:szCs w:val="24"/>
        </w:rPr>
        <w:t xml:space="preserve"> a genuine dialogue with stakeholders. The updated EU Aid for Trade strategy foresees that synergies will be sought proactively between Aid for Trade programmes and EU trade agreements and schemes. National EPA Implementation Plans and Jobs and Growth Compacts have been prepared to systematically link </w:t>
      </w:r>
      <w:r>
        <w:rPr>
          <w:rFonts w:ascii="Times New Roman" w:hAnsi="Times New Roman"/>
          <w:szCs w:val="24"/>
        </w:rPr>
        <w:t>with Aid for Trade</w:t>
      </w:r>
      <w:r w:rsidRPr="00BD3526">
        <w:rPr>
          <w:rFonts w:ascii="Times New Roman" w:hAnsi="Times New Roman"/>
          <w:szCs w:val="24"/>
        </w:rPr>
        <w:t>, including from EDF resources. Furthermore, investment support instruments such as blending schemes and the External Investment Plan aim at strengthening the productive base of developing countries to enable them to take advantage of trade opportunities, at local, regional and global levels.</w:t>
      </w:r>
    </w:p>
    <w:p w:rsidR="00494589" w:rsidRPr="006E2B77" w:rsidRDefault="00494589" w:rsidP="005A4609">
      <w:pPr>
        <w:widowControl w:val="0"/>
        <w:spacing w:after="120"/>
        <w:ind w:right="-28"/>
        <w:rPr>
          <w:rFonts w:ascii="Times New Roman" w:hAnsi="Times New Roman"/>
          <w:szCs w:val="24"/>
        </w:rPr>
      </w:pPr>
      <w:proofErr w:type="gramStart"/>
      <w:r w:rsidRPr="00725012">
        <w:rPr>
          <w:rFonts w:ascii="Times New Roman" w:hAnsi="Times New Roman"/>
          <w:b/>
          <w:szCs w:val="24"/>
        </w:rPr>
        <w:t>Paragraph 59</w:t>
      </w:r>
      <w:r>
        <w:rPr>
          <w:rFonts w:ascii="Times New Roman" w:hAnsi="Times New Roman"/>
          <w:szCs w:val="24"/>
        </w:rPr>
        <w:t>: Regarding</w:t>
      </w:r>
      <w:r w:rsidRPr="006E2B77">
        <w:rPr>
          <w:rFonts w:ascii="Times New Roman" w:hAnsi="Times New Roman"/>
          <w:szCs w:val="24"/>
        </w:rPr>
        <w:t xml:space="preserve"> the joint civil society institutions</w:t>
      </w:r>
      <w:r>
        <w:rPr>
          <w:rFonts w:ascii="Times New Roman" w:hAnsi="Times New Roman"/>
          <w:szCs w:val="24"/>
        </w:rPr>
        <w:t xml:space="preserve"> under the Car</w:t>
      </w:r>
      <w:r w:rsidR="007B14A0">
        <w:rPr>
          <w:rFonts w:ascii="Times New Roman" w:hAnsi="Times New Roman"/>
          <w:szCs w:val="24"/>
        </w:rPr>
        <w:t>ib</w:t>
      </w:r>
      <w:r>
        <w:rPr>
          <w:rFonts w:ascii="Times New Roman" w:hAnsi="Times New Roman"/>
          <w:szCs w:val="24"/>
        </w:rPr>
        <w:t>bean EPA</w:t>
      </w:r>
      <w:r w:rsidRPr="006E2B77">
        <w:rPr>
          <w:rFonts w:ascii="Times New Roman" w:hAnsi="Times New Roman"/>
          <w:szCs w:val="24"/>
        </w:rPr>
        <w:t xml:space="preserve">, </w:t>
      </w:r>
      <w:r>
        <w:rPr>
          <w:rFonts w:ascii="Times New Roman" w:hAnsi="Times New Roman"/>
          <w:szCs w:val="24"/>
        </w:rPr>
        <w:t>the Commission points out its active support to</w:t>
      </w:r>
      <w:r w:rsidRPr="006E2B77">
        <w:rPr>
          <w:rFonts w:ascii="Times New Roman" w:hAnsi="Times New Roman"/>
          <w:szCs w:val="24"/>
        </w:rPr>
        <w:t xml:space="preserve"> the establishment of the Joint Consultative Committee (JCC), as well as the three meetings of this committee that have taken place in 2014, 2016 and 2017</w:t>
      </w:r>
      <w:r>
        <w:rPr>
          <w:rFonts w:ascii="Times New Roman" w:hAnsi="Times New Roman"/>
          <w:szCs w:val="24"/>
        </w:rPr>
        <w:t>.</w:t>
      </w:r>
      <w:proofErr w:type="gramEnd"/>
      <w:r>
        <w:rPr>
          <w:rFonts w:ascii="Times New Roman" w:hAnsi="Times New Roman"/>
          <w:szCs w:val="24"/>
        </w:rPr>
        <w:t xml:space="preserve"> </w:t>
      </w:r>
      <w:r w:rsidRPr="000425D9">
        <w:rPr>
          <w:rFonts w:ascii="Times New Roman" w:hAnsi="Times New Roman"/>
          <w:szCs w:val="24"/>
        </w:rPr>
        <w:t xml:space="preserve">The Commission is therefore fully engaged with the work of the JCC and recalls that its conclusions are presented to and taken into consideration by the Caribbean EPA </w:t>
      </w:r>
      <w:r>
        <w:rPr>
          <w:rFonts w:ascii="Times New Roman" w:hAnsi="Times New Roman"/>
          <w:szCs w:val="24"/>
        </w:rPr>
        <w:t>Trade and Development Committee</w:t>
      </w:r>
      <w:r w:rsidRPr="006E2B77">
        <w:rPr>
          <w:rFonts w:ascii="Times New Roman" w:hAnsi="Times New Roman"/>
          <w:szCs w:val="24"/>
        </w:rPr>
        <w:t>.</w:t>
      </w:r>
    </w:p>
    <w:p w:rsidR="00494589" w:rsidRPr="00BB4C87" w:rsidRDefault="00494589" w:rsidP="005A4609">
      <w:pPr>
        <w:widowControl w:val="0"/>
        <w:spacing w:after="120"/>
        <w:ind w:right="-28"/>
        <w:rPr>
          <w:rFonts w:ascii="Times New Roman" w:hAnsi="Times New Roman"/>
          <w:szCs w:val="24"/>
        </w:rPr>
      </w:pPr>
      <w:r w:rsidRPr="00725012">
        <w:rPr>
          <w:rFonts w:ascii="Times New Roman" w:hAnsi="Times New Roman"/>
          <w:b/>
          <w:szCs w:val="24"/>
        </w:rPr>
        <w:t xml:space="preserve">Paragraph </w:t>
      </w:r>
      <w:r>
        <w:rPr>
          <w:rFonts w:ascii="Times New Roman" w:hAnsi="Times New Roman"/>
          <w:b/>
          <w:szCs w:val="24"/>
        </w:rPr>
        <w:t>60</w:t>
      </w:r>
      <w:r w:rsidRPr="00670808">
        <w:rPr>
          <w:rFonts w:ascii="Times New Roman" w:hAnsi="Times New Roman"/>
          <w:szCs w:val="24"/>
        </w:rPr>
        <w:t>: The Commission takes not</w:t>
      </w:r>
      <w:r w:rsidR="00621C61">
        <w:rPr>
          <w:rFonts w:ascii="Times New Roman" w:hAnsi="Times New Roman"/>
          <w:szCs w:val="24"/>
        </w:rPr>
        <w:t>e</w:t>
      </w:r>
      <w:r w:rsidRPr="00670808">
        <w:rPr>
          <w:rFonts w:ascii="Times New Roman" w:hAnsi="Times New Roman"/>
          <w:szCs w:val="24"/>
        </w:rPr>
        <w:t xml:space="preserve"> of the call for a traceability labelling system along production chains and points to the</w:t>
      </w:r>
      <w:r w:rsidRPr="00BB4C87">
        <w:rPr>
          <w:rFonts w:ascii="Times New Roman" w:hAnsi="Times New Roman"/>
          <w:szCs w:val="24"/>
        </w:rPr>
        <w:t xml:space="preserve"> </w:t>
      </w:r>
      <w:r w:rsidR="00621C61">
        <w:rPr>
          <w:rFonts w:ascii="Times New Roman" w:hAnsi="Times New Roman"/>
          <w:szCs w:val="24"/>
        </w:rPr>
        <w:t xml:space="preserve">its </w:t>
      </w:r>
      <w:r w:rsidRPr="00BB4C87">
        <w:rPr>
          <w:rFonts w:ascii="Times New Roman" w:hAnsi="Times New Roman"/>
          <w:szCs w:val="24"/>
        </w:rPr>
        <w:t>report regarding possible new labelling requirements of textile products (</w:t>
      </w:r>
      <w:proofErr w:type="gramStart"/>
      <w:r w:rsidRPr="00BB4C87">
        <w:rPr>
          <w:rFonts w:ascii="Times New Roman" w:hAnsi="Times New Roman"/>
          <w:szCs w:val="24"/>
        </w:rPr>
        <w:t>COM(</w:t>
      </w:r>
      <w:proofErr w:type="gramEnd"/>
      <w:r w:rsidRPr="00BB4C87">
        <w:rPr>
          <w:rFonts w:ascii="Times New Roman" w:hAnsi="Times New Roman"/>
          <w:szCs w:val="24"/>
        </w:rPr>
        <w:t>2013) 656 final)</w:t>
      </w:r>
      <w:r>
        <w:rPr>
          <w:rFonts w:ascii="Times New Roman" w:hAnsi="Times New Roman"/>
          <w:szCs w:val="24"/>
        </w:rPr>
        <w:t xml:space="preserve"> which </w:t>
      </w:r>
      <w:r w:rsidRPr="00BB4C87">
        <w:rPr>
          <w:rFonts w:ascii="Times New Roman" w:hAnsi="Times New Roman"/>
          <w:szCs w:val="24"/>
        </w:rPr>
        <w:t xml:space="preserve">concluded that current labelling requirements for textile products are adequate. </w:t>
      </w:r>
      <w:r>
        <w:rPr>
          <w:rFonts w:ascii="Times New Roman" w:hAnsi="Times New Roman"/>
          <w:szCs w:val="24"/>
        </w:rPr>
        <w:t xml:space="preserve">The </w:t>
      </w:r>
      <w:r w:rsidRPr="00BB4C87">
        <w:rPr>
          <w:rFonts w:ascii="Times New Roman" w:hAnsi="Times New Roman"/>
          <w:szCs w:val="24"/>
        </w:rPr>
        <w:t xml:space="preserve">Commission </w:t>
      </w:r>
      <w:r>
        <w:rPr>
          <w:rFonts w:ascii="Times New Roman" w:hAnsi="Times New Roman"/>
          <w:szCs w:val="24"/>
        </w:rPr>
        <w:t>continues</w:t>
      </w:r>
      <w:r w:rsidRPr="00BB4C87">
        <w:rPr>
          <w:rFonts w:ascii="Times New Roman" w:hAnsi="Times New Roman"/>
          <w:szCs w:val="24"/>
        </w:rPr>
        <w:t xml:space="preserve"> its work </w:t>
      </w:r>
      <w:r>
        <w:rPr>
          <w:rFonts w:ascii="Times New Roman" w:hAnsi="Times New Roman"/>
          <w:szCs w:val="24"/>
        </w:rPr>
        <w:t>on</w:t>
      </w:r>
      <w:r w:rsidRPr="00BB4C87">
        <w:rPr>
          <w:rFonts w:ascii="Times New Roman" w:hAnsi="Times New Roman"/>
          <w:szCs w:val="24"/>
        </w:rPr>
        <w:t xml:space="preserve"> increas</w:t>
      </w:r>
      <w:r>
        <w:rPr>
          <w:rFonts w:ascii="Times New Roman" w:hAnsi="Times New Roman"/>
          <w:szCs w:val="24"/>
        </w:rPr>
        <w:t>ing</w:t>
      </w:r>
      <w:r w:rsidRPr="00BB4C87">
        <w:rPr>
          <w:rFonts w:ascii="Times New Roman" w:hAnsi="Times New Roman"/>
          <w:szCs w:val="24"/>
        </w:rPr>
        <w:t xml:space="preserve"> the number of licences under the EU Ecolabel as well as initiatives to promote fair and ethical trade</w:t>
      </w:r>
      <w:r>
        <w:rPr>
          <w:rFonts w:ascii="Times New Roman" w:hAnsi="Times New Roman"/>
          <w:szCs w:val="24"/>
        </w:rPr>
        <w:t xml:space="preserve">, for example via the EU Cities for </w:t>
      </w:r>
      <w:r w:rsidRPr="00BB4C87">
        <w:rPr>
          <w:rFonts w:ascii="Times New Roman" w:hAnsi="Times New Roman"/>
          <w:szCs w:val="24"/>
        </w:rPr>
        <w:t xml:space="preserve">Fair and Ethical </w:t>
      </w:r>
      <w:r>
        <w:rPr>
          <w:rFonts w:ascii="Times New Roman" w:hAnsi="Times New Roman"/>
          <w:szCs w:val="24"/>
        </w:rPr>
        <w:t>Trade</w:t>
      </w:r>
      <w:r w:rsidRPr="00BB4C87">
        <w:rPr>
          <w:rFonts w:ascii="Times New Roman" w:hAnsi="Times New Roman"/>
          <w:szCs w:val="24"/>
        </w:rPr>
        <w:t xml:space="preserve"> Award. Before considering additional measures, the full potential of existing</w:t>
      </w:r>
      <w:r>
        <w:rPr>
          <w:rFonts w:ascii="Times New Roman" w:hAnsi="Times New Roman"/>
          <w:szCs w:val="24"/>
        </w:rPr>
        <w:t xml:space="preserve"> measures</w:t>
      </w:r>
      <w:r w:rsidRPr="00BB4C87">
        <w:rPr>
          <w:rFonts w:ascii="Times New Roman" w:hAnsi="Times New Roman"/>
          <w:szCs w:val="24"/>
        </w:rPr>
        <w:t xml:space="preserve">, including voluntary ones, should be </w:t>
      </w:r>
      <w:r>
        <w:rPr>
          <w:rFonts w:ascii="Times New Roman" w:hAnsi="Times New Roman"/>
          <w:szCs w:val="24"/>
        </w:rPr>
        <w:t>realised</w:t>
      </w:r>
      <w:r w:rsidRPr="00BB4C87">
        <w:rPr>
          <w:rFonts w:ascii="Times New Roman" w:hAnsi="Times New Roman"/>
          <w:szCs w:val="24"/>
        </w:rPr>
        <w:t>.</w:t>
      </w:r>
    </w:p>
    <w:p w:rsidR="00494589" w:rsidRPr="00E422D7" w:rsidRDefault="00494589" w:rsidP="005A4609">
      <w:pPr>
        <w:widowControl w:val="0"/>
        <w:spacing w:after="120"/>
        <w:ind w:right="-28"/>
        <w:rPr>
          <w:rFonts w:ascii="Times New Roman" w:hAnsi="Times New Roman"/>
          <w:szCs w:val="24"/>
        </w:rPr>
      </w:pPr>
      <w:r w:rsidRPr="00BB2BA0">
        <w:rPr>
          <w:rFonts w:ascii="Times New Roman" w:hAnsi="Times New Roman"/>
          <w:b/>
          <w:szCs w:val="24"/>
        </w:rPr>
        <w:t>Paragraphs 61</w:t>
      </w:r>
      <w:r w:rsidR="00621C61">
        <w:rPr>
          <w:rFonts w:ascii="Times New Roman" w:hAnsi="Times New Roman"/>
          <w:b/>
          <w:szCs w:val="24"/>
        </w:rPr>
        <w:t xml:space="preserve"> and</w:t>
      </w:r>
      <w:r>
        <w:rPr>
          <w:rFonts w:ascii="Times New Roman" w:hAnsi="Times New Roman"/>
          <w:b/>
          <w:szCs w:val="24"/>
        </w:rPr>
        <w:t xml:space="preserve"> 63</w:t>
      </w:r>
      <w:r>
        <w:rPr>
          <w:rFonts w:ascii="Times New Roman" w:hAnsi="Times New Roman"/>
          <w:szCs w:val="24"/>
        </w:rPr>
        <w:t>: Since Trade for All, the Commission is</w:t>
      </w:r>
      <w:r w:rsidRPr="00717485">
        <w:rPr>
          <w:rFonts w:ascii="Times New Roman" w:hAnsi="Times New Roman"/>
          <w:szCs w:val="24"/>
        </w:rPr>
        <w:t xml:space="preserve"> committed to publishing EU texts and reports of negotiating rounds online for all trade and investment negotiations.</w:t>
      </w:r>
      <w:r>
        <w:rPr>
          <w:rFonts w:ascii="Times New Roman" w:hAnsi="Times New Roman"/>
          <w:szCs w:val="24"/>
        </w:rPr>
        <w:t xml:space="preserve"> </w:t>
      </w:r>
      <w:r w:rsidRPr="00717485">
        <w:rPr>
          <w:rFonts w:ascii="Times New Roman" w:hAnsi="Times New Roman"/>
          <w:szCs w:val="24"/>
        </w:rPr>
        <w:t>Since September 2017</w:t>
      </w:r>
      <w:r>
        <w:rPr>
          <w:rFonts w:ascii="Times New Roman" w:hAnsi="Times New Roman"/>
          <w:szCs w:val="24"/>
        </w:rPr>
        <w:t>, all Commission's</w:t>
      </w:r>
      <w:r w:rsidRPr="00717485">
        <w:rPr>
          <w:rFonts w:ascii="Times New Roman" w:hAnsi="Times New Roman"/>
          <w:szCs w:val="24"/>
        </w:rPr>
        <w:t xml:space="preserve"> recommendations for negotiating </w:t>
      </w:r>
      <w:r>
        <w:rPr>
          <w:rFonts w:ascii="Times New Roman" w:hAnsi="Times New Roman"/>
          <w:szCs w:val="24"/>
        </w:rPr>
        <w:t>d</w:t>
      </w:r>
      <w:r w:rsidRPr="00717485">
        <w:rPr>
          <w:rFonts w:ascii="Times New Roman" w:hAnsi="Times New Roman"/>
          <w:szCs w:val="24"/>
        </w:rPr>
        <w:t>irectives</w:t>
      </w:r>
      <w:r>
        <w:rPr>
          <w:rFonts w:ascii="Times New Roman" w:hAnsi="Times New Roman"/>
          <w:szCs w:val="24"/>
        </w:rPr>
        <w:t xml:space="preserve"> for trade agreements are published</w:t>
      </w:r>
      <w:r w:rsidRPr="00717485">
        <w:rPr>
          <w:rFonts w:ascii="Times New Roman" w:hAnsi="Times New Roman"/>
          <w:szCs w:val="24"/>
        </w:rPr>
        <w:t xml:space="preserve"> upon adoption by the College.</w:t>
      </w:r>
      <w:r>
        <w:rPr>
          <w:rFonts w:ascii="Times New Roman" w:hAnsi="Times New Roman"/>
          <w:szCs w:val="24"/>
        </w:rPr>
        <w:t xml:space="preserve"> This was the case as well for the recommendations on negotiating directives for trade agreements with Australia and New Zealand. </w:t>
      </w:r>
      <w:r w:rsidRPr="00717485">
        <w:rPr>
          <w:rFonts w:ascii="Times New Roman" w:hAnsi="Times New Roman"/>
          <w:szCs w:val="24"/>
        </w:rPr>
        <w:t xml:space="preserve">As committed to in Trade for </w:t>
      </w:r>
      <w:proofErr w:type="gramStart"/>
      <w:r w:rsidRPr="00717485">
        <w:rPr>
          <w:rFonts w:ascii="Times New Roman" w:hAnsi="Times New Roman"/>
          <w:szCs w:val="24"/>
        </w:rPr>
        <w:t>All</w:t>
      </w:r>
      <w:proofErr w:type="gramEnd"/>
      <w:r w:rsidRPr="00717485">
        <w:rPr>
          <w:rFonts w:ascii="Times New Roman" w:hAnsi="Times New Roman"/>
          <w:szCs w:val="24"/>
        </w:rPr>
        <w:t xml:space="preserve">, </w:t>
      </w:r>
      <w:r>
        <w:rPr>
          <w:rFonts w:ascii="Times New Roman" w:hAnsi="Times New Roman"/>
          <w:szCs w:val="24"/>
        </w:rPr>
        <w:t xml:space="preserve">the Commission </w:t>
      </w:r>
      <w:r w:rsidRPr="00717485">
        <w:rPr>
          <w:rFonts w:ascii="Times New Roman" w:hAnsi="Times New Roman"/>
          <w:szCs w:val="24"/>
        </w:rPr>
        <w:t>encourage</w:t>
      </w:r>
      <w:r>
        <w:rPr>
          <w:rFonts w:ascii="Times New Roman" w:hAnsi="Times New Roman"/>
          <w:szCs w:val="24"/>
        </w:rPr>
        <w:t>s</w:t>
      </w:r>
      <w:r w:rsidRPr="00717485">
        <w:rPr>
          <w:rFonts w:ascii="Times New Roman" w:hAnsi="Times New Roman"/>
          <w:szCs w:val="24"/>
        </w:rPr>
        <w:t xml:space="preserve"> the Council to </w:t>
      </w:r>
      <w:r>
        <w:rPr>
          <w:rFonts w:ascii="Times New Roman" w:hAnsi="Times New Roman"/>
          <w:szCs w:val="24"/>
        </w:rPr>
        <w:t>publish the final negotiating directives (mandates). Since</w:t>
      </w:r>
      <w:r w:rsidRPr="00E422D7">
        <w:rPr>
          <w:rFonts w:ascii="Times New Roman" w:hAnsi="Times New Roman"/>
          <w:szCs w:val="24"/>
        </w:rPr>
        <w:t xml:space="preserve"> 2017</w:t>
      </w:r>
      <w:r>
        <w:rPr>
          <w:rFonts w:ascii="Times New Roman" w:hAnsi="Times New Roman"/>
          <w:szCs w:val="24"/>
        </w:rPr>
        <w:t>, the Commission</w:t>
      </w:r>
      <w:r w:rsidRPr="00E422D7">
        <w:rPr>
          <w:rFonts w:ascii="Times New Roman" w:hAnsi="Times New Roman"/>
          <w:szCs w:val="24"/>
        </w:rPr>
        <w:t xml:space="preserve"> publish</w:t>
      </w:r>
      <w:r>
        <w:rPr>
          <w:rFonts w:ascii="Times New Roman" w:hAnsi="Times New Roman"/>
          <w:szCs w:val="24"/>
        </w:rPr>
        <w:t>es</w:t>
      </w:r>
      <w:r w:rsidRPr="00E422D7">
        <w:rPr>
          <w:rFonts w:ascii="Times New Roman" w:hAnsi="Times New Roman"/>
          <w:szCs w:val="24"/>
        </w:rPr>
        <w:t xml:space="preserve"> a yearly report covering all major EU trade agreements, as well as a summary with the highlights and work underway</w:t>
      </w:r>
      <w:r>
        <w:rPr>
          <w:rFonts w:ascii="Times New Roman" w:hAnsi="Times New Roman"/>
          <w:szCs w:val="24"/>
        </w:rPr>
        <w:t>.</w:t>
      </w:r>
    </w:p>
    <w:p w:rsidR="00494589" w:rsidRPr="00BE2E84" w:rsidRDefault="00494589" w:rsidP="007B14A0">
      <w:pPr>
        <w:spacing w:after="120"/>
        <w:ind w:right="-28"/>
        <w:rPr>
          <w:rFonts w:ascii="Times New Roman" w:hAnsi="Times New Roman"/>
          <w:szCs w:val="24"/>
        </w:rPr>
      </w:pPr>
      <w:r w:rsidRPr="00725012">
        <w:rPr>
          <w:rFonts w:ascii="Times New Roman" w:hAnsi="Times New Roman"/>
          <w:b/>
          <w:szCs w:val="24"/>
        </w:rPr>
        <w:t xml:space="preserve">Paragraph </w:t>
      </w:r>
      <w:r>
        <w:rPr>
          <w:rFonts w:ascii="Times New Roman" w:hAnsi="Times New Roman"/>
          <w:b/>
          <w:szCs w:val="24"/>
        </w:rPr>
        <w:t>62</w:t>
      </w:r>
      <w:r>
        <w:rPr>
          <w:rFonts w:ascii="Times New Roman" w:hAnsi="Times New Roman"/>
          <w:szCs w:val="24"/>
        </w:rPr>
        <w:t>:</w:t>
      </w:r>
      <w:r w:rsidRPr="00725012">
        <w:rPr>
          <w:rFonts w:ascii="Times New Roman" w:hAnsi="Times New Roman"/>
          <w:color w:val="FF0000"/>
          <w:szCs w:val="24"/>
        </w:rPr>
        <w:t xml:space="preserve"> </w:t>
      </w:r>
      <w:r w:rsidRPr="00BE2E84">
        <w:rPr>
          <w:rFonts w:ascii="Times New Roman" w:hAnsi="Times New Roman"/>
          <w:szCs w:val="24"/>
        </w:rPr>
        <w:t>In view of the unprecedented public interest in EU trade policy in recent years, the Commission has significantly stepped up its efforts to communicate on trade policy. Every major trade policy initiative is accompanied by communication material.</w:t>
      </w:r>
      <w:r>
        <w:rPr>
          <w:rFonts w:ascii="Times New Roman" w:hAnsi="Times New Roman"/>
          <w:szCs w:val="24"/>
        </w:rPr>
        <w:t xml:space="preserve"> Webpages, including factsheets </w:t>
      </w:r>
      <w:r w:rsidRPr="00BE2E84">
        <w:rPr>
          <w:rFonts w:ascii="Times New Roman" w:hAnsi="Times New Roman"/>
          <w:szCs w:val="24"/>
        </w:rPr>
        <w:t xml:space="preserve">in all official </w:t>
      </w:r>
      <w:r>
        <w:rPr>
          <w:rFonts w:ascii="Times New Roman" w:hAnsi="Times New Roman"/>
          <w:szCs w:val="24"/>
        </w:rPr>
        <w:t>EU</w:t>
      </w:r>
      <w:r w:rsidRPr="00BE2E84">
        <w:rPr>
          <w:rFonts w:ascii="Times New Roman" w:hAnsi="Times New Roman"/>
          <w:szCs w:val="24"/>
        </w:rPr>
        <w:t xml:space="preserve"> languages, visual material, questions and answers</w:t>
      </w:r>
      <w:r>
        <w:rPr>
          <w:rFonts w:ascii="Times New Roman" w:hAnsi="Times New Roman"/>
          <w:szCs w:val="24"/>
        </w:rPr>
        <w:t xml:space="preserve"> sheets, are dedicated to </w:t>
      </w:r>
      <w:r w:rsidRPr="00BE2E84">
        <w:rPr>
          <w:rFonts w:ascii="Times New Roman" w:hAnsi="Times New Roman"/>
          <w:szCs w:val="24"/>
        </w:rPr>
        <w:t>trade agreements</w:t>
      </w:r>
      <w:r>
        <w:rPr>
          <w:rFonts w:ascii="Times New Roman" w:hAnsi="Times New Roman"/>
          <w:szCs w:val="24"/>
        </w:rPr>
        <w:t xml:space="preserve">. The </w:t>
      </w:r>
      <w:r w:rsidRPr="00BE2E84">
        <w:rPr>
          <w:rFonts w:ascii="Times New Roman" w:hAnsi="Times New Roman"/>
          <w:szCs w:val="24"/>
        </w:rPr>
        <w:t>Commission</w:t>
      </w:r>
      <w:r>
        <w:rPr>
          <w:rFonts w:ascii="Times New Roman" w:hAnsi="Times New Roman"/>
          <w:szCs w:val="24"/>
        </w:rPr>
        <w:t>'s</w:t>
      </w:r>
      <w:r w:rsidRPr="00BE2E84">
        <w:rPr>
          <w:rFonts w:ascii="Times New Roman" w:hAnsi="Times New Roman"/>
          <w:szCs w:val="24"/>
        </w:rPr>
        <w:t xml:space="preserve"> representations in</w:t>
      </w:r>
      <w:r>
        <w:rPr>
          <w:rFonts w:ascii="Times New Roman" w:hAnsi="Times New Roman"/>
          <w:szCs w:val="24"/>
        </w:rPr>
        <w:t xml:space="preserve"> </w:t>
      </w:r>
      <w:r w:rsidRPr="00BE2E84">
        <w:rPr>
          <w:rFonts w:ascii="Times New Roman" w:hAnsi="Times New Roman"/>
          <w:szCs w:val="24"/>
        </w:rPr>
        <w:t xml:space="preserve">Member States help develop messages and stories that consider priority issues and the national debate on trade. Communication and outreach activities also focus on stakeholder involvement and </w:t>
      </w:r>
      <w:r>
        <w:rPr>
          <w:rFonts w:ascii="Times New Roman" w:hAnsi="Times New Roman"/>
          <w:szCs w:val="24"/>
        </w:rPr>
        <w:t xml:space="preserve">interaction </w:t>
      </w:r>
      <w:r w:rsidRPr="00BE2E84">
        <w:rPr>
          <w:rFonts w:ascii="Times New Roman" w:hAnsi="Times New Roman"/>
          <w:szCs w:val="24"/>
        </w:rPr>
        <w:t>with civil society. In 2017</w:t>
      </w:r>
      <w:r>
        <w:rPr>
          <w:rFonts w:ascii="Times New Roman" w:hAnsi="Times New Roman"/>
          <w:szCs w:val="24"/>
        </w:rPr>
        <w:t>,</w:t>
      </w:r>
      <w:r w:rsidRPr="00BE2E84">
        <w:rPr>
          <w:rFonts w:ascii="Times New Roman" w:hAnsi="Times New Roman"/>
          <w:szCs w:val="24"/>
        </w:rPr>
        <w:t xml:space="preserve"> DG Trade organised 23 civil society dialogue meetings on different trade policy issues. In addition, DG Trade is also seeking stakeholder advice through the new expert group on trade agreements.</w:t>
      </w:r>
      <w:r>
        <w:rPr>
          <w:rFonts w:ascii="Times New Roman" w:hAnsi="Times New Roman"/>
          <w:szCs w:val="24"/>
        </w:rPr>
        <w:t xml:space="preserve"> Since the beginning of this mandate, the EU Trade Commissioner has shown considerable personal engagement with citizens and the civil society through Citizens and Civil Society Dialogues or bilateral meetings.</w:t>
      </w:r>
    </w:p>
    <w:p w:rsidR="00494589" w:rsidRPr="006767EE" w:rsidRDefault="00494589" w:rsidP="005A4609">
      <w:pPr>
        <w:widowControl w:val="0"/>
        <w:spacing w:after="120"/>
        <w:ind w:right="-28"/>
        <w:rPr>
          <w:rFonts w:ascii="Times New Roman" w:hAnsi="Times New Roman"/>
          <w:szCs w:val="24"/>
        </w:rPr>
      </w:pPr>
      <w:r w:rsidRPr="006767EE">
        <w:rPr>
          <w:rFonts w:ascii="Times New Roman" w:hAnsi="Times New Roman"/>
          <w:b/>
          <w:szCs w:val="24"/>
        </w:rPr>
        <w:t>Paragraph 64</w:t>
      </w:r>
      <w:r w:rsidRPr="006767EE">
        <w:rPr>
          <w:rFonts w:ascii="Times New Roman" w:hAnsi="Times New Roman"/>
          <w:szCs w:val="24"/>
        </w:rPr>
        <w:t>: The Commission shares the assessment that proper implementation of trade agreements requires joint efforts by the Commission, the European Parliament</w:t>
      </w:r>
      <w:r>
        <w:rPr>
          <w:rFonts w:ascii="Times New Roman" w:hAnsi="Times New Roman"/>
          <w:szCs w:val="24"/>
        </w:rPr>
        <w:t xml:space="preserve">, stakeholders and </w:t>
      </w:r>
      <w:r w:rsidRPr="006767EE">
        <w:rPr>
          <w:rFonts w:ascii="Times New Roman" w:hAnsi="Times New Roman"/>
          <w:szCs w:val="24"/>
        </w:rPr>
        <w:t xml:space="preserve">Member States, including their embassies and social and business representatives. </w:t>
      </w:r>
      <w:r>
        <w:rPr>
          <w:rFonts w:ascii="Times New Roman" w:hAnsi="Times New Roman"/>
          <w:szCs w:val="24"/>
        </w:rPr>
        <w:t>An</w:t>
      </w:r>
      <w:r w:rsidRPr="006767EE">
        <w:rPr>
          <w:rFonts w:ascii="Times New Roman" w:hAnsi="Times New Roman"/>
          <w:szCs w:val="24"/>
        </w:rPr>
        <w:t xml:space="preserve"> "Enhanced Partnership for Implementation" has been set up </w:t>
      </w:r>
      <w:r>
        <w:rPr>
          <w:rFonts w:ascii="Times New Roman" w:hAnsi="Times New Roman"/>
          <w:szCs w:val="24"/>
        </w:rPr>
        <w:t>to bring</w:t>
      </w:r>
      <w:r w:rsidRPr="006767EE">
        <w:rPr>
          <w:rFonts w:ascii="Times New Roman" w:hAnsi="Times New Roman"/>
          <w:szCs w:val="24"/>
        </w:rPr>
        <w:t xml:space="preserve"> all relevant actors together and facilitat</w:t>
      </w:r>
      <w:r>
        <w:rPr>
          <w:rFonts w:ascii="Times New Roman" w:hAnsi="Times New Roman"/>
          <w:szCs w:val="24"/>
        </w:rPr>
        <w:t>e</w:t>
      </w:r>
      <w:r w:rsidRPr="006767EE">
        <w:rPr>
          <w:rFonts w:ascii="Times New Roman" w:hAnsi="Times New Roman"/>
          <w:szCs w:val="24"/>
        </w:rPr>
        <w:t xml:space="preserve"> information flows.</w:t>
      </w:r>
      <w:r>
        <w:rPr>
          <w:rFonts w:ascii="Times New Roman" w:hAnsi="Times New Roman"/>
          <w:szCs w:val="24"/>
        </w:rPr>
        <w:t xml:space="preserve"> </w:t>
      </w:r>
      <w:r w:rsidRPr="006767EE">
        <w:rPr>
          <w:rFonts w:ascii="Times New Roman" w:hAnsi="Times New Roman"/>
          <w:szCs w:val="24"/>
        </w:rPr>
        <w:t>It relies on existing structures, such as the Market Access Advisory Committee, Civil Society Dialogues</w:t>
      </w:r>
      <w:r>
        <w:rPr>
          <w:rFonts w:ascii="Times New Roman" w:hAnsi="Times New Roman"/>
          <w:szCs w:val="24"/>
        </w:rPr>
        <w:t>, Citizens</w:t>
      </w:r>
      <w:r w:rsidR="00621C61">
        <w:rPr>
          <w:rFonts w:ascii="Times New Roman" w:hAnsi="Times New Roman"/>
          <w:szCs w:val="24"/>
        </w:rPr>
        <w:t>'</w:t>
      </w:r>
      <w:r>
        <w:rPr>
          <w:rFonts w:ascii="Times New Roman" w:hAnsi="Times New Roman"/>
          <w:szCs w:val="24"/>
        </w:rPr>
        <w:t xml:space="preserve"> Dialogues</w:t>
      </w:r>
      <w:r w:rsidRPr="006767EE">
        <w:rPr>
          <w:rFonts w:ascii="Times New Roman" w:hAnsi="Times New Roman"/>
          <w:szCs w:val="24"/>
        </w:rPr>
        <w:t xml:space="preserve"> as well as regular meetings in EU </w:t>
      </w:r>
      <w:r>
        <w:rPr>
          <w:rFonts w:ascii="Times New Roman" w:hAnsi="Times New Roman"/>
          <w:szCs w:val="24"/>
        </w:rPr>
        <w:t>d</w:t>
      </w:r>
      <w:r w:rsidRPr="006767EE">
        <w:rPr>
          <w:rFonts w:ascii="Times New Roman" w:hAnsi="Times New Roman"/>
          <w:szCs w:val="24"/>
        </w:rPr>
        <w:t>elegations.</w:t>
      </w:r>
    </w:p>
    <w:p w:rsidR="00494589" w:rsidRPr="00AB61B8" w:rsidRDefault="00494589" w:rsidP="005A4609">
      <w:pPr>
        <w:widowControl w:val="0"/>
        <w:spacing w:after="120"/>
        <w:ind w:right="-28"/>
        <w:rPr>
          <w:rFonts w:ascii="Times New Roman" w:hAnsi="Times New Roman"/>
          <w:szCs w:val="24"/>
        </w:rPr>
      </w:pPr>
      <w:r w:rsidRPr="00725012">
        <w:rPr>
          <w:rFonts w:ascii="Times New Roman" w:hAnsi="Times New Roman"/>
          <w:b/>
          <w:szCs w:val="24"/>
        </w:rPr>
        <w:t xml:space="preserve">Paragraph </w:t>
      </w:r>
      <w:r>
        <w:rPr>
          <w:rFonts w:ascii="Times New Roman" w:hAnsi="Times New Roman"/>
          <w:b/>
          <w:szCs w:val="24"/>
        </w:rPr>
        <w:t>65</w:t>
      </w:r>
      <w:r>
        <w:rPr>
          <w:rFonts w:ascii="Times New Roman" w:hAnsi="Times New Roman"/>
          <w:szCs w:val="24"/>
        </w:rPr>
        <w:t xml:space="preserve">: </w:t>
      </w:r>
      <w:r w:rsidRPr="00AB61B8">
        <w:rPr>
          <w:rFonts w:ascii="Times New Roman" w:hAnsi="Times New Roman"/>
          <w:szCs w:val="24"/>
        </w:rPr>
        <w:t xml:space="preserve">The Commission is continuously improving the quality of its evaluations, by further refining the methodology </w:t>
      </w:r>
      <w:r>
        <w:rPr>
          <w:rFonts w:ascii="Times New Roman" w:hAnsi="Times New Roman"/>
          <w:szCs w:val="24"/>
        </w:rPr>
        <w:t>and</w:t>
      </w:r>
      <w:r w:rsidRPr="00AB61B8">
        <w:rPr>
          <w:rFonts w:ascii="Times New Roman" w:hAnsi="Times New Roman"/>
          <w:szCs w:val="24"/>
        </w:rPr>
        <w:t xml:space="preserve"> by ensuring </w:t>
      </w:r>
      <w:r>
        <w:rPr>
          <w:rFonts w:ascii="Times New Roman" w:hAnsi="Times New Roman"/>
          <w:szCs w:val="24"/>
        </w:rPr>
        <w:t>analysis of the highest quality</w:t>
      </w:r>
      <w:r w:rsidRPr="00AB61B8">
        <w:rPr>
          <w:rFonts w:ascii="Times New Roman" w:hAnsi="Times New Roman"/>
          <w:szCs w:val="24"/>
        </w:rPr>
        <w:t>. In recent years, evaluation studies</w:t>
      </w:r>
      <w:r>
        <w:rPr>
          <w:rFonts w:ascii="Times New Roman" w:hAnsi="Times New Roman"/>
          <w:szCs w:val="24"/>
        </w:rPr>
        <w:t xml:space="preserve"> improved regarding </w:t>
      </w:r>
      <w:r w:rsidRPr="00AB61B8">
        <w:rPr>
          <w:rFonts w:ascii="Times New Roman" w:hAnsi="Times New Roman"/>
          <w:szCs w:val="24"/>
        </w:rPr>
        <w:t>the</w:t>
      </w:r>
      <w:r>
        <w:rPr>
          <w:rFonts w:ascii="Times New Roman" w:hAnsi="Times New Roman"/>
          <w:szCs w:val="24"/>
        </w:rPr>
        <w:t xml:space="preserve"> assessment of</w:t>
      </w:r>
      <w:r w:rsidRPr="00AB61B8">
        <w:rPr>
          <w:rFonts w:ascii="Times New Roman" w:hAnsi="Times New Roman"/>
          <w:szCs w:val="24"/>
        </w:rPr>
        <w:t xml:space="preserve"> impact</w:t>
      </w:r>
      <w:r>
        <w:rPr>
          <w:rFonts w:ascii="Times New Roman" w:hAnsi="Times New Roman"/>
          <w:szCs w:val="24"/>
        </w:rPr>
        <w:t>s</w:t>
      </w:r>
      <w:r w:rsidRPr="00AB61B8">
        <w:rPr>
          <w:rFonts w:ascii="Times New Roman" w:hAnsi="Times New Roman"/>
          <w:szCs w:val="24"/>
        </w:rPr>
        <w:t xml:space="preserve"> on consumers and SMEs, gender</w:t>
      </w:r>
      <w:r>
        <w:rPr>
          <w:rFonts w:ascii="Times New Roman" w:hAnsi="Times New Roman"/>
          <w:szCs w:val="24"/>
        </w:rPr>
        <w:t xml:space="preserve"> and human rights</w:t>
      </w:r>
      <w:r w:rsidRPr="00AB61B8">
        <w:rPr>
          <w:rFonts w:ascii="Times New Roman" w:hAnsi="Times New Roman"/>
          <w:szCs w:val="24"/>
        </w:rPr>
        <w:t>.</w:t>
      </w:r>
      <w:r>
        <w:rPr>
          <w:rFonts w:ascii="Times New Roman" w:hAnsi="Times New Roman"/>
          <w:szCs w:val="24"/>
        </w:rPr>
        <w:t xml:space="preserve"> A</w:t>
      </w:r>
      <w:r w:rsidRPr="00AB61B8">
        <w:rPr>
          <w:rFonts w:ascii="Times New Roman" w:hAnsi="Times New Roman"/>
          <w:szCs w:val="24"/>
        </w:rPr>
        <w:t xml:space="preserve">ssessments </w:t>
      </w:r>
      <w:r>
        <w:rPr>
          <w:rFonts w:ascii="Times New Roman" w:hAnsi="Times New Roman"/>
          <w:szCs w:val="24"/>
        </w:rPr>
        <w:t>take</w:t>
      </w:r>
      <w:r w:rsidRPr="00AB61B8">
        <w:rPr>
          <w:rFonts w:ascii="Times New Roman" w:hAnsi="Times New Roman"/>
          <w:szCs w:val="24"/>
        </w:rPr>
        <w:t xml:space="preserve"> geographical analysis</w:t>
      </w:r>
      <w:r>
        <w:rPr>
          <w:rFonts w:ascii="Times New Roman" w:hAnsi="Times New Roman"/>
          <w:szCs w:val="24"/>
        </w:rPr>
        <w:t xml:space="preserve"> into account</w:t>
      </w:r>
      <w:r w:rsidRPr="00AB61B8">
        <w:rPr>
          <w:rFonts w:ascii="Times New Roman" w:hAnsi="Times New Roman"/>
          <w:szCs w:val="24"/>
        </w:rPr>
        <w:t xml:space="preserve"> within the remit of what resources, time and data availability allow.</w:t>
      </w:r>
      <w:r>
        <w:rPr>
          <w:rFonts w:ascii="Times New Roman" w:hAnsi="Times New Roman"/>
          <w:szCs w:val="24"/>
        </w:rPr>
        <w:t xml:space="preserve"> D</w:t>
      </w:r>
      <w:r w:rsidRPr="00AB61B8">
        <w:rPr>
          <w:rFonts w:ascii="Times New Roman" w:hAnsi="Times New Roman"/>
          <w:szCs w:val="24"/>
        </w:rPr>
        <w:t>edicated websites</w:t>
      </w:r>
      <w:r>
        <w:rPr>
          <w:rFonts w:ascii="Times New Roman" w:hAnsi="Times New Roman"/>
          <w:szCs w:val="24"/>
        </w:rPr>
        <w:t xml:space="preserve"> and </w:t>
      </w:r>
      <w:r w:rsidRPr="00AB61B8">
        <w:rPr>
          <w:rFonts w:ascii="Times New Roman" w:hAnsi="Times New Roman"/>
          <w:szCs w:val="24"/>
        </w:rPr>
        <w:t>invo</w:t>
      </w:r>
      <w:r>
        <w:rPr>
          <w:rFonts w:ascii="Times New Roman" w:hAnsi="Times New Roman"/>
          <w:szCs w:val="24"/>
        </w:rPr>
        <w:t>lvement of civil society at all stages make SIAs particularly transparent.</w:t>
      </w:r>
    </w:p>
    <w:p w:rsidR="001D0749" w:rsidRPr="00BD0B00" w:rsidRDefault="00494589" w:rsidP="00FC2E0F">
      <w:pPr>
        <w:widowControl w:val="0"/>
        <w:spacing w:after="120"/>
        <w:ind w:right="-28"/>
        <w:rPr>
          <w:rFonts w:ascii="Times New Roman" w:hAnsi="Times New Roman"/>
          <w:szCs w:val="24"/>
        </w:rPr>
      </w:pPr>
      <w:r w:rsidRPr="00695039">
        <w:rPr>
          <w:rFonts w:ascii="Times New Roman" w:hAnsi="Times New Roman"/>
          <w:b/>
          <w:szCs w:val="24"/>
        </w:rPr>
        <w:t>Paragraph 66</w:t>
      </w:r>
      <w:r w:rsidRPr="00695039">
        <w:rPr>
          <w:rFonts w:ascii="Times New Roman" w:hAnsi="Times New Roman"/>
          <w:szCs w:val="24"/>
        </w:rPr>
        <w:t xml:space="preserve">: In the first semester </w:t>
      </w:r>
      <w:r>
        <w:rPr>
          <w:rFonts w:ascii="Times New Roman" w:hAnsi="Times New Roman"/>
          <w:szCs w:val="24"/>
        </w:rPr>
        <w:t xml:space="preserve">of </w:t>
      </w:r>
      <w:r w:rsidRPr="00695039">
        <w:rPr>
          <w:rFonts w:ascii="Times New Roman" w:hAnsi="Times New Roman"/>
          <w:szCs w:val="24"/>
        </w:rPr>
        <w:t>2018, three meetings of the expert group on trade agreements took place. The meetings</w:t>
      </w:r>
      <w:r>
        <w:rPr>
          <w:rFonts w:ascii="Times New Roman" w:hAnsi="Times New Roman"/>
          <w:szCs w:val="24"/>
        </w:rPr>
        <w:t>'</w:t>
      </w:r>
      <w:r w:rsidRPr="00695039">
        <w:rPr>
          <w:rFonts w:ascii="Times New Roman" w:hAnsi="Times New Roman"/>
          <w:szCs w:val="24"/>
        </w:rPr>
        <w:t xml:space="preserve"> agendas, reports, working documents, as well as the input provided by member organisations are published in a timely manner. </w:t>
      </w:r>
      <w:r>
        <w:rPr>
          <w:rFonts w:ascii="Times New Roman" w:hAnsi="Times New Roman"/>
          <w:szCs w:val="24"/>
        </w:rPr>
        <w:t>The</w:t>
      </w:r>
      <w:r w:rsidRPr="00695039">
        <w:rPr>
          <w:rFonts w:ascii="Times New Roman" w:hAnsi="Times New Roman"/>
          <w:szCs w:val="24"/>
        </w:rPr>
        <w:t xml:space="preserve"> agenda points </w:t>
      </w:r>
      <w:r>
        <w:rPr>
          <w:rFonts w:ascii="Times New Roman" w:hAnsi="Times New Roman"/>
          <w:szCs w:val="24"/>
        </w:rPr>
        <w:t xml:space="preserve">discussed in the expert group </w:t>
      </w:r>
      <w:r w:rsidRPr="00695039">
        <w:rPr>
          <w:rFonts w:ascii="Times New Roman" w:hAnsi="Times New Roman"/>
          <w:szCs w:val="24"/>
        </w:rPr>
        <w:t xml:space="preserve">reflect </w:t>
      </w:r>
      <w:proofErr w:type="gramStart"/>
      <w:r>
        <w:rPr>
          <w:rFonts w:ascii="Times New Roman" w:hAnsi="Times New Roman"/>
          <w:szCs w:val="24"/>
        </w:rPr>
        <w:t xml:space="preserve">either </w:t>
      </w:r>
      <w:r w:rsidRPr="00695039">
        <w:rPr>
          <w:rFonts w:ascii="Times New Roman" w:hAnsi="Times New Roman"/>
          <w:szCs w:val="24"/>
        </w:rPr>
        <w:t>specific Commission needs for expertise in negotiations and</w:t>
      </w:r>
      <w:proofErr w:type="gramEnd"/>
      <w:r w:rsidRPr="00695039">
        <w:rPr>
          <w:rFonts w:ascii="Times New Roman" w:hAnsi="Times New Roman"/>
          <w:szCs w:val="24"/>
        </w:rPr>
        <w:t xml:space="preserve"> </w:t>
      </w:r>
      <w:r w:rsidR="007B14A0">
        <w:rPr>
          <w:rFonts w:ascii="Times New Roman" w:hAnsi="Times New Roman"/>
          <w:szCs w:val="24"/>
        </w:rPr>
        <w:t xml:space="preserve">in the </w:t>
      </w:r>
      <w:r w:rsidRPr="00695039">
        <w:rPr>
          <w:rFonts w:ascii="Times New Roman" w:hAnsi="Times New Roman"/>
          <w:szCs w:val="24"/>
        </w:rPr>
        <w:t>implementation of trade agreements</w:t>
      </w:r>
      <w:r w:rsidR="007B14A0">
        <w:rPr>
          <w:rFonts w:ascii="Times New Roman" w:hAnsi="Times New Roman"/>
          <w:szCs w:val="24"/>
        </w:rPr>
        <w:t>,</w:t>
      </w:r>
      <w:r>
        <w:rPr>
          <w:rFonts w:ascii="Times New Roman" w:hAnsi="Times New Roman"/>
          <w:szCs w:val="24"/>
        </w:rPr>
        <w:t xml:space="preserve"> or the participants</w:t>
      </w:r>
      <w:r w:rsidR="007B14A0">
        <w:rPr>
          <w:rFonts w:ascii="Times New Roman" w:hAnsi="Times New Roman"/>
          <w:szCs w:val="24"/>
        </w:rPr>
        <w:t>’</w:t>
      </w:r>
      <w:r>
        <w:rPr>
          <w:rFonts w:ascii="Times New Roman" w:hAnsi="Times New Roman"/>
          <w:szCs w:val="24"/>
        </w:rPr>
        <w:t xml:space="preserve"> concerns which they want to see addressed in ongoing or future talks</w:t>
      </w:r>
      <w:r w:rsidRPr="00695039">
        <w:rPr>
          <w:rFonts w:ascii="Times New Roman" w:hAnsi="Times New Roman"/>
          <w:szCs w:val="24"/>
        </w:rPr>
        <w:t xml:space="preserve">. Where possible, topics are </w:t>
      </w:r>
      <w:r>
        <w:rPr>
          <w:rFonts w:ascii="Times New Roman" w:hAnsi="Times New Roman"/>
          <w:szCs w:val="24"/>
        </w:rPr>
        <w:t xml:space="preserve">also </w:t>
      </w:r>
      <w:r w:rsidRPr="00695039">
        <w:rPr>
          <w:rFonts w:ascii="Times New Roman" w:hAnsi="Times New Roman"/>
          <w:szCs w:val="24"/>
        </w:rPr>
        <w:t>discussed at a very early stage before being considered for negotiations</w:t>
      </w:r>
      <w:r>
        <w:rPr>
          <w:rFonts w:ascii="Times New Roman" w:hAnsi="Times New Roman"/>
          <w:szCs w:val="24"/>
        </w:rPr>
        <w:t>.</w:t>
      </w:r>
      <w:bookmarkStart w:id="0" w:name="_GoBack"/>
      <w:bookmarkEnd w:id="0"/>
    </w:p>
    <w:sectPr w:rsidR="001D0749" w:rsidRPr="00BD0B00" w:rsidSect="005A4609">
      <w:footerReference w:type="default" r:id="rId9"/>
      <w:footerReference w:type="first" r:id="rId10"/>
      <w:footnotePr>
        <w:numRestart w:val="eachSect"/>
      </w:footnotePr>
      <w:pgSz w:w="11906" w:h="16838" w:code="9"/>
      <w:pgMar w:top="1021" w:right="1558" w:bottom="102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19" w:rsidRDefault="003C7A19">
      <w:r>
        <w:separator/>
      </w:r>
    </w:p>
  </w:endnote>
  <w:endnote w:type="continuationSeparator" w:id="0">
    <w:p w:rsidR="003C7A19" w:rsidRDefault="003C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19" w:rsidRDefault="003C7A19">
    <w:pPr>
      <w:pStyle w:val="Footer"/>
      <w:jc w:val="center"/>
    </w:pPr>
    <w:r>
      <w:fldChar w:fldCharType="begin"/>
    </w:r>
    <w:r>
      <w:instrText xml:space="preserve"> PAGE   \* MERGEFORMAT </w:instrText>
    </w:r>
    <w:r>
      <w:fldChar w:fldCharType="separate"/>
    </w:r>
    <w:r w:rsidR="00FC2E0F">
      <w:rPr>
        <w:noProof/>
      </w:rPr>
      <w:t>9</w:t>
    </w:r>
    <w:r>
      <w:rPr>
        <w:noProof/>
      </w:rPr>
      <w:fldChar w:fldCharType="end"/>
    </w:r>
  </w:p>
  <w:p w:rsidR="003C7A19" w:rsidRDefault="003C7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19" w:rsidRDefault="003C7A19">
    <w:pPr>
      <w:pStyle w:val="Footer"/>
      <w:jc w:val="center"/>
    </w:pPr>
    <w:r>
      <w:fldChar w:fldCharType="begin"/>
    </w:r>
    <w:r>
      <w:instrText xml:space="preserve"> PAGE   \* MERGEFORMAT </w:instrText>
    </w:r>
    <w:r>
      <w:fldChar w:fldCharType="separate"/>
    </w:r>
    <w:r w:rsidR="00FC2E0F">
      <w:rPr>
        <w:noProof/>
      </w:rPr>
      <w:t>1</w:t>
    </w:r>
    <w:r>
      <w:rPr>
        <w:noProof/>
      </w:rPr>
      <w:fldChar w:fldCharType="end"/>
    </w:r>
  </w:p>
  <w:p w:rsidR="003C7A19" w:rsidRDefault="003C7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19" w:rsidRDefault="003C7A19">
      <w:r>
        <w:separator/>
      </w:r>
    </w:p>
  </w:footnote>
  <w:footnote w:type="continuationSeparator" w:id="0">
    <w:p w:rsidR="003C7A19" w:rsidRDefault="003C7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76"/>
    <w:multiLevelType w:val="hybridMultilevel"/>
    <w:tmpl w:val="994A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3">
    <w:nsid w:val="02FD5E00"/>
    <w:multiLevelType w:val="hybridMultilevel"/>
    <w:tmpl w:val="23CC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681E82"/>
    <w:multiLevelType w:val="hybridMultilevel"/>
    <w:tmpl w:val="0316D07C"/>
    <w:lvl w:ilvl="0" w:tplc="010A33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D4D0411"/>
    <w:multiLevelType w:val="hybridMultilevel"/>
    <w:tmpl w:val="673855CC"/>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B46F45"/>
    <w:multiLevelType w:val="hybridMultilevel"/>
    <w:tmpl w:val="50D21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9">
    <w:nsid w:val="130D0618"/>
    <w:multiLevelType w:val="hybridMultilevel"/>
    <w:tmpl w:val="37A2CF10"/>
    <w:lvl w:ilvl="0" w:tplc="F82EC384">
      <w:start w:val="2016"/>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2">
    <w:nsid w:val="15871932"/>
    <w:multiLevelType w:val="hybridMultilevel"/>
    <w:tmpl w:val="8A124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68407E8"/>
    <w:multiLevelType w:val="hybridMultilevel"/>
    <w:tmpl w:val="424A86AA"/>
    <w:lvl w:ilvl="0" w:tplc="90B27698">
      <w:start w:val="1"/>
      <w:numFmt w:val="decimal"/>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92973D2"/>
    <w:multiLevelType w:val="hybridMultilevel"/>
    <w:tmpl w:val="A2FAFC22"/>
    <w:lvl w:ilvl="0" w:tplc="28A25164">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7">
    <w:nsid w:val="1F9015B4"/>
    <w:multiLevelType w:val="hybridMultilevel"/>
    <w:tmpl w:val="A7504770"/>
    <w:lvl w:ilvl="0" w:tplc="08090011">
      <w:start w:val="1"/>
      <w:numFmt w:val="decimal"/>
      <w:lvlText w:val="%1)"/>
      <w:lvlJc w:val="left"/>
      <w:pPr>
        <w:ind w:left="360" w:hanging="360"/>
      </w:pPr>
      <w:rPr>
        <w:b/>
      </w:rPr>
    </w:lvl>
    <w:lvl w:ilvl="1" w:tplc="08090011">
      <w:start w:val="1"/>
      <w:numFmt w:val="decimal"/>
      <w:lvlText w:val="%2)"/>
      <w:lvlJc w:val="left"/>
      <w:pPr>
        <w:ind w:left="1440" w:hanging="360"/>
      </w:pPr>
    </w:lvl>
    <w:lvl w:ilvl="2" w:tplc="26702276">
      <w:start w:val="1"/>
      <w:numFmt w:val="bullet"/>
      <w:lvlText w:val="-"/>
      <w:lvlJc w:val="left"/>
      <w:pPr>
        <w:ind w:left="2760" w:hanging="780"/>
      </w:pPr>
      <w:rPr>
        <w:rFonts w:ascii="Times New Roman" w:eastAsia="Calibri" w:hAnsi="Times New Roman"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20081441"/>
    <w:multiLevelType w:val="hybridMultilevel"/>
    <w:tmpl w:val="836C68BA"/>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1991F84"/>
    <w:multiLevelType w:val="hybridMultilevel"/>
    <w:tmpl w:val="32BCE1A0"/>
    <w:lvl w:ilvl="0" w:tplc="01FEB2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22">
    <w:nsid w:val="332B3941"/>
    <w:multiLevelType w:val="hybridMultilevel"/>
    <w:tmpl w:val="A7669DDE"/>
    <w:lvl w:ilvl="0" w:tplc="ECA2AED8">
      <w:start w:val="1"/>
      <w:numFmt w:val="decimal"/>
      <w:lvlText w:val="%1."/>
      <w:lvlJc w:val="left"/>
      <w:pPr>
        <w:ind w:left="1353" w:hanging="360"/>
      </w:pPr>
      <w:rPr>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36644752"/>
    <w:multiLevelType w:val="hybridMultilevel"/>
    <w:tmpl w:val="BB08B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6807E46"/>
    <w:multiLevelType w:val="hybridMultilevel"/>
    <w:tmpl w:val="0B34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1324D01"/>
    <w:multiLevelType w:val="hybridMultilevel"/>
    <w:tmpl w:val="E280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259128D"/>
    <w:multiLevelType w:val="hybridMultilevel"/>
    <w:tmpl w:val="F8DA622E"/>
    <w:lvl w:ilvl="0" w:tplc="032ACD00">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nsid w:val="494F2639"/>
    <w:multiLevelType w:val="hybridMultilevel"/>
    <w:tmpl w:val="03BC8946"/>
    <w:lvl w:ilvl="0" w:tplc="8E40B238">
      <w:numFmt w:val="bullet"/>
      <w:lvlText w:val="-"/>
      <w:lvlJc w:val="left"/>
      <w:pPr>
        <w:ind w:left="720" w:hanging="360"/>
      </w:pPr>
      <w:rPr>
        <w:rFonts w:ascii="Times New Roman" w:eastAsia="Calibr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4">
    <w:nsid w:val="4C947BFC"/>
    <w:multiLevelType w:val="hybridMultilevel"/>
    <w:tmpl w:val="A6B0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6">
    <w:nsid w:val="5358149A"/>
    <w:multiLevelType w:val="hybridMultilevel"/>
    <w:tmpl w:val="C660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9">
    <w:nsid w:val="5C3073F9"/>
    <w:multiLevelType w:val="hybridMultilevel"/>
    <w:tmpl w:val="DA8A5DBE"/>
    <w:lvl w:ilvl="0" w:tplc="010A33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2D37449"/>
    <w:multiLevelType w:val="hybridMultilevel"/>
    <w:tmpl w:val="6C2E98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A645398"/>
    <w:multiLevelType w:val="hybridMultilevel"/>
    <w:tmpl w:val="2E3C1EB0"/>
    <w:lvl w:ilvl="0" w:tplc="1504843A">
      <w:numFmt w:val="bullet"/>
      <w:lvlText w:val="•"/>
      <w:lvlJc w:val="left"/>
      <w:pPr>
        <w:ind w:left="1441" w:hanging="732"/>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45">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7">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8">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9">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11"/>
  </w:num>
  <w:num w:numId="2">
    <w:abstractNumId w:val="2"/>
  </w:num>
  <w:num w:numId="3">
    <w:abstractNumId w:val="48"/>
  </w:num>
  <w:num w:numId="4">
    <w:abstractNumId w:val="21"/>
  </w:num>
  <w:num w:numId="5">
    <w:abstractNumId w:val="44"/>
  </w:num>
  <w:num w:numId="6">
    <w:abstractNumId w:val="16"/>
  </w:num>
  <w:num w:numId="7">
    <w:abstractNumId w:val="10"/>
  </w:num>
  <w:num w:numId="8">
    <w:abstractNumId w:val="25"/>
  </w:num>
  <w:num w:numId="9">
    <w:abstractNumId w:val="47"/>
  </w:num>
  <w:num w:numId="10">
    <w:abstractNumId w:val="38"/>
  </w:num>
  <w:num w:numId="11">
    <w:abstractNumId w:val="41"/>
  </w:num>
  <w:num w:numId="12">
    <w:abstractNumId w:val="20"/>
  </w:num>
  <w:num w:numId="13">
    <w:abstractNumId w:val="29"/>
  </w:num>
  <w:num w:numId="14">
    <w:abstractNumId w:val="45"/>
  </w:num>
  <w:num w:numId="15">
    <w:abstractNumId w:val="24"/>
  </w:num>
  <w:num w:numId="16">
    <w:abstractNumId w:val="50"/>
  </w:num>
  <w:num w:numId="17">
    <w:abstractNumId w:val="46"/>
  </w:num>
  <w:num w:numId="18">
    <w:abstractNumId w:val="35"/>
  </w:num>
  <w:num w:numId="19">
    <w:abstractNumId w:val="37"/>
  </w:num>
  <w:num w:numId="20">
    <w:abstractNumId w:val="43"/>
  </w:num>
  <w:num w:numId="21">
    <w:abstractNumId w:val="5"/>
  </w:num>
  <w:num w:numId="22">
    <w:abstractNumId w:val="8"/>
  </w:num>
  <w:num w:numId="23">
    <w:abstractNumId w:val="23"/>
  </w:num>
  <w:num w:numId="24">
    <w:abstractNumId w:val="49"/>
  </w:num>
  <w:num w:numId="25">
    <w:abstractNumId w:val="28"/>
  </w:num>
  <w:num w:numId="26">
    <w:abstractNumId w:val="15"/>
  </w:num>
  <w:num w:numId="27">
    <w:abstractNumId w:val="22"/>
  </w:num>
  <w:num w:numId="28">
    <w:abstractNumId w:val="17"/>
  </w:num>
  <w:num w:numId="29">
    <w:abstractNumId w:val="39"/>
  </w:num>
  <w:num w:numId="30">
    <w:abstractNumId w:val="4"/>
  </w:num>
  <w:num w:numId="31">
    <w:abstractNumId w:val="13"/>
  </w:num>
  <w:num w:numId="32">
    <w:abstractNumId w:val="33"/>
  </w:num>
  <w:num w:numId="33">
    <w:abstractNumId w:val="27"/>
  </w:num>
  <w:num w:numId="34">
    <w:abstractNumId w:val="30"/>
  </w:num>
  <w:num w:numId="35">
    <w:abstractNumId w:val="0"/>
  </w:num>
  <w:num w:numId="36">
    <w:abstractNumId w:val="12"/>
  </w:num>
  <w:num w:numId="37">
    <w:abstractNumId w:val="19"/>
  </w:num>
  <w:num w:numId="38">
    <w:abstractNumId w:val="32"/>
  </w:num>
  <w:num w:numId="39">
    <w:abstractNumId w:val="40"/>
  </w:num>
  <w:num w:numId="40">
    <w:abstractNumId w:val="18"/>
  </w:num>
  <w:num w:numId="41">
    <w:abstractNumId w:val="3"/>
  </w:num>
  <w:num w:numId="42">
    <w:abstractNumId w:val="31"/>
  </w:num>
  <w:num w:numId="43">
    <w:abstractNumId w:val="34"/>
  </w:num>
  <w:num w:numId="44">
    <w:abstractNumId w:val="7"/>
  </w:num>
  <w:num w:numId="45">
    <w:abstractNumId w:val="36"/>
  </w:num>
  <w:num w:numId="46">
    <w:abstractNumId w:val="42"/>
  </w:num>
  <w:num w:numId="47">
    <w:abstractNumId w:val="9"/>
  </w:num>
  <w:num w:numId="48">
    <w:abstractNumId w:val="26"/>
  </w:num>
  <w:num w:numId="49">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173"/>
    <w:rsid w:val="00001369"/>
    <w:rsid w:val="00001C27"/>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51"/>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3F1"/>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6F38"/>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9E7"/>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BDB"/>
    <w:rsid w:val="00025D8A"/>
    <w:rsid w:val="00025EB9"/>
    <w:rsid w:val="000260DC"/>
    <w:rsid w:val="000261DA"/>
    <w:rsid w:val="0002630E"/>
    <w:rsid w:val="000265AD"/>
    <w:rsid w:val="000265DD"/>
    <w:rsid w:val="00026B29"/>
    <w:rsid w:val="00026CA1"/>
    <w:rsid w:val="00026D00"/>
    <w:rsid w:val="00026E21"/>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4C7"/>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CB6"/>
    <w:rsid w:val="00043E36"/>
    <w:rsid w:val="000443C3"/>
    <w:rsid w:val="0004455F"/>
    <w:rsid w:val="00044806"/>
    <w:rsid w:val="00044A2B"/>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E3C"/>
    <w:rsid w:val="000520B1"/>
    <w:rsid w:val="00052241"/>
    <w:rsid w:val="00052672"/>
    <w:rsid w:val="00052814"/>
    <w:rsid w:val="000529E9"/>
    <w:rsid w:val="00052C5E"/>
    <w:rsid w:val="00053766"/>
    <w:rsid w:val="0005398D"/>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61C"/>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86C"/>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A26"/>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33"/>
    <w:rsid w:val="000776B1"/>
    <w:rsid w:val="000776D8"/>
    <w:rsid w:val="00077912"/>
    <w:rsid w:val="00077B88"/>
    <w:rsid w:val="00077BFB"/>
    <w:rsid w:val="000800AF"/>
    <w:rsid w:val="00080191"/>
    <w:rsid w:val="0008029D"/>
    <w:rsid w:val="0008046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96F"/>
    <w:rsid w:val="00084B71"/>
    <w:rsid w:val="00084C1A"/>
    <w:rsid w:val="00084D1E"/>
    <w:rsid w:val="00084DFB"/>
    <w:rsid w:val="0008526A"/>
    <w:rsid w:val="00085484"/>
    <w:rsid w:val="00085847"/>
    <w:rsid w:val="00085BE8"/>
    <w:rsid w:val="00085E04"/>
    <w:rsid w:val="0008608A"/>
    <w:rsid w:val="000863ED"/>
    <w:rsid w:val="00086911"/>
    <w:rsid w:val="00086C30"/>
    <w:rsid w:val="00086D5D"/>
    <w:rsid w:val="00086DA6"/>
    <w:rsid w:val="00087000"/>
    <w:rsid w:val="000875DD"/>
    <w:rsid w:val="00087C2A"/>
    <w:rsid w:val="00087E0A"/>
    <w:rsid w:val="00090055"/>
    <w:rsid w:val="000901F1"/>
    <w:rsid w:val="000906EF"/>
    <w:rsid w:val="0009096A"/>
    <w:rsid w:val="00090B6B"/>
    <w:rsid w:val="00090D4B"/>
    <w:rsid w:val="00090EA4"/>
    <w:rsid w:val="000910D7"/>
    <w:rsid w:val="0009166A"/>
    <w:rsid w:val="000917B7"/>
    <w:rsid w:val="000918B2"/>
    <w:rsid w:val="00091CE2"/>
    <w:rsid w:val="0009205D"/>
    <w:rsid w:val="00092442"/>
    <w:rsid w:val="0009257A"/>
    <w:rsid w:val="00092B44"/>
    <w:rsid w:val="00092C2D"/>
    <w:rsid w:val="00092EB9"/>
    <w:rsid w:val="000933A4"/>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232"/>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0E8"/>
    <w:rsid w:val="000B1471"/>
    <w:rsid w:val="000B16FC"/>
    <w:rsid w:val="000B1845"/>
    <w:rsid w:val="000B1B92"/>
    <w:rsid w:val="000B1CA5"/>
    <w:rsid w:val="000B21CB"/>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66D"/>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2"/>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B7E"/>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59EE"/>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6B1"/>
    <w:rsid w:val="000D1C63"/>
    <w:rsid w:val="000D20A1"/>
    <w:rsid w:val="000D23CE"/>
    <w:rsid w:val="000D25EF"/>
    <w:rsid w:val="000D2718"/>
    <w:rsid w:val="000D280C"/>
    <w:rsid w:val="000D333F"/>
    <w:rsid w:val="000D34BD"/>
    <w:rsid w:val="000D3537"/>
    <w:rsid w:val="000D37F7"/>
    <w:rsid w:val="000D38B0"/>
    <w:rsid w:val="000D390C"/>
    <w:rsid w:val="000D397D"/>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7EF"/>
    <w:rsid w:val="000E58E0"/>
    <w:rsid w:val="000E59FD"/>
    <w:rsid w:val="000E5C16"/>
    <w:rsid w:val="000E6201"/>
    <w:rsid w:val="000E68CA"/>
    <w:rsid w:val="000E690A"/>
    <w:rsid w:val="000E695D"/>
    <w:rsid w:val="000E699A"/>
    <w:rsid w:val="000E6DD8"/>
    <w:rsid w:val="000E6FA8"/>
    <w:rsid w:val="000E702D"/>
    <w:rsid w:val="000E719A"/>
    <w:rsid w:val="000E7228"/>
    <w:rsid w:val="000E72A8"/>
    <w:rsid w:val="000E7303"/>
    <w:rsid w:val="000E75D1"/>
    <w:rsid w:val="000E76B6"/>
    <w:rsid w:val="000E7FD0"/>
    <w:rsid w:val="000F0118"/>
    <w:rsid w:val="000F023F"/>
    <w:rsid w:val="000F04D2"/>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CE8"/>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94E"/>
    <w:rsid w:val="00102CB5"/>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AFE"/>
    <w:rsid w:val="00104CC5"/>
    <w:rsid w:val="00104E16"/>
    <w:rsid w:val="0010517D"/>
    <w:rsid w:val="0010525A"/>
    <w:rsid w:val="001054F9"/>
    <w:rsid w:val="001055C5"/>
    <w:rsid w:val="0010582B"/>
    <w:rsid w:val="00105A47"/>
    <w:rsid w:val="00105ABA"/>
    <w:rsid w:val="00105BDE"/>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098"/>
    <w:rsid w:val="00116169"/>
    <w:rsid w:val="001163D1"/>
    <w:rsid w:val="00116539"/>
    <w:rsid w:val="001166A1"/>
    <w:rsid w:val="00116823"/>
    <w:rsid w:val="00116AC9"/>
    <w:rsid w:val="00116B75"/>
    <w:rsid w:val="001175E2"/>
    <w:rsid w:val="001176DE"/>
    <w:rsid w:val="0011799C"/>
    <w:rsid w:val="00117A22"/>
    <w:rsid w:val="00117E41"/>
    <w:rsid w:val="00117F86"/>
    <w:rsid w:val="00120043"/>
    <w:rsid w:val="00120230"/>
    <w:rsid w:val="00120411"/>
    <w:rsid w:val="0012079D"/>
    <w:rsid w:val="00120E03"/>
    <w:rsid w:val="00120E34"/>
    <w:rsid w:val="00120E8D"/>
    <w:rsid w:val="0012121E"/>
    <w:rsid w:val="00121335"/>
    <w:rsid w:val="00121382"/>
    <w:rsid w:val="00121541"/>
    <w:rsid w:val="00121B5E"/>
    <w:rsid w:val="00121E93"/>
    <w:rsid w:val="00121EDE"/>
    <w:rsid w:val="00121F5D"/>
    <w:rsid w:val="00122706"/>
    <w:rsid w:val="00122B44"/>
    <w:rsid w:val="00122FB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8A3"/>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321"/>
    <w:rsid w:val="00142485"/>
    <w:rsid w:val="0014296A"/>
    <w:rsid w:val="00143061"/>
    <w:rsid w:val="00143335"/>
    <w:rsid w:val="00143391"/>
    <w:rsid w:val="001438FC"/>
    <w:rsid w:val="00143DDE"/>
    <w:rsid w:val="00143F3D"/>
    <w:rsid w:val="0014413D"/>
    <w:rsid w:val="00144934"/>
    <w:rsid w:val="00144AD5"/>
    <w:rsid w:val="00145AB8"/>
    <w:rsid w:val="00145BBD"/>
    <w:rsid w:val="00145D7D"/>
    <w:rsid w:val="001463CA"/>
    <w:rsid w:val="00146572"/>
    <w:rsid w:val="0014708A"/>
    <w:rsid w:val="00147169"/>
    <w:rsid w:val="00147197"/>
    <w:rsid w:val="0014755B"/>
    <w:rsid w:val="001476D4"/>
    <w:rsid w:val="0014776E"/>
    <w:rsid w:val="00147784"/>
    <w:rsid w:val="00147791"/>
    <w:rsid w:val="001477F4"/>
    <w:rsid w:val="00147B3E"/>
    <w:rsid w:val="00147E99"/>
    <w:rsid w:val="00150056"/>
    <w:rsid w:val="0015007A"/>
    <w:rsid w:val="00150099"/>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5F3"/>
    <w:rsid w:val="0015288A"/>
    <w:rsid w:val="00152B3C"/>
    <w:rsid w:val="00152D6E"/>
    <w:rsid w:val="00152E1C"/>
    <w:rsid w:val="00153005"/>
    <w:rsid w:val="001538A6"/>
    <w:rsid w:val="00153952"/>
    <w:rsid w:val="00153AD9"/>
    <w:rsid w:val="00153C3E"/>
    <w:rsid w:val="00153C59"/>
    <w:rsid w:val="00153F3C"/>
    <w:rsid w:val="001540D4"/>
    <w:rsid w:val="00154153"/>
    <w:rsid w:val="00154223"/>
    <w:rsid w:val="00154492"/>
    <w:rsid w:val="001545E0"/>
    <w:rsid w:val="00154908"/>
    <w:rsid w:val="00154E3C"/>
    <w:rsid w:val="00155050"/>
    <w:rsid w:val="00155265"/>
    <w:rsid w:val="001556CD"/>
    <w:rsid w:val="001559B7"/>
    <w:rsid w:val="00155DAE"/>
    <w:rsid w:val="0015615D"/>
    <w:rsid w:val="001561D4"/>
    <w:rsid w:val="00156296"/>
    <w:rsid w:val="00156301"/>
    <w:rsid w:val="001565BD"/>
    <w:rsid w:val="00156775"/>
    <w:rsid w:val="00156BB9"/>
    <w:rsid w:val="00157383"/>
    <w:rsid w:val="0015754F"/>
    <w:rsid w:val="00157717"/>
    <w:rsid w:val="001577FE"/>
    <w:rsid w:val="00157826"/>
    <w:rsid w:val="001579E7"/>
    <w:rsid w:val="00157B10"/>
    <w:rsid w:val="00160197"/>
    <w:rsid w:val="00160355"/>
    <w:rsid w:val="001607B3"/>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1CA8"/>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DB3"/>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BAC"/>
    <w:rsid w:val="00181DFD"/>
    <w:rsid w:val="001821DE"/>
    <w:rsid w:val="00182429"/>
    <w:rsid w:val="001824D3"/>
    <w:rsid w:val="001824FF"/>
    <w:rsid w:val="001829C7"/>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6D9F"/>
    <w:rsid w:val="0018707E"/>
    <w:rsid w:val="001870AB"/>
    <w:rsid w:val="00187102"/>
    <w:rsid w:val="00187221"/>
    <w:rsid w:val="001872A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0F4E"/>
    <w:rsid w:val="001912E2"/>
    <w:rsid w:val="00191A2A"/>
    <w:rsid w:val="00191BF5"/>
    <w:rsid w:val="00191C56"/>
    <w:rsid w:val="00191DD2"/>
    <w:rsid w:val="00191E0F"/>
    <w:rsid w:val="00191EC5"/>
    <w:rsid w:val="001920C5"/>
    <w:rsid w:val="001922AC"/>
    <w:rsid w:val="001922FE"/>
    <w:rsid w:val="0019262E"/>
    <w:rsid w:val="00192C12"/>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579F"/>
    <w:rsid w:val="00196088"/>
    <w:rsid w:val="001962D1"/>
    <w:rsid w:val="0019671F"/>
    <w:rsid w:val="00196902"/>
    <w:rsid w:val="0019694E"/>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04"/>
    <w:rsid w:val="001A183D"/>
    <w:rsid w:val="001A1CA7"/>
    <w:rsid w:val="001A1DC1"/>
    <w:rsid w:val="001A2019"/>
    <w:rsid w:val="001A2024"/>
    <w:rsid w:val="001A2787"/>
    <w:rsid w:val="001A2A80"/>
    <w:rsid w:val="001A2C40"/>
    <w:rsid w:val="001A2D05"/>
    <w:rsid w:val="001A3205"/>
    <w:rsid w:val="001A332F"/>
    <w:rsid w:val="001A3653"/>
    <w:rsid w:val="001A39DD"/>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A93"/>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6FC9"/>
    <w:rsid w:val="001A7123"/>
    <w:rsid w:val="001A72FC"/>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38E"/>
    <w:rsid w:val="001B1499"/>
    <w:rsid w:val="001B15A6"/>
    <w:rsid w:val="001B17DA"/>
    <w:rsid w:val="001B181C"/>
    <w:rsid w:val="001B1A64"/>
    <w:rsid w:val="001B1B45"/>
    <w:rsid w:val="001B1BC5"/>
    <w:rsid w:val="001B1C3B"/>
    <w:rsid w:val="001B1C41"/>
    <w:rsid w:val="001B1CD7"/>
    <w:rsid w:val="001B21C6"/>
    <w:rsid w:val="001B296B"/>
    <w:rsid w:val="001B2A14"/>
    <w:rsid w:val="001B2A6E"/>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0DC"/>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1A"/>
    <w:rsid w:val="001C394A"/>
    <w:rsid w:val="001C3D04"/>
    <w:rsid w:val="001C3EC5"/>
    <w:rsid w:val="001C4737"/>
    <w:rsid w:val="001C4833"/>
    <w:rsid w:val="001C48DA"/>
    <w:rsid w:val="001C4A99"/>
    <w:rsid w:val="001C528B"/>
    <w:rsid w:val="001C580F"/>
    <w:rsid w:val="001C58C0"/>
    <w:rsid w:val="001C5C8A"/>
    <w:rsid w:val="001C6197"/>
    <w:rsid w:val="001C680C"/>
    <w:rsid w:val="001C68EB"/>
    <w:rsid w:val="001C6B35"/>
    <w:rsid w:val="001C6E36"/>
    <w:rsid w:val="001C6ECF"/>
    <w:rsid w:val="001C7433"/>
    <w:rsid w:val="001C77DB"/>
    <w:rsid w:val="001C78E1"/>
    <w:rsid w:val="001C7BBA"/>
    <w:rsid w:val="001C7C96"/>
    <w:rsid w:val="001C7CF5"/>
    <w:rsid w:val="001C7D9C"/>
    <w:rsid w:val="001D00BA"/>
    <w:rsid w:val="001D0217"/>
    <w:rsid w:val="001D03B9"/>
    <w:rsid w:val="001D0749"/>
    <w:rsid w:val="001D091B"/>
    <w:rsid w:val="001D0AC4"/>
    <w:rsid w:val="001D0D78"/>
    <w:rsid w:val="001D0FB9"/>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505"/>
    <w:rsid w:val="001D670F"/>
    <w:rsid w:val="001D68FE"/>
    <w:rsid w:val="001D6923"/>
    <w:rsid w:val="001D6C21"/>
    <w:rsid w:val="001D6DC1"/>
    <w:rsid w:val="001D6E97"/>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15F"/>
    <w:rsid w:val="001E352F"/>
    <w:rsid w:val="001E3584"/>
    <w:rsid w:val="001E3A51"/>
    <w:rsid w:val="001E3B09"/>
    <w:rsid w:val="001E3B15"/>
    <w:rsid w:val="001E3C0D"/>
    <w:rsid w:val="001E42DA"/>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3C"/>
    <w:rsid w:val="001F6BCF"/>
    <w:rsid w:val="001F6D8B"/>
    <w:rsid w:val="001F6EFE"/>
    <w:rsid w:val="001F7077"/>
    <w:rsid w:val="001F72B2"/>
    <w:rsid w:val="001F746B"/>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1D2"/>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225"/>
    <w:rsid w:val="00220EC6"/>
    <w:rsid w:val="002210AF"/>
    <w:rsid w:val="002212B8"/>
    <w:rsid w:val="002216B1"/>
    <w:rsid w:val="00221B95"/>
    <w:rsid w:val="00221CDB"/>
    <w:rsid w:val="00221CDE"/>
    <w:rsid w:val="00221D83"/>
    <w:rsid w:val="00221FFB"/>
    <w:rsid w:val="0022203A"/>
    <w:rsid w:val="00222570"/>
    <w:rsid w:val="00222764"/>
    <w:rsid w:val="00222AF1"/>
    <w:rsid w:val="00222E0F"/>
    <w:rsid w:val="00223291"/>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53C"/>
    <w:rsid w:val="00231926"/>
    <w:rsid w:val="0023194F"/>
    <w:rsid w:val="002319B1"/>
    <w:rsid w:val="00231DFE"/>
    <w:rsid w:val="00232166"/>
    <w:rsid w:val="00232359"/>
    <w:rsid w:val="00232BAA"/>
    <w:rsid w:val="00232DF2"/>
    <w:rsid w:val="00232E14"/>
    <w:rsid w:val="00232E5E"/>
    <w:rsid w:val="00233197"/>
    <w:rsid w:val="0023356F"/>
    <w:rsid w:val="00233656"/>
    <w:rsid w:val="00233749"/>
    <w:rsid w:val="002338E8"/>
    <w:rsid w:val="00233B5C"/>
    <w:rsid w:val="00233E26"/>
    <w:rsid w:val="00233E5C"/>
    <w:rsid w:val="00233ED8"/>
    <w:rsid w:val="00233FD6"/>
    <w:rsid w:val="002346D9"/>
    <w:rsid w:val="00234B44"/>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3"/>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E14"/>
    <w:rsid w:val="00245F0C"/>
    <w:rsid w:val="00245F73"/>
    <w:rsid w:val="0024613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036"/>
    <w:rsid w:val="00255137"/>
    <w:rsid w:val="0025526A"/>
    <w:rsid w:val="0025544B"/>
    <w:rsid w:val="00255578"/>
    <w:rsid w:val="002556B3"/>
    <w:rsid w:val="002556E1"/>
    <w:rsid w:val="00255A78"/>
    <w:rsid w:val="00255BF8"/>
    <w:rsid w:val="00255C80"/>
    <w:rsid w:val="0025616F"/>
    <w:rsid w:val="002563EC"/>
    <w:rsid w:val="00256412"/>
    <w:rsid w:val="0025664F"/>
    <w:rsid w:val="0025668E"/>
    <w:rsid w:val="002566AB"/>
    <w:rsid w:val="002568E7"/>
    <w:rsid w:val="00256ADD"/>
    <w:rsid w:val="00256BE4"/>
    <w:rsid w:val="00256D78"/>
    <w:rsid w:val="00256F85"/>
    <w:rsid w:val="002571BB"/>
    <w:rsid w:val="002576C5"/>
    <w:rsid w:val="00257B59"/>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D6B"/>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4A"/>
    <w:rsid w:val="00281957"/>
    <w:rsid w:val="0028196C"/>
    <w:rsid w:val="00281B89"/>
    <w:rsid w:val="00281C23"/>
    <w:rsid w:val="00281D74"/>
    <w:rsid w:val="002822DD"/>
    <w:rsid w:val="002829CC"/>
    <w:rsid w:val="00282D50"/>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8AC"/>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8D"/>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AC9"/>
    <w:rsid w:val="00296D2B"/>
    <w:rsid w:val="00296DAE"/>
    <w:rsid w:val="002972E1"/>
    <w:rsid w:val="0029784F"/>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24"/>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4A4"/>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875"/>
    <w:rsid w:val="002B606D"/>
    <w:rsid w:val="002B60CB"/>
    <w:rsid w:val="002B627D"/>
    <w:rsid w:val="002B649E"/>
    <w:rsid w:val="002B64A3"/>
    <w:rsid w:val="002B65C7"/>
    <w:rsid w:val="002B6882"/>
    <w:rsid w:val="002B6B4F"/>
    <w:rsid w:val="002B6C64"/>
    <w:rsid w:val="002B6CFB"/>
    <w:rsid w:val="002B6D3A"/>
    <w:rsid w:val="002B6E97"/>
    <w:rsid w:val="002B765A"/>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987"/>
    <w:rsid w:val="002C7B8E"/>
    <w:rsid w:val="002C7E85"/>
    <w:rsid w:val="002C7F07"/>
    <w:rsid w:val="002C7FA2"/>
    <w:rsid w:val="002D032B"/>
    <w:rsid w:val="002D0428"/>
    <w:rsid w:val="002D0AE3"/>
    <w:rsid w:val="002D0C3B"/>
    <w:rsid w:val="002D0C57"/>
    <w:rsid w:val="002D0CEC"/>
    <w:rsid w:val="002D0E6B"/>
    <w:rsid w:val="002D0F86"/>
    <w:rsid w:val="002D0FE0"/>
    <w:rsid w:val="002D1035"/>
    <w:rsid w:val="002D14B9"/>
    <w:rsid w:val="002D15B2"/>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9CD"/>
    <w:rsid w:val="002E0CBB"/>
    <w:rsid w:val="002E0CDE"/>
    <w:rsid w:val="002E0F16"/>
    <w:rsid w:val="002E0FA2"/>
    <w:rsid w:val="002E13A0"/>
    <w:rsid w:val="002E185A"/>
    <w:rsid w:val="002E1C42"/>
    <w:rsid w:val="002E1E26"/>
    <w:rsid w:val="002E2748"/>
    <w:rsid w:val="002E2A70"/>
    <w:rsid w:val="002E2B77"/>
    <w:rsid w:val="002E3095"/>
    <w:rsid w:val="002E33BF"/>
    <w:rsid w:val="002E37B5"/>
    <w:rsid w:val="002E380E"/>
    <w:rsid w:val="002E3B41"/>
    <w:rsid w:val="002E3DF0"/>
    <w:rsid w:val="002E4608"/>
    <w:rsid w:val="002E4671"/>
    <w:rsid w:val="002E4DCA"/>
    <w:rsid w:val="002E4E82"/>
    <w:rsid w:val="002E4EE2"/>
    <w:rsid w:val="002E5073"/>
    <w:rsid w:val="002E5335"/>
    <w:rsid w:val="002E561C"/>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7E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3"/>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0D7E"/>
    <w:rsid w:val="0031100E"/>
    <w:rsid w:val="00311194"/>
    <w:rsid w:val="0031125F"/>
    <w:rsid w:val="0031136C"/>
    <w:rsid w:val="0031177F"/>
    <w:rsid w:val="00311B7B"/>
    <w:rsid w:val="00311F51"/>
    <w:rsid w:val="003122E8"/>
    <w:rsid w:val="00312635"/>
    <w:rsid w:val="00312B9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453"/>
    <w:rsid w:val="00320682"/>
    <w:rsid w:val="00320862"/>
    <w:rsid w:val="00320881"/>
    <w:rsid w:val="003214CE"/>
    <w:rsid w:val="00321665"/>
    <w:rsid w:val="0032198E"/>
    <w:rsid w:val="00321A5B"/>
    <w:rsid w:val="00321D00"/>
    <w:rsid w:val="00321D56"/>
    <w:rsid w:val="00321F48"/>
    <w:rsid w:val="00321FB7"/>
    <w:rsid w:val="003220B2"/>
    <w:rsid w:val="003220F3"/>
    <w:rsid w:val="0032220B"/>
    <w:rsid w:val="0032238A"/>
    <w:rsid w:val="00322A19"/>
    <w:rsid w:val="00322B6A"/>
    <w:rsid w:val="00322CD0"/>
    <w:rsid w:val="00322ED9"/>
    <w:rsid w:val="00322FA3"/>
    <w:rsid w:val="00323450"/>
    <w:rsid w:val="00323BC5"/>
    <w:rsid w:val="00323BEB"/>
    <w:rsid w:val="00324673"/>
    <w:rsid w:val="00324B9B"/>
    <w:rsid w:val="00324D46"/>
    <w:rsid w:val="00324DE1"/>
    <w:rsid w:val="003250DD"/>
    <w:rsid w:val="003257A7"/>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032"/>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4CE4"/>
    <w:rsid w:val="00355439"/>
    <w:rsid w:val="003555F5"/>
    <w:rsid w:val="00355B3F"/>
    <w:rsid w:val="00356023"/>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24"/>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A5D"/>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ACD"/>
    <w:rsid w:val="00377E52"/>
    <w:rsid w:val="003800DD"/>
    <w:rsid w:val="0038026E"/>
    <w:rsid w:val="0038028B"/>
    <w:rsid w:val="003805D6"/>
    <w:rsid w:val="003806E4"/>
    <w:rsid w:val="00380AC1"/>
    <w:rsid w:val="00380E9B"/>
    <w:rsid w:val="00381015"/>
    <w:rsid w:val="003814F7"/>
    <w:rsid w:val="00381727"/>
    <w:rsid w:val="0038196D"/>
    <w:rsid w:val="00381E30"/>
    <w:rsid w:val="0038251C"/>
    <w:rsid w:val="0038264C"/>
    <w:rsid w:val="00382880"/>
    <w:rsid w:val="00382A18"/>
    <w:rsid w:val="00382AA2"/>
    <w:rsid w:val="00382ABE"/>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7A"/>
    <w:rsid w:val="00384ABB"/>
    <w:rsid w:val="00384AE0"/>
    <w:rsid w:val="00384C20"/>
    <w:rsid w:val="00384E52"/>
    <w:rsid w:val="0038500C"/>
    <w:rsid w:val="00385295"/>
    <w:rsid w:val="0038532C"/>
    <w:rsid w:val="0038556F"/>
    <w:rsid w:val="0038577C"/>
    <w:rsid w:val="0038578E"/>
    <w:rsid w:val="00385CB4"/>
    <w:rsid w:val="00385D1A"/>
    <w:rsid w:val="00385D43"/>
    <w:rsid w:val="00385DBC"/>
    <w:rsid w:val="00385E39"/>
    <w:rsid w:val="0038630D"/>
    <w:rsid w:val="003864AE"/>
    <w:rsid w:val="003865A8"/>
    <w:rsid w:val="003869B3"/>
    <w:rsid w:val="00386A36"/>
    <w:rsid w:val="00386B20"/>
    <w:rsid w:val="00386B7F"/>
    <w:rsid w:val="00386BB5"/>
    <w:rsid w:val="00386D61"/>
    <w:rsid w:val="00386D7C"/>
    <w:rsid w:val="00386F24"/>
    <w:rsid w:val="00386F4D"/>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AB8"/>
    <w:rsid w:val="003A0C86"/>
    <w:rsid w:val="003A0EBC"/>
    <w:rsid w:val="003A193D"/>
    <w:rsid w:val="003A21D7"/>
    <w:rsid w:val="003A24F9"/>
    <w:rsid w:val="003A25B0"/>
    <w:rsid w:val="003A270F"/>
    <w:rsid w:val="003A2A9A"/>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6E0"/>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2FDD"/>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C5A"/>
    <w:rsid w:val="003B7ECE"/>
    <w:rsid w:val="003C00AB"/>
    <w:rsid w:val="003C041C"/>
    <w:rsid w:val="003C0F40"/>
    <w:rsid w:val="003C0F54"/>
    <w:rsid w:val="003C0FEF"/>
    <w:rsid w:val="003C121D"/>
    <w:rsid w:val="003C1658"/>
    <w:rsid w:val="003C1867"/>
    <w:rsid w:val="003C188E"/>
    <w:rsid w:val="003C1937"/>
    <w:rsid w:val="003C1EF3"/>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C7A19"/>
    <w:rsid w:val="003D00D2"/>
    <w:rsid w:val="003D056E"/>
    <w:rsid w:val="003D0A16"/>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A0C"/>
    <w:rsid w:val="003D3E70"/>
    <w:rsid w:val="003D41F2"/>
    <w:rsid w:val="003D4937"/>
    <w:rsid w:val="003D4B9D"/>
    <w:rsid w:val="003D4E2B"/>
    <w:rsid w:val="003D4F92"/>
    <w:rsid w:val="003D574C"/>
    <w:rsid w:val="003D576D"/>
    <w:rsid w:val="003D5BED"/>
    <w:rsid w:val="003D5CD5"/>
    <w:rsid w:val="003D5D4F"/>
    <w:rsid w:val="003D5E33"/>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29E"/>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D"/>
    <w:rsid w:val="003F01F6"/>
    <w:rsid w:val="003F020C"/>
    <w:rsid w:val="003F033C"/>
    <w:rsid w:val="003F03C4"/>
    <w:rsid w:val="003F04C5"/>
    <w:rsid w:val="003F066F"/>
    <w:rsid w:val="003F07C3"/>
    <w:rsid w:val="003F0C9B"/>
    <w:rsid w:val="003F110B"/>
    <w:rsid w:val="003F1299"/>
    <w:rsid w:val="003F1C0F"/>
    <w:rsid w:val="003F1DD9"/>
    <w:rsid w:val="003F1F1D"/>
    <w:rsid w:val="003F2A8C"/>
    <w:rsid w:val="003F2CEF"/>
    <w:rsid w:val="003F2DEE"/>
    <w:rsid w:val="003F307C"/>
    <w:rsid w:val="003F30FE"/>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384"/>
    <w:rsid w:val="004034C1"/>
    <w:rsid w:val="004034E5"/>
    <w:rsid w:val="00403504"/>
    <w:rsid w:val="00403633"/>
    <w:rsid w:val="004036C5"/>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07E5D"/>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3DE"/>
    <w:rsid w:val="004134C0"/>
    <w:rsid w:val="00413C08"/>
    <w:rsid w:val="00413FFE"/>
    <w:rsid w:val="0041408B"/>
    <w:rsid w:val="00414299"/>
    <w:rsid w:val="004145B4"/>
    <w:rsid w:val="00414967"/>
    <w:rsid w:val="00414A53"/>
    <w:rsid w:val="00414B5B"/>
    <w:rsid w:val="00414C19"/>
    <w:rsid w:val="00414CAD"/>
    <w:rsid w:val="004150F4"/>
    <w:rsid w:val="004157DC"/>
    <w:rsid w:val="00415BC5"/>
    <w:rsid w:val="00415C7B"/>
    <w:rsid w:val="00415DB8"/>
    <w:rsid w:val="00415EE3"/>
    <w:rsid w:val="00415F40"/>
    <w:rsid w:val="0041604E"/>
    <w:rsid w:val="004161DD"/>
    <w:rsid w:val="00416341"/>
    <w:rsid w:val="00416790"/>
    <w:rsid w:val="00416AB8"/>
    <w:rsid w:val="00416D2F"/>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11"/>
    <w:rsid w:val="00424B6C"/>
    <w:rsid w:val="00424BC8"/>
    <w:rsid w:val="00424C9B"/>
    <w:rsid w:val="00424E78"/>
    <w:rsid w:val="00424F79"/>
    <w:rsid w:val="0042523D"/>
    <w:rsid w:val="0042527E"/>
    <w:rsid w:val="004252FB"/>
    <w:rsid w:val="00425683"/>
    <w:rsid w:val="00425907"/>
    <w:rsid w:val="00425987"/>
    <w:rsid w:val="00425A69"/>
    <w:rsid w:val="00425B72"/>
    <w:rsid w:val="00425CCF"/>
    <w:rsid w:val="00425E08"/>
    <w:rsid w:val="00425F1B"/>
    <w:rsid w:val="004260FD"/>
    <w:rsid w:val="004266A3"/>
    <w:rsid w:val="004266B1"/>
    <w:rsid w:val="00427696"/>
    <w:rsid w:val="00427865"/>
    <w:rsid w:val="00427876"/>
    <w:rsid w:val="004278E6"/>
    <w:rsid w:val="00430012"/>
    <w:rsid w:val="004302B7"/>
    <w:rsid w:val="004303B3"/>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3CB7"/>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1DB"/>
    <w:rsid w:val="00442386"/>
    <w:rsid w:val="0044251E"/>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0D8A"/>
    <w:rsid w:val="004512E4"/>
    <w:rsid w:val="004516D6"/>
    <w:rsid w:val="004516F2"/>
    <w:rsid w:val="0045193A"/>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EA2"/>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A63"/>
    <w:rsid w:val="00467B7D"/>
    <w:rsid w:val="00467CFF"/>
    <w:rsid w:val="00467E58"/>
    <w:rsid w:val="00467FAA"/>
    <w:rsid w:val="00467FFC"/>
    <w:rsid w:val="00470031"/>
    <w:rsid w:val="004700AF"/>
    <w:rsid w:val="0047030E"/>
    <w:rsid w:val="0047041D"/>
    <w:rsid w:val="004704A3"/>
    <w:rsid w:val="004707D6"/>
    <w:rsid w:val="00470B1D"/>
    <w:rsid w:val="00470D18"/>
    <w:rsid w:val="00470F57"/>
    <w:rsid w:val="0047102C"/>
    <w:rsid w:val="004710D2"/>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535"/>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953"/>
    <w:rsid w:val="00484A58"/>
    <w:rsid w:val="004852F4"/>
    <w:rsid w:val="0048552D"/>
    <w:rsid w:val="004855D7"/>
    <w:rsid w:val="0048585C"/>
    <w:rsid w:val="00485CDE"/>
    <w:rsid w:val="00485D08"/>
    <w:rsid w:val="00485FCD"/>
    <w:rsid w:val="0048641F"/>
    <w:rsid w:val="00486603"/>
    <w:rsid w:val="00486817"/>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589"/>
    <w:rsid w:val="00494683"/>
    <w:rsid w:val="004946F6"/>
    <w:rsid w:val="004949AD"/>
    <w:rsid w:val="00494C09"/>
    <w:rsid w:val="00494E20"/>
    <w:rsid w:val="00494F19"/>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B7F"/>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55"/>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77"/>
    <w:rsid w:val="004C3089"/>
    <w:rsid w:val="004C349B"/>
    <w:rsid w:val="004C34ED"/>
    <w:rsid w:val="004C35D2"/>
    <w:rsid w:val="004C3944"/>
    <w:rsid w:val="004C394D"/>
    <w:rsid w:val="004C39B3"/>
    <w:rsid w:val="004C3B48"/>
    <w:rsid w:val="004C3BE1"/>
    <w:rsid w:val="004C3D8F"/>
    <w:rsid w:val="004C44E0"/>
    <w:rsid w:val="004C44E5"/>
    <w:rsid w:val="004C4550"/>
    <w:rsid w:val="004C4814"/>
    <w:rsid w:val="004C48EC"/>
    <w:rsid w:val="004C4A8E"/>
    <w:rsid w:val="004C4B4E"/>
    <w:rsid w:val="004C4C7D"/>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DF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7AF"/>
    <w:rsid w:val="004E0DAB"/>
    <w:rsid w:val="004E0E58"/>
    <w:rsid w:val="004E0E80"/>
    <w:rsid w:val="004E0E9C"/>
    <w:rsid w:val="004E1294"/>
    <w:rsid w:val="004E140F"/>
    <w:rsid w:val="004E1447"/>
    <w:rsid w:val="004E18DF"/>
    <w:rsid w:val="004E1905"/>
    <w:rsid w:val="004E1992"/>
    <w:rsid w:val="004E1FDF"/>
    <w:rsid w:val="004E2138"/>
    <w:rsid w:val="004E21C6"/>
    <w:rsid w:val="004E22A4"/>
    <w:rsid w:val="004E2726"/>
    <w:rsid w:val="004E281C"/>
    <w:rsid w:val="004E283A"/>
    <w:rsid w:val="004E28FB"/>
    <w:rsid w:val="004E2A17"/>
    <w:rsid w:val="004E2ADF"/>
    <w:rsid w:val="004E2CE5"/>
    <w:rsid w:val="004E2E35"/>
    <w:rsid w:val="004E3543"/>
    <w:rsid w:val="004E366E"/>
    <w:rsid w:val="004E39FA"/>
    <w:rsid w:val="004E3AE0"/>
    <w:rsid w:val="004E3C70"/>
    <w:rsid w:val="004E3EFB"/>
    <w:rsid w:val="004E4161"/>
    <w:rsid w:val="004E438B"/>
    <w:rsid w:val="004E443C"/>
    <w:rsid w:val="004E44E9"/>
    <w:rsid w:val="004E451A"/>
    <w:rsid w:val="004E476F"/>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E88"/>
    <w:rsid w:val="004E7FA9"/>
    <w:rsid w:val="004F0057"/>
    <w:rsid w:val="004F0144"/>
    <w:rsid w:val="004F01C3"/>
    <w:rsid w:val="004F01DD"/>
    <w:rsid w:val="004F02CE"/>
    <w:rsid w:val="004F0776"/>
    <w:rsid w:val="004F0C08"/>
    <w:rsid w:val="004F0D65"/>
    <w:rsid w:val="004F0D81"/>
    <w:rsid w:val="004F10BF"/>
    <w:rsid w:val="004F14DE"/>
    <w:rsid w:val="004F1AC2"/>
    <w:rsid w:val="004F1FAC"/>
    <w:rsid w:val="004F1FBB"/>
    <w:rsid w:val="004F1FE4"/>
    <w:rsid w:val="004F212A"/>
    <w:rsid w:val="004F217D"/>
    <w:rsid w:val="004F2426"/>
    <w:rsid w:val="004F2D15"/>
    <w:rsid w:val="004F3127"/>
    <w:rsid w:val="004F313B"/>
    <w:rsid w:val="004F327C"/>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7BD"/>
    <w:rsid w:val="00501B32"/>
    <w:rsid w:val="00501B3C"/>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17F9D"/>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1D6"/>
    <w:rsid w:val="0052349A"/>
    <w:rsid w:val="005235CB"/>
    <w:rsid w:val="005236AB"/>
    <w:rsid w:val="005237B8"/>
    <w:rsid w:val="005237BA"/>
    <w:rsid w:val="00523843"/>
    <w:rsid w:val="00523A83"/>
    <w:rsid w:val="00523AEC"/>
    <w:rsid w:val="00523D4E"/>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CAC"/>
    <w:rsid w:val="00531062"/>
    <w:rsid w:val="00531595"/>
    <w:rsid w:val="00531B26"/>
    <w:rsid w:val="00531F5D"/>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0E4"/>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6DD0"/>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E34"/>
    <w:rsid w:val="00540F30"/>
    <w:rsid w:val="00540F4B"/>
    <w:rsid w:val="0054144C"/>
    <w:rsid w:val="00541B3F"/>
    <w:rsid w:val="00541CB8"/>
    <w:rsid w:val="005427AE"/>
    <w:rsid w:val="005427D7"/>
    <w:rsid w:val="005428BB"/>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11"/>
    <w:rsid w:val="005508DC"/>
    <w:rsid w:val="00550BFF"/>
    <w:rsid w:val="00550CF4"/>
    <w:rsid w:val="00550DB7"/>
    <w:rsid w:val="00550F07"/>
    <w:rsid w:val="00550FC4"/>
    <w:rsid w:val="00551288"/>
    <w:rsid w:val="005513E0"/>
    <w:rsid w:val="005514EE"/>
    <w:rsid w:val="005516B2"/>
    <w:rsid w:val="0055194B"/>
    <w:rsid w:val="00551A60"/>
    <w:rsid w:val="00551B63"/>
    <w:rsid w:val="00551FED"/>
    <w:rsid w:val="005520B4"/>
    <w:rsid w:val="00552C21"/>
    <w:rsid w:val="00552DB9"/>
    <w:rsid w:val="00552E5E"/>
    <w:rsid w:val="00553081"/>
    <w:rsid w:val="005535AA"/>
    <w:rsid w:val="005535C2"/>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224"/>
    <w:rsid w:val="005623E8"/>
    <w:rsid w:val="00562537"/>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BC4"/>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552"/>
    <w:rsid w:val="00573647"/>
    <w:rsid w:val="00573903"/>
    <w:rsid w:val="005739D7"/>
    <w:rsid w:val="00573B1A"/>
    <w:rsid w:val="00573D33"/>
    <w:rsid w:val="00573DC5"/>
    <w:rsid w:val="00574223"/>
    <w:rsid w:val="0057498C"/>
    <w:rsid w:val="00574D66"/>
    <w:rsid w:val="00574E2E"/>
    <w:rsid w:val="00575284"/>
    <w:rsid w:val="00575397"/>
    <w:rsid w:val="0057546D"/>
    <w:rsid w:val="0057554A"/>
    <w:rsid w:val="00575822"/>
    <w:rsid w:val="00575973"/>
    <w:rsid w:val="00575DBA"/>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48D"/>
    <w:rsid w:val="0058255F"/>
    <w:rsid w:val="00582915"/>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1D4"/>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061"/>
    <w:rsid w:val="005961F8"/>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609"/>
    <w:rsid w:val="005A4977"/>
    <w:rsid w:val="005A4A3A"/>
    <w:rsid w:val="005A4ECB"/>
    <w:rsid w:val="005A5135"/>
    <w:rsid w:val="005A54D4"/>
    <w:rsid w:val="005A5968"/>
    <w:rsid w:val="005A5B14"/>
    <w:rsid w:val="005A5B44"/>
    <w:rsid w:val="005A5BDE"/>
    <w:rsid w:val="005A602F"/>
    <w:rsid w:val="005A60E0"/>
    <w:rsid w:val="005A633C"/>
    <w:rsid w:val="005A6889"/>
    <w:rsid w:val="005A6BF6"/>
    <w:rsid w:val="005A6E15"/>
    <w:rsid w:val="005A6E9C"/>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A0"/>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82"/>
    <w:rsid w:val="005C28BB"/>
    <w:rsid w:val="005C2956"/>
    <w:rsid w:val="005C2DD4"/>
    <w:rsid w:val="005C2E02"/>
    <w:rsid w:val="005C2E7C"/>
    <w:rsid w:val="005C2F04"/>
    <w:rsid w:val="005C3288"/>
    <w:rsid w:val="005C3317"/>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A55"/>
    <w:rsid w:val="005E1BEE"/>
    <w:rsid w:val="005E1E55"/>
    <w:rsid w:val="005E2005"/>
    <w:rsid w:val="005E224F"/>
    <w:rsid w:val="005E2460"/>
    <w:rsid w:val="005E262C"/>
    <w:rsid w:val="005E2A6D"/>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18E"/>
    <w:rsid w:val="005F0231"/>
    <w:rsid w:val="005F02B2"/>
    <w:rsid w:val="005F0691"/>
    <w:rsid w:val="005F09F5"/>
    <w:rsid w:val="005F0A4B"/>
    <w:rsid w:val="005F0A74"/>
    <w:rsid w:val="005F0BF7"/>
    <w:rsid w:val="005F1311"/>
    <w:rsid w:val="005F14F7"/>
    <w:rsid w:val="005F1558"/>
    <w:rsid w:val="005F188D"/>
    <w:rsid w:val="005F1D8D"/>
    <w:rsid w:val="005F2107"/>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D38"/>
    <w:rsid w:val="005F4EA7"/>
    <w:rsid w:val="005F502B"/>
    <w:rsid w:val="005F5040"/>
    <w:rsid w:val="005F51F2"/>
    <w:rsid w:val="005F520D"/>
    <w:rsid w:val="005F5249"/>
    <w:rsid w:val="005F52DD"/>
    <w:rsid w:val="005F54FF"/>
    <w:rsid w:val="005F56AE"/>
    <w:rsid w:val="005F5978"/>
    <w:rsid w:val="005F5CB9"/>
    <w:rsid w:val="005F5E35"/>
    <w:rsid w:val="005F61FC"/>
    <w:rsid w:val="005F6447"/>
    <w:rsid w:val="005F645F"/>
    <w:rsid w:val="005F64CD"/>
    <w:rsid w:val="005F653A"/>
    <w:rsid w:val="005F6615"/>
    <w:rsid w:val="005F68A0"/>
    <w:rsid w:val="005F69B7"/>
    <w:rsid w:val="005F6AC0"/>
    <w:rsid w:val="005F6BFF"/>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9D1"/>
    <w:rsid w:val="00606BA1"/>
    <w:rsid w:val="00606C4D"/>
    <w:rsid w:val="00606D98"/>
    <w:rsid w:val="00606FA7"/>
    <w:rsid w:val="0060719F"/>
    <w:rsid w:val="0060722B"/>
    <w:rsid w:val="006076E6"/>
    <w:rsid w:val="00607856"/>
    <w:rsid w:val="006079D1"/>
    <w:rsid w:val="00607B19"/>
    <w:rsid w:val="00607BD8"/>
    <w:rsid w:val="00607C4F"/>
    <w:rsid w:val="00607CC4"/>
    <w:rsid w:val="00607DA0"/>
    <w:rsid w:val="00610168"/>
    <w:rsid w:val="006101F7"/>
    <w:rsid w:val="0061038F"/>
    <w:rsid w:val="00610465"/>
    <w:rsid w:val="00610479"/>
    <w:rsid w:val="00610764"/>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2E7B"/>
    <w:rsid w:val="0061317B"/>
    <w:rsid w:val="006131C5"/>
    <w:rsid w:val="00613534"/>
    <w:rsid w:val="0061373D"/>
    <w:rsid w:val="0061388C"/>
    <w:rsid w:val="006139BA"/>
    <w:rsid w:val="00613A9B"/>
    <w:rsid w:val="00613B66"/>
    <w:rsid w:val="00613CCA"/>
    <w:rsid w:val="00614424"/>
    <w:rsid w:val="006146E4"/>
    <w:rsid w:val="006148CD"/>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27A"/>
    <w:rsid w:val="0062190D"/>
    <w:rsid w:val="006219AD"/>
    <w:rsid w:val="00621B7A"/>
    <w:rsid w:val="00621C4D"/>
    <w:rsid w:val="00621C61"/>
    <w:rsid w:val="00621D64"/>
    <w:rsid w:val="00621E7D"/>
    <w:rsid w:val="00622278"/>
    <w:rsid w:val="0062254B"/>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13"/>
    <w:rsid w:val="00630A60"/>
    <w:rsid w:val="00630EB3"/>
    <w:rsid w:val="006312D6"/>
    <w:rsid w:val="00631344"/>
    <w:rsid w:val="0063139E"/>
    <w:rsid w:val="006314DF"/>
    <w:rsid w:val="00631605"/>
    <w:rsid w:val="0063176C"/>
    <w:rsid w:val="00631A71"/>
    <w:rsid w:val="00631DA7"/>
    <w:rsid w:val="00631E62"/>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336"/>
    <w:rsid w:val="00636542"/>
    <w:rsid w:val="006366DB"/>
    <w:rsid w:val="00636717"/>
    <w:rsid w:val="00636C84"/>
    <w:rsid w:val="00636CAE"/>
    <w:rsid w:val="00636DF1"/>
    <w:rsid w:val="00636E73"/>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605"/>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457"/>
    <w:rsid w:val="00645512"/>
    <w:rsid w:val="006457C8"/>
    <w:rsid w:val="00645D23"/>
    <w:rsid w:val="00645EBF"/>
    <w:rsid w:val="00646231"/>
    <w:rsid w:val="00646235"/>
    <w:rsid w:val="00646259"/>
    <w:rsid w:val="0064625A"/>
    <w:rsid w:val="0064670F"/>
    <w:rsid w:val="006469BA"/>
    <w:rsid w:val="00646E88"/>
    <w:rsid w:val="00646EE8"/>
    <w:rsid w:val="00646F62"/>
    <w:rsid w:val="00646FE0"/>
    <w:rsid w:val="0064706F"/>
    <w:rsid w:val="0064732A"/>
    <w:rsid w:val="006474B3"/>
    <w:rsid w:val="006474F2"/>
    <w:rsid w:val="006475CC"/>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95A"/>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38"/>
    <w:rsid w:val="00660E89"/>
    <w:rsid w:val="00660EFE"/>
    <w:rsid w:val="006619C8"/>
    <w:rsid w:val="00661BC4"/>
    <w:rsid w:val="00661DD0"/>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103"/>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7C2"/>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8DE"/>
    <w:rsid w:val="00676904"/>
    <w:rsid w:val="0067695B"/>
    <w:rsid w:val="00677523"/>
    <w:rsid w:val="00677604"/>
    <w:rsid w:val="00677861"/>
    <w:rsid w:val="0067798F"/>
    <w:rsid w:val="00677AD6"/>
    <w:rsid w:val="006800E7"/>
    <w:rsid w:val="00680197"/>
    <w:rsid w:val="006804C4"/>
    <w:rsid w:val="00680500"/>
    <w:rsid w:val="006806CA"/>
    <w:rsid w:val="00680D30"/>
    <w:rsid w:val="00680ED3"/>
    <w:rsid w:val="00680F0D"/>
    <w:rsid w:val="00680F69"/>
    <w:rsid w:val="00681293"/>
    <w:rsid w:val="006816AC"/>
    <w:rsid w:val="00681933"/>
    <w:rsid w:val="0068194A"/>
    <w:rsid w:val="00681A7A"/>
    <w:rsid w:val="00681C42"/>
    <w:rsid w:val="00681D47"/>
    <w:rsid w:val="00681EF1"/>
    <w:rsid w:val="006825F9"/>
    <w:rsid w:val="00682847"/>
    <w:rsid w:val="006829C2"/>
    <w:rsid w:val="00682A2B"/>
    <w:rsid w:val="00682ECE"/>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51A5"/>
    <w:rsid w:val="006851A7"/>
    <w:rsid w:val="00685266"/>
    <w:rsid w:val="00685571"/>
    <w:rsid w:val="00685698"/>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864"/>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B47"/>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B63"/>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88F"/>
    <w:rsid w:val="006A7DBE"/>
    <w:rsid w:val="006A7F52"/>
    <w:rsid w:val="006A7FF0"/>
    <w:rsid w:val="006B0129"/>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1BB"/>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1F89"/>
    <w:rsid w:val="006C1FFF"/>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B7"/>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324"/>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3C2"/>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2F8C"/>
    <w:rsid w:val="006F344B"/>
    <w:rsid w:val="006F357D"/>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29"/>
    <w:rsid w:val="00706B40"/>
    <w:rsid w:val="00706C5A"/>
    <w:rsid w:val="00706C63"/>
    <w:rsid w:val="00706FC4"/>
    <w:rsid w:val="007073B1"/>
    <w:rsid w:val="0070768C"/>
    <w:rsid w:val="007076E6"/>
    <w:rsid w:val="00707BC0"/>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4D4E"/>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E0"/>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EF0"/>
    <w:rsid w:val="00723F44"/>
    <w:rsid w:val="00724316"/>
    <w:rsid w:val="007249C7"/>
    <w:rsid w:val="00724CC7"/>
    <w:rsid w:val="00724DE0"/>
    <w:rsid w:val="00724F53"/>
    <w:rsid w:val="007250E5"/>
    <w:rsid w:val="00725157"/>
    <w:rsid w:val="00725267"/>
    <w:rsid w:val="007254F6"/>
    <w:rsid w:val="00725838"/>
    <w:rsid w:val="00725D0B"/>
    <w:rsid w:val="00725E6B"/>
    <w:rsid w:val="007262BD"/>
    <w:rsid w:val="00726333"/>
    <w:rsid w:val="00726414"/>
    <w:rsid w:val="007265FA"/>
    <w:rsid w:val="00726997"/>
    <w:rsid w:val="00726A2C"/>
    <w:rsid w:val="00726F50"/>
    <w:rsid w:val="00726FA4"/>
    <w:rsid w:val="007276BE"/>
    <w:rsid w:val="00727856"/>
    <w:rsid w:val="00727AD4"/>
    <w:rsid w:val="00727BD2"/>
    <w:rsid w:val="00727F76"/>
    <w:rsid w:val="00730269"/>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C7"/>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5F4"/>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D8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366"/>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3F"/>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A6D"/>
    <w:rsid w:val="00766F38"/>
    <w:rsid w:val="00767400"/>
    <w:rsid w:val="007675D8"/>
    <w:rsid w:val="0076768E"/>
    <w:rsid w:val="007676E5"/>
    <w:rsid w:val="00767700"/>
    <w:rsid w:val="0076771A"/>
    <w:rsid w:val="00767D35"/>
    <w:rsid w:val="00767D4F"/>
    <w:rsid w:val="00767E15"/>
    <w:rsid w:val="00767FD9"/>
    <w:rsid w:val="007700F8"/>
    <w:rsid w:val="007703E0"/>
    <w:rsid w:val="00770553"/>
    <w:rsid w:val="00770D59"/>
    <w:rsid w:val="00770D71"/>
    <w:rsid w:val="007713FB"/>
    <w:rsid w:val="00771693"/>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3C8"/>
    <w:rsid w:val="00775874"/>
    <w:rsid w:val="00775886"/>
    <w:rsid w:val="00775934"/>
    <w:rsid w:val="00775974"/>
    <w:rsid w:val="00775CBC"/>
    <w:rsid w:val="00775F0A"/>
    <w:rsid w:val="00776165"/>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513"/>
    <w:rsid w:val="0078476D"/>
    <w:rsid w:val="007847CD"/>
    <w:rsid w:val="00784840"/>
    <w:rsid w:val="00784C02"/>
    <w:rsid w:val="00784C1B"/>
    <w:rsid w:val="00784D76"/>
    <w:rsid w:val="00784E22"/>
    <w:rsid w:val="00784FC2"/>
    <w:rsid w:val="007852E8"/>
    <w:rsid w:val="00785562"/>
    <w:rsid w:val="00785A27"/>
    <w:rsid w:val="00785F6D"/>
    <w:rsid w:val="0078660B"/>
    <w:rsid w:val="00786A73"/>
    <w:rsid w:val="00786ACC"/>
    <w:rsid w:val="00786B12"/>
    <w:rsid w:val="00786CE9"/>
    <w:rsid w:val="00786D0E"/>
    <w:rsid w:val="00786D77"/>
    <w:rsid w:val="00787634"/>
    <w:rsid w:val="0078771B"/>
    <w:rsid w:val="00787778"/>
    <w:rsid w:val="0078784E"/>
    <w:rsid w:val="00787999"/>
    <w:rsid w:val="00787FCB"/>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2FC"/>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2EF"/>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B94"/>
    <w:rsid w:val="007A6ED6"/>
    <w:rsid w:val="007A71D7"/>
    <w:rsid w:val="007A7356"/>
    <w:rsid w:val="007A7600"/>
    <w:rsid w:val="007A7960"/>
    <w:rsid w:val="007B0002"/>
    <w:rsid w:val="007B017D"/>
    <w:rsid w:val="007B01AF"/>
    <w:rsid w:val="007B05C1"/>
    <w:rsid w:val="007B075C"/>
    <w:rsid w:val="007B083D"/>
    <w:rsid w:val="007B09B4"/>
    <w:rsid w:val="007B09D1"/>
    <w:rsid w:val="007B1265"/>
    <w:rsid w:val="007B14A0"/>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BCD"/>
    <w:rsid w:val="007B6C4C"/>
    <w:rsid w:val="007B6F26"/>
    <w:rsid w:val="007B7279"/>
    <w:rsid w:val="007B7837"/>
    <w:rsid w:val="007B7A69"/>
    <w:rsid w:val="007B7DF3"/>
    <w:rsid w:val="007B7E46"/>
    <w:rsid w:val="007B7ED7"/>
    <w:rsid w:val="007B7F1B"/>
    <w:rsid w:val="007C05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63C"/>
    <w:rsid w:val="007C46BA"/>
    <w:rsid w:val="007C4ABD"/>
    <w:rsid w:val="007C4B44"/>
    <w:rsid w:val="007C5273"/>
    <w:rsid w:val="007C5886"/>
    <w:rsid w:val="007C59EB"/>
    <w:rsid w:val="007C5A14"/>
    <w:rsid w:val="007C5C83"/>
    <w:rsid w:val="007C5D8A"/>
    <w:rsid w:val="007C6321"/>
    <w:rsid w:val="007C64EA"/>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995"/>
    <w:rsid w:val="007D1A42"/>
    <w:rsid w:val="007D1A5A"/>
    <w:rsid w:val="007D1AFC"/>
    <w:rsid w:val="007D1DE9"/>
    <w:rsid w:val="007D221D"/>
    <w:rsid w:val="007D269C"/>
    <w:rsid w:val="007D26D0"/>
    <w:rsid w:val="007D2B58"/>
    <w:rsid w:val="007D2B94"/>
    <w:rsid w:val="007D2CAF"/>
    <w:rsid w:val="007D31A0"/>
    <w:rsid w:val="007D34B9"/>
    <w:rsid w:val="007D35B2"/>
    <w:rsid w:val="007D38E8"/>
    <w:rsid w:val="007D3AEC"/>
    <w:rsid w:val="007D3BA8"/>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7E3"/>
    <w:rsid w:val="007F190C"/>
    <w:rsid w:val="007F19AA"/>
    <w:rsid w:val="007F2272"/>
    <w:rsid w:val="007F2306"/>
    <w:rsid w:val="007F26DB"/>
    <w:rsid w:val="007F2BFA"/>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758"/>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30A"/>
    <w:rsid w:val="00812AF2"/>
    <w:rsid w:val="00812CDD"/>
    <w:rsid w:val="00812D5C"/>
    <w:rsid w:val="00812E06"/>
    <w:rsid w:val="00813274"/>
    <w:rsid w:val="00813288"/>
    <w:rsid w:val="00813315"/>
    <w:rsid w:val="008133B2"/>
    <w:rsid w:val="008134F2"/>
    <w:rsid w:val="008136B2"/>
    <w:rsid w:val="00813804"/>
    <w:rsid w:val="00813855"/>
    <w:rsid w:val="00813888"/>
    <w:rsid w:val="00813B5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8F4"/>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9A"/>
    <w:rsid w:val="008242B4"/>
    <w:rsid w:val="008245F9"/>
    <w:rsid w:val="00824671"/>
    <w:rsid w:val="008246B9"/>
    <w:rsid w:val="00824A4A"/>
    <w:rsid w:val="00824AF1"/>
    <w:rsid w:val="00824BE7"/>
    <w:rsid w:val="00824D37"/>
    <w:rsid w:val="00824D4D"/>
    <w:rsid w:val="00824E2F"/>
    <w:rsid w:val="00824E46"/>
    <w:rsid w:val="00824E90"/>
    <w:rsid w:val="00825189"/>
    <w:rsid w:val="0082519E"/>
    <w:rsid w:val="008252D3"/>
    <w:rsid w:val="00825335"/>
    <w:rsid w:val="008253A1"/>
    <w:rsid w:val="008255D5"/>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74"/>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974"/>
    <w:rsid w:val="00832DA5"/>
    <w:rsid w:val="008331E9"/>
    <w:rsid w:val="008332FE"/>
    <w:rsid w:val="0083341C"/>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08"/>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948"/>
    <w:rsid w:val="00854AC2"/>
    <w:rsid w:val="00854BC0"/>
    <w:rsid w:val="00854C05"/>
    <w:rsid w:val="008558EF"/>
    <w:rsid w:val="008559A4"/>
    <w:rsid w:val="008559FD"/>
    <w:rsid w:val="00855A3E"/>
    <w:rsid w:val="00855C66"/>
    <w:rsid w:val="00855D46"/>
    <w:rsid w:val="008560CE"/>
    <w:rsid w:val="008561F9"/>
    <w:rsid w:val="00856992"/>
    <w:rsid w:val="00856A09"/>
    <w:rsid w:val="00856AA3"/>
    <w:rsid w:val="008577F2"/>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BCC"/>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C2A"/>
    <w:rsid w:val="00881FA5"/>
    <w:rsid w:val="008821CA"/>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750"/>
    <w:rsid w:val="00885D54"/>
    <w:rsid w:val="00885E17"/>
    <w:rsid w:val="008863A6"/>
    <w:rsid w:val="008865E3"/>
    <w:rsid w:val="008865F9"/>
    <w:rsid w:val="008866E0"/>
    <w:rsid w:val="008869F7"/>
    <w:rsid w:val="00886F5E"/>
    <w:rsid w:val="008872C2"/>
    <w:rsid w:val="008872C6"/>
    <w:rsid w:val="00887CAB"/>
    <w:rsid w:val="0089021A"/>
    <w:rsid w:val="008902C1"/>
    <w:rsid w:val="00890481"/>
    <w:rsid w:val="00890B56"/>
    <w:rsid w:val="00890BC3"/>
    <w:rsid w:val="00890ED1"/>
    <w:rsid w:val="00891182"/>
    <w:rsid w:val="008911CD"/>
    <w:rsid w:val="00891206"/>
    <w:rsid w:val="0089174D"/>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6FA4"/>
    <w:rsid w:val="00897A0E"/>
    <w:rsid w:val="00897ED1"/>
    <w:rsid w:val="00897F20"/>
    <w:rsid w:val="008A0453"/>
    <w:rsid w:val="008A061D"/>
    <w:rsid w:val="008A07CE"/>
    <w:rsid w:val="008A07F0"/>
    <w:rsid w:val="008A0AEF"/>
    <w:rsid w:val="008A0C6F"/>
    <w:rsid w:val="008A0CD8"/>
    <w:rsid w:val="008A1392"/>
    <w:rsid w:val="008A1609"/>
    <w:rsid w:val="008A18B1"/>
    <w:rsid w:val="008A1BAA"/>
    <w:rsid w:val="008A1BC1"/>
    <w:rsid w:val="008A1E72"/>
    <w:rsid w:val="008A2413"/>
    <w:rsid w:val="008A25A6"/>
    <w:rsid w:val="008A2904"/>
    <w:rsid w:val="008A291F"/>
    <w:rsid w:val="008A2DFE"/>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0F29"/>
    <w:rsid w:val="008B1089"/>
    <w:rsid w:val="008B1146"/>
    <w:rsid w:val="008B114F"/>
    <w:rsid w:val="008B1150"/>
    <w:rsid w:val="008B1161"/>
    <w:rsid w:val="008B1293"/>
    <w:rsid w:val="008B13DE"/>
    <w:rsid w:val="008B13E7"/>
    <w:rsid w:val="008B1813"/>
    <w:rsid w:val="008B1870"/>
    <w:rsid w:val="008B21B6"/>
    <w:rsid w:val="008B2236"/>
    <w:rsid w:val="008B226B"/>
    <w:rsid w:val="008B22DB"/>
    <w:rsid w:val="008B297A"/>
    <w:rsid w:val="008B2FAB"/>
    <w:rsid w:val="008B31D5"/>
    <w:rsid w:val="008B3498"/>
    <w:rsid w:val="008B3682"/>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8E7"/>
    <w:rsid w:val="008B5E20"/>
    <w:rsid w:val="008B615E"/>
    <w:rsid w:val="008B63D6"/>
    <w:rsid w:val="008B67BC"/>
    <w:rsid w:val="008B6E48"/>
    <w:rsid w:val="008B6FC0"/>
    <w:rsid w:val="008B7102"/>
    <w:rsid w:val="008B723D"/>
    <w:rsid w:val="008B7678"/>
    <w:rsid w:val="008B76CC"/>
    <w:rsid w:val="008B76EE"/>
    <w:rsid w:val="008B7721"/>
    <w:rsid w:val="008B77E9"/>
    <w:rsid w:val="008B781A"/>
    <w:rsid w:val="008B7CB2"/>
    <w:rsid w:val="008C0597"/>
    <w:rsid w:val="008C081E"/>
    <w:rsid w:val="008C0BCD"/>
    <w:rsid w:val="008C0E6B"/>
    <w:rsid w:val="008C0E7D"/>
    <w:rsid w:val="008C1B54"/>
    <w:rsid w:val="008C23C8"/>
    <w:rsid w:val="008C23C9"/>
    <w:rsid w:val="008C24CB"/>
    <w:rsid w:val="008C2B39"/>
    <w:rsid w:val="008C2C78"/>
    <w:rsid w:val="008C2E28"/>
    <w:rsid w:val="008C2FA9"/>
    <w:rsid w:val="008C30E7"/>
    <w:rsid w:val="008C310E"/>
    <w:rsid w:val="008C32A9"/>
    <w:rsid w:val="008C33E6"/>
    <w:rsid w:val="008C363C"/>
    <w:rsid w:val="008C37DA"/>
    <w:rsid w:val="008C3A88"/>
    <w:rsid w:val="008C3B2E"/>
    <w:rsid w:val="008C3B37"/>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19C"/>
    <w:rsid w:val="008D052F"/>
    <w:rsid w:val="008D06AC"/>
    <w:rsid w:val="008D06CF"/>
    <w:rsid w:val="008D0782"/>
    <w:rsid w:val="008D0833"/>
    <w:rsid w:val="008D088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3EB"/>
    <w:rsid w:val="008D394B"/>
    <w:rsid w:val="008D3AC8"/>
    <w:rsid w:val="008D4528"/>
    <w:rsid w:val="008D48E9"/>
    <w:rsid w:val="008D4E81"/>
    <w:rsid w:val="008D4F44"/>
    <w:rsid w:val="008D5053"/>
    <w:rsid w:val="008D51EC"/>
    <w:rsid w:val="008D5326"/>
    <w:rsid w:val="008D53DC"/>
    <w:rsid w:val="008D5517"/>
    <w:rsid w:val="008D5530"/>
    <w:rsid w:val="008D582A"/>
    <w:rsid w:val="008D5960"/>
    <w:rsid w:val="008D5A82"/>
    <w:rsid w:val="008D5C2B"/>
    <w:rsid w:val="008D5D9D"/>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77"/>
    <w:rsid w:val="008E7B49"/>
    <w:rsid w:val="008E7B51"/>
    <w:rsid w:val="008E7CC6"/>
    <w:rsid w:val="008F0202"/>
    <w:rsid w:val="008F03B6"/>
    <w:rsid w:val="008F054C"/>
    <w:rsid w:val="008F0CE6"/>
    <w:rsid w:val="008F0D78"/>
    <w:rsid w:val="008F0FAA"/>
    <w:rsid w:val="008F122E"/>
    <w:rsid w:val="008F1286"/>
    <w:rsid w:val="008F1311"/>
    <w:rsid w:val="008F13F5"/>
    <w:rsid w:val="008F1584"/>
    <w:rsid w:val="008F1635"/>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42"/>
    <w:rsid w:val="008F3484"/>
    <w:rsid w:val="008F389C"/>
    <w:rsid w:val="008F4055"/>
    <w:rsid w:val="008F45B6"/>
    <w:rsid w:val="008F45F2"/>
    <w:rsid w:val="008F46DA"/>
    <w:rsid w:val="008F4920"/>
    <w:rsid w:val="008F4A02"/>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5B7"/>
    <w:rsid w:val="0090280E"/>
    <w:rsid w:val="0090287A"/>
    <w:rsid w:val="00902E36"/>
    <w:rsid w:val="00902E73"/>
    <w:rsid w:val="00902FFC"/>
    <w:rsid w:val="009030C4"/>
    <w:rsid w:val="00903532"/>
    <w:rsid w:val="00903906"/>
    <w:rsid w:val="00903914"/>
    <w:rsid w:val="00903B72"/>
    <w:rsid w:val="00903BF8"/>
    <w:rsid w:val="00903E90"/>
    <w:rsid w:val="009040B5"/>
    <w:rsid w:val="009046B5"/>
    <w:rsid w:val="00905201"/>
    <w:rsid w:val="00905396"/>
    <w:rsid w:val="009054A3"/>
    <w:rsid w:val="00905775"/>
    <w:rsid w:val="00905939"/>
    <w:rsid w:val="0090594B"/>
    <w:rsid w:val="009059C1"/>
    <w:rsid w:val="00905A22"/>
    <w:rsid w:val="00905DB4"/>
    <w:rsid w:val="00906310"/>
    <w:rsid w:val="009064A7"/>
    <w:rsid w:val="009065DB"/>
    <w:rsid w:val="00906817"/>
    <w:rsid w:val="009069DA"/>
    <w:rsid w:val="00906C6F"/>
    <w:rsid w:val="009070A1"/>
    <w:rsid w:val="00907123"/>
    <w:rsid w:val="00907197"/>
    <w:rsid w:val="009073ED"/>
    <w:rsid w:val="00907604"/>
    <w:rsid w:val="00907A3F"/>
    <w:rsid w:val="00907AC2"/>
    <w:rsid w:val="00907B27"/>
    <w:rsid w:val="00907BBE"/>
    <w:rsid w:val="00907E9A"/>
    <w:rsid w:val="00910214"/>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D44"/>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1CC0"/>
    <w:rsid w:val="00922481"/>
    <w:rsid w:val="0092262B"/>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1EF"/>
    <w:rsid w:val="009305F1"/>
    <w:rsid w:val="0093065A"/>
    <w:rsid w:val="00930D85"/>
    <w:rsid w:val="00930F3E"/>
    <w:rsid w:val="00931144"/>
    <w:rsid w:val="009312FC"/>
    <w:rsid w:val="009315BA"/>
    <w:rsid w:val="0093175F"/>
    <w:rsid w:val="00931AB8"/>
    <w:rsid w:val="00931BC2"/>
    <w:rsid w:val="00931C54"/>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DC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A6"/>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0B1"/>
    <w:rsid w:val="00950292"/>
    <w:rsid w:val="0095032F"/>
    <w:rsid w:val="00950499"/>
    <w:rsid w:val="0095069E"/>
    <w:rsid w:val="00950724"/>
    <w:rsid w:val="00950937"/>
    <w:rsid w:val="00950AD0"/>
    <w:rsid w:val="00950AEF"/>
    <w:rsid w:val="009510C4"/>
    <w:rsid w:val="0095114E"/>
    <w:rsid w:val="0095147A"/>
    <w:rsid w:val="009516C4"/>
    <w:rsid w:val="0095184D"/>
    <w:rsid w:val="009519DA"/>
    <w:rsid w:val="00951B64"/>
    <w:rsid w:val="00951F5C"/>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004"/>
    <w:rsid w:val="009541AC"/>
    <w:rsid w:val="00954263"/>
    <w:rsid w:val="00954286"/>
    <w:rsid w:val="009542A8"/>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929"/>
    <w:rsid w:val="00962A49"/>
    <w:rsid w:val="00962AF0"/>
    <w:rsid w:val="00962CC0"/>
    <w:rsid w:val="00962DA1"/>
    <w:rsid w:val="00962F80"/>
    <w:rsid w:val="00963025"/>
    <w:rsid w:val="00963187"/>
    <w:rsid w:val="009635A6"/>
    <w:rsid w:val="00963885"/>
    <w:rsid w:val="009638D4"/>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39A"/>
    <w:rsid w:val="00974552"/>
    <w:rsid w:val="009745C3"/>
    <w:rsid w:val="009745F4"/>
    <w:rsid w:val="00974688"/>
    <w:rsid w:val="00974B6E"/>
    <w:rsid w:val="00974CD8"/>
    <w:rsid w:val="00974E5C"/>
    <w:rsid w:val="00975097"/>
    <w:rsid w:val="0097519A"/>
    <w:rsid w:val="009753D0"/>
    <w:rsid w:val="00975444"/>
    <w:rsid w:val="00975594"/>
    <w:rsid w:val="0097578E"/>
    <w:rsid w:val="00975807"/>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B0F"/>
    <w:rsid w:val="00984CB0"/>
    <w:rsid w:val="00985149"/>
    <w:rsid w:val="00985488"/>
    <w:rsid w:val="009854FA"/>
    <w:rsid w:val="00985990"/>
    <w:rsid w:val="00985C21"/>
    <w:rsid w:val="00985C48"/>
    <w:rsid w:val="00985E24"/>
    <w:rsid w:val="0098673A"/>
    <w:rsid w:val="00986DA8"/>
    <w:rsid w:val="00986E12"/>
    <w:rsid w:val="00987167"/>
    <w:rsid w:val="009875AA"/>
    <w:rsid w:val="009877AD"/>
    <w:rsid w:val="009877BF"/>
    <w:rsid w:val="00987D62"/>
    <w:rsid w:val="00990461"/>
    <w:rsid w:val="00990698"/>
    <w:rsid w:val="00990790"/>
    <w:rsid w:val="0099095D"/>
    <w:rsid w:val="00990A5D"/>
    <w:rsid w:val="00990BE4"/>
    <w:rsid w:val="00990C54"/>
    <w:rsid w:val="0099135D"/>
    <w:rsid w:val="0099168F"/>
    <w:rsid w:val="009918EC"/>
    <w:rsid w:val="00991A5A"/>
    <w:rsid w:val="00991D3C"/>
    <w:rsid w:val="00991D93"/>
    <w:rsid w:val="0099234E"/>
    <w:rsid w:val="00992394"/>
    <w:rsid w:val="0099264F"/>
    <w:rsid w:val="00992ACB"/>
    <w:rsid w:val="00992B2B"/>
    <w:rsid w:val="00992B68"/>
    <w:rsid w:val="00992D80"/>
    <w:rsid w:val="00993183"/>
    <w:rsid w:val="009932C9"/>
    <w:rsid w:val="00993329"/>
    <w:rsid w:val="0099366C"/>
    <w:rsid w:val="00993997"/>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208"/>
    <w:rsid w:val="009A133C"/>
    <w:rsid w:val="009A15CF"/>
    <w:rsid w:val="009A174C"/>
    <w:rsid w:val="009A1896"/>
    <w:rsid w:val="009A1AAA"/>
    <w:rsid w:val="009A1CB7"/>
    <w:rsid w:val="009A1F37"/>
    <w:rsid w:val="009A2048"/>
    <w:rsid w:val="009A207E"/>
    <w:rsid w:val="009A2518"/>
    <w:rsid w:val="009A26C8"/>
    <w:rsid w:val="009A26FF"/>
    <w:rsid w:val="009A27AE"/>
    <w:rsid w:val="009A2BEA"/>
    <w:rsid w:val="009A2C73"/>
    <w:rsid w:val="009A2D9C"/>
    <w:rsid w:val="009A2EA3"/>
    <w:rsid w:val="009A302F"/>
    <w:rsid w:val="009A3191"/>
    <w:rsid w:val="009A3367"/>
    <w:rsid w:val="009A39B2"/>
    <w:rsid w:val="009A3DA0"/>
    <w:rsid w:val="009A402B"/>
    <w:rsid w:val="009A41F0"/>
    <w:rsid w:val="009A4321"/>
    <w:rsid w:val="009A46B9"/>
    <w:rsid w:val="009A4744"/>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A2D"/>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7DD"/>
    <w:rsid w:val="009B296B"/>
    <w:rsid w:val="009B2B38"/>
    <w:rsid w:val="009B33C7"/>
    <w:rsid w:val="009B3615"/>
    <w:rsid w:val="009B3B3A"/>
    <w:rsid w:val="009B4268"/>
    <w:rsid w:val="009B433D"/>
    <w:rsid w:val="009B46AF"/>
    <w:rsid w:val="009B4797"/>
    <w:rsid w:val="009B47BE"/>
    <w:rsid w:val="009B4914"/>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C56"/>
    <w:rsid w:val="009C2E33"/>
    <w:rsid w:val="009C2F12"/>
    <w:rsid w:val="009C3222"/>
    <w:rsid w:val="009C33D9"/>
    <w:rsid w:val="009C34D0"/>
    <w:rsid w:val="009C3526"/>
    <w:rsid w:val="009C3623"/>
    <w:rsid w:val="009C3A20"/>
    <w:rsid w:val="009C3CD6"/>
    <w:rsid w:val="009C3E2F"/>
    <w:rsid w:val="009C3E87"/>
    <w:rsid w:val="009C40AA"/>
    <w:rsid w:val="009C40EF"/>
    <w:rsid w:val="009C4496"/>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CDA"/>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E0B"/>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291"/>
    <w:rsid w:val="009D4778"/>
    <w:rsid w:val="009D4B17"/>
    <w:rsid w:val="009D51AA"/>
    <w:rsid w:val="009D5417"/>
    <w:rsid w:val="009D569C"/>
    <w:rsid w:val="009D579A"/>
    <w:rsid w:val="009D58F8"/>
    <w:rsid w:val="009D5941"/>
    <w:rsid w:val="009D5C71"/>
    <w:rsid w:val="009D5E2A"/>
    <w:rsid w:val="009D5FCF"/>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CF8"/>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6C"/>
    <w:rsid w:val="00A00221"/>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A77"/>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C5"/>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21C"/>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5DDB"/>
    <w:rsid w:val="00A2642F"/>
    <w:rsid w:val="00A2663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59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92E"/>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07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3F8"/>
    <w:rsid w:val="00A534E0"/>
    <w:rsid w:val="00A535C9"/>
    <w:rsid w:val="00A53715"/>
    <w:rsid w:val="00A53735"/>
    <w:rsid w:val="00A5387E"/>
    <w:rsid w:val="00A53898"/>
    <w:rsid w:val="00A53936"/>
    <w:rsid w:val="00A53971"/>
    <w:rsid w:val="00A539D3"/>
    <w:rsid w:val="00A53B3D"/>
    <w:rsid w:val="00A53D4B"/>
    <w:rsid w:val="00A53DA8"/>
    <w:rsid w:val="00A54007"/>
    <w:rsid w:val="00A54099"/>
    <w:rsid w:val="00A54184"/>
    <w:rsid w:val="00A5418D"/>
    <w:rsid w:val="00A54194"/>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72"/>
    <w:rsid w:val="00A60BFE"/>
    <w:rsid w:val="00A60DF7"/>
    <w:rsid w:val="00A60EEA"/>
    <w:rsid w:val="00A612B7"/>
    <w:rsid w:val="00A614A6"/>
    <w:rsid w:val="00A6197B"/>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55"/>
    <w:rsid w:val="00A6659E"/>
    <w:rsid w:val="00A665CD"/>
    <w:rsid w:val="00A66681"/>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0CBF"/>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013"/>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299"/>
    <w:rsid w:val="00A8236D"/>
    <w:rsid w:val="00A823E1"/>
    <w:rsid w:val="00A82770"/>
    <w:rsid w:val="00A82D76"/>
    <w:rsid w:val="00A82E0C"/>
    <w:rsid w:val="00A831ED"/>
    <w:rsid w:val="00A83369"/>
    <w:rsid w:val="00A83525"/>
    <w:rsid w:val="00A8362C"/>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619"/>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21"/>
    <w:rsid w:val="00A973E2"/>
    <w:rsid w:val="00A976F1"/>
    <w:rsid w:val="00A9775F"/>
    <w:rsid w:val="00A97A08"/>
    <w:rsid w:val="00A97CE6"/>
    <w:rsid w:val="00AA018E"/>
    <w:rsid w:val="00AA02CB"/>
    <w:rsid w:val="00AA05DF"/>
    <w:rsid w:val="00AA0AC1"/>
    <w:rsid w:val="00AA0B79"/>
    <w:rsid w:val="00AA0FDB"/>
    <w:rsid w:val="00AA1092"/>
    <w:rsid w:val="00AA13DA"/>
    <w:rsid w:val="00AA1532"/>
    <w:rsid w:val="00AA181B"/>
    <w:rsid w:val="00AA1907"/>
    <w:rsid w:val="00AA1B55"/>
    <w:rsid w:val="00AA2221"/>
    <w:rsid w:val="00AA2801"/>
    <w:rsid w:val="00AA284F"/>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314"/>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C5E"/>
    <w:rsid w:val="00AA7D2E"/>
    <w:rsid w:val="00AB00DE"/>
    <w:rsid w:val="00AB01F2"/>
    <w:rsid w:val="00AB0274"/>
    <w:rsid w:val="00AB036B"/>
    <w:rsid w:val="00AB039D"/>
    <w:rsid w:val="00AB03F7"/>
    <w:rsid w:val="00AB0436"/>
    <w:rsid w:val="00AB0AB9"/>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33"/>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66"/>
    <w:rsid w:val="00AC18D9"/>
    <w:rsid w:val="00AC2487"/>
    <w:rsid w:val="00AC2759"/>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41D"/>
    <w:rsid w:val="00AC4557"/>
    <w:rsid w:val="00AC49CF"/>
    <w:rsid w:val="00AC4B2B"/>
    <w:rsid w:val="00AC4B8A"/>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DC9"/>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D06"/>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76A"/>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0C6"/>
    <w:rsid w:val="00AF112A"/>
    <w:rsid w:val="00AF11C4"/>
    <w:rsid w:val="00AF1256"/>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5FD9"/>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2CC"/>
    <w:rsid w:val="00B0030E"/>
    <w:rsid w:val="00B00879"/>
    <w:rsid w:val="00B00938"/>
    <w:rsid w:val="00B00C29"/>
    <w:rsid w:val="00B00D80"/>
    <w:rsid w:val="00B012CA"/>
    <w:rsid w:val="00B01369"/>
    <w:rsid w:val="00B01A5A"/>
    <w:rsid w:val="00B01D56"/>
    <w:rsid w:val="00B01E3F"/>
    <w:rsid w:val="00B023FD"/>
    <w:rsid w:val="00B0249F"/>
    <w:rsid w:val="00B02584"/>
    <w:rsid w:val="00B02C47"/>
    <w:rsid w:val="00B035D9"/>
    <w:rsid w:val="00B03AAB"/>
    <w:rsid w:val="00B03AC1"/>
    <w:rsid w:val="00B03B1C"/>
    <w:rsid w:val="00B03BF2"/>
    <w:rsid w:val="00B04024"/>
    <w:rsid w:val="00B0414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0EC"/>
    <w:rsid w:val="00B121CA"/>
    <w:rsid w:val="00B12319"/>
    <w:rsid w:val="00B1265F"/>
    <w:rsid w:val="00B12B3E"/>
    <w:rsid w:val="00B12F0E"/>
    <w:rsid w:val="00B12F3B"/>
    <w:rsid w:val="00B13015"/>
    <w:rsid w:val="00B13206"/>
    <w:rsid w:val="00B13405"/>
    <w:rsid w:val="00B13515"/>
    <w:rsid w:val="00B136FB"/>
    <w:rsid w:val="00B13794"/>
    <w:rsid w:val="00B1382F"/>
    <w:rsid w:val="00B13921"/>
    <w:rsid w:val="00B13A33"/>
    <w:rsid w:val="00B13A9F"/>
    <w:rsid w:val="00B13B99"/>
    <w:rsid w:val="00B13CD1"/>
    <w:rsid w:val="00B1412C"/>
    <w:rsid w:val="00B144A8"/>
    <w:rsid w:val="00B14578"/>
    <w:rsid w:val="00B14A35"/>
    <w:rsid w:val="00B14C29"/>
    <w:rsid w:val="00B14F54"/>
    <w:rsid w:val="00B15302"/>
    <w:rsid w:val="00B1535C"/>
    <w:rsid w:val="00B1536C"/>
    <w:rsid w:val="00B15397"/>
    <w:rsid w:val="00B153E3"/>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07"/>
    <w:rsid w:val="00B332CB"/>
    <w:rsid w:val="00B33493"/>
    <w:rsid w:val="00B33494"/>
    <w:rsid w:val="00B336A3"/>
    <w:rsid w:val="00B336BF"/>
    <w:rsid w:val="00B33C54"/>
    <w:rsid w:val="00B33E67"/>
    <w:rsid w:val="00B33F8B"/>
    <w:rsid w:val="00B3400C"/>
    <w:rsid w:val="00B34194"/>
    <w:rsid w:val="00B3452F"/>
    <w:rsid w:val="00B34564"/>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CC4"/>
    <w:rsid w:val="00B37D47"/>
    <w:rsid w:val="00B37DE1"/>
    <w:rsid w:val="00B37DFC"/>
    <w:rsid w:val="00B37EA2"/>
    <w:rsid w:val="00B37EF4"/>
    <w:rsid w:val="00B4040E"/>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3EE1"/>
    <w:rsid w:val="00B441DB"/>
    <w:rsid w:val="00B443C1"/>
    <w:rsid w:val="00B44422"/>
    <w:rsid w:val="00B44674"/>
    <w:rsid w:val="00B44915"/>
    <w:rsid w:val="00B44C24"/>
    <w:rsid w:val="00B45079"/>
    <w:rsid w:val="00B4556A"/>
    <w:rsid w:val="00B45626"/>
    <w:rsid w:val="00B45AF9"/>
    <w:rsid w:val="00B45B79"/>
    <w:rsid w:val="00B45B7A"/>
    <w:rsid w:val="00B461AD"/>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927"/>
    <w:rsid w:val="00B53AEF"/>
    <w:rsid w:val="00B53BC9"/>
    <w:rsid w:val="00B53D03"/>
    <w:rsid w:val="00B53E86"/>
    <w:rsid w:val="00B5417C"/>
    <w:rsid w:val="00B546E2"/>
    <w:rsid w:val="00B54AB4"/>
    <w:rsid w:val="00B55390"/>
    <w:rsid w:val="00B5548E"/>
    <w:rsid w:val="00B55AC6"/>
    <w:rsid w:val="00B55D56"/>
    <w:rsid w:val="00B55F9E"/>
    <w:rsid w:val="00B55FBA"/>
    <w:rsid w:val="00B560F0"/>
    <w:rsid w:val="00B56134"/>
    <w:rsid w:val="00B565E9"/>
    <w:rsid w:val="00B566BA"/>
    <w:rsid w:val="00B569A4"/>
    <w:rsid w:val="00B569B8"/>
    <w:rsid w:val="00B56CA8"/>
    <w:rsid w:val="00B570F1"/>
    <w:rsid w:val="00B571A4"/>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5D4"/>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DA9"/>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3E"/>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65B"/>
    <w:rsid w:val="00B82A7D"/>
    <w:rsid w:val="00B82C01"/>
    <w:rsid w:val="00B82C1F"/>
    <w:rsid w:val="00B82E52"/>
    <w:rsid w:val="00B8304C"/>
    <w:rsid w:val="00B83381"/>
    <w:rsid w:val="00B835A3"/>
    <w:rsid w:val="00B83E46"/>
    <w:rsid w:val="00B84184"/>
    <w:rsid w:val="00B843B6"/>
    <w:rsid w:val="00B84689"/>
    <w:rsid w:val="00B849C9"/>
    <w:rsid w:val="00B84A62"/>
    <w:rsid w:val="00B84D6B"/>
    <w:rsid w:val="00B84ED3"/>
    <w:rsid w:val="00B84F34"/>
    <w:rsid w:val="00B84F7F"/>
    <w:rsid w:val="00B853C7"/>
    <w:rsid w:val="00B85414"/>
    <w:rsid w:val="00B85465"/>
    <w:rsid w:val="00B85747"/>
    <w:rsid w:val="00B85FED"/>
    <w:rsid w:val="00B8645C"/>
    <w:rsid w:val="00B86801"/>
    <w:rsid w:val="00B86933"/>
    <w:rsid w:val="00B86BB1"/>
    <w:rsid w:val="00B86C48"/>
    <w:rsid w:val="00B87222"/>
    <w:rsid w:val="00B87258"/>
    <w:rsid w:val="00B87267"/>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5C"/>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1D73"/>
    <w:rsid w:val="00BA2652"/>
    <w:rsid w:val="00BA2914"/>
    <w:rsid w:val="00BA2B6F"/>
    <w:rsid w:val="00BA2DD7"/>
    <w:rsid w:val="00BA3072"/>
    <w:rsid w:val="00BA30C7"/>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119"/>
    <w:rsid w:val="00BB1628"/>
    <w:rsid w:val="00BB1803"/>
    <w:rsid w:val="00BB1837"/>
    <w:rsid w:val="00BB1857"/>
    <w:rsid w:val="00BB18C4"/>
    <w:rsid w:val="00BB1C14"/>
    <w:rsid w:val="00BB1CBA"/>
    <w:rsid w:val="00BB25A9"/>
    <w:rsid w:val="00BB27DE"/>
    <w:rsid w:val="00BB298C"/>
    <w:rsid w:val="00BB29AF"/>
    <w:rsid w:val="00BB2ABC"/>
    <w:rsid w:val="00BB2BE8"/>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12"/>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C7EEC"/>
    <w:rsid w:val="00BD0322"/>
    <w:rsid w:val="00BD05D8"/>
    <w:rsid w:val="00BD06E7"/>
    <w:rsid w:val="00BD0A2B"/>
    <w:rsid w:val="00BD0B00"/>
    <w:rsid w:val="00BD0C7F"/>
    <w:rsid w:val="00BD0CAD"/>
    <w:rsid w:val="00BD1838"/>
    <w:rsid w:val="00BD1891"/>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D7CA5"/>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ADF"/>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4EA"/>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675"/>
    <w:rsid w:val="00BF3715"/>
    <w:rsid w:val="00BF38CD"/>
    <w:rsid w:val="00BF3B82"/>
    <w:rsid w:val="00BF3E3F"/>
    <w:rsid w:val="00BF4775"/>
    <w:rsid w:val="00BF4860"/>
    <w:rsid w:val="00BF48E2"/>
    <w:rsid w:val="00BF4BF3"/>
    <w:rsid w:val="00BF4EE4"/>
    <w:rsid w:val="00BF4F5C"/>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1BB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AD4"/>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0B"/>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C63"/>
    <w:rsid w:val="00C14F48"/>
    <w:rsid w:val="00C15021"/>
    <w:rsid w:val="00C151E3"/>
    <w:rsid w:val="00C152E3"/>
    <w:rsid w:val="00C1540D"/>
    <w:rsid w:val="00C154CD"/>
    <w:rsid w:val="00C15507"/>
    <w:rsid w:val="00C15671"/>
    <w:rsid w:val="00C158D3"/>
    <w:rsid w:val="00C158DA"/>
    <w:rsid w:val="00C160CD"/>
    <w:rsid w:val="00C165B2"/>
    <w:rsid w:val="00C16703"/>
    <w:rsid w:val="00C16AB2"/>
    <w:rsid w:val="00C16C05"/>
    <w:rsid w:val="00C17036"/>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D8E"/>
    <w:rsid w:val="00C23EC1"/>
    <w:rsid w:val="00C240BF"/>
    <w:rsid w:val="00C240EE"/>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5D2"/>
    <w:rsid w:val="00C2784F"/>
    <w:rsid w:val="00C27D1D"/>
    <w:rsid w:val="00C27F24"/>
    <w:rsid w:val="00C301B8"/>
    <w:rsid w:val="00C3023F"/>
    <w:rsid w:val="00C30438"/>
    <w:rsid w:val="00C304C5"/>
    <w:rsid w:val="00C30873"/>
    <w:rsid w:val="00C30902"/>
    <w:rsid w:val="00C30A74"/>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BF9"/>
    <w:rsid w:val="00C35D6A"/>
    <w:rsid w:val="00C35E06"/>
    <w:rsid w:val="00C35FB5"/>
    <w:rsid w:val="00C36132"/>
    <w:rsid w:val="00C36168"/>
    <w:rsid w:val="00C362BB"/>
    <w:rsid w:val="00C36535"/>
    <w:rsid w:val="00C3665A"/>
    <w:rsid w:val="00C36775"/>
    <w:rsid w:val="00C367B2"/>
    <w:rsid w:val="00C36B06"/>
    <w:rsid w:val="00C36C89"/>
    <w:rsid w:val="00C36D6D"/>
    <w:rsid w:val="00C36FA9"/>
    <w:rsid w:val="00C3708F"/>
    <w:rsid w:val="00C3728B"/>
    <w:rsid w:val="00C373CB"/>
    <w:rsid w:val="00C37705"/>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3E"/>
    <w:rsid w:val="00C41D69"/>
    <w:rsid w:val="00C41F7A"/>
    <w:rsid w:val="00C42042"/>
    <w:rsid w:val="00C4265D"/>
    <w:rsid w:val="00C42674"/>
    <w:rsid w:val="00C428A6"/>
    <w:rsid w:val="00C42D3F"/>
    <w:rsid w:val="00C43119"/>
    <w:rsid w:val="00C43719"/>
    <w:rsid w:val="00C43908"/>
    <w:rsid w:val="00C43B4A"/>
    <w:rsid w:val="00C43C91"/>
    <w:rsid w:val="00C43CEA"/>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75"/>
    <w:rsid w:val="00C465E1"/>
    <w:rsid w:val="00C467FD"/>
    <w:rsid w:val="00C46812"/>
    <w:rsid w:val="00C46AA1"/>
    <w:rsid w:val="00C46D27"/>
    <w:rsid w:val="00C472B8"/>
    <w:rsid w:val="00C472DF"/>
    <w:rsid w:val="00C4730A"/>
    <w:rsid w:val="00C4751E"/>
    <w:rsid w:val="00C4751F"/>
    <w:rsid w:val="00C47594"/>
    <w:rsid w:val="00C47A2C"/>
    <w:rsid w:val="00C47AA1"/>
    <w:rsid w:val="00C47C2D"/>
    <w:rsid w:val="00C50676"/>
    <w:rsid w:val="00C50A03"/>
    <w:rsid w:val="00C50D39"/>
    <w:rsid w:val="00C50EB3"/>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5D"/>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5B6"/>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322"/>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67D4A"/>
    <w:rsid w:val="00C70017"/>
    <w:rsid w:val="00C7026C"/>
    <w:rsid w:val="00C7031D"/>
    <w:rsid w:val="00C704C0"/>
    <w:rsid w:val="00C704C9"/>
    <w:rsid w:val="00C70720"/>
    <w:rsid w:val="00C70A1C"/>
    <w:rsid w:val="00C70BC1"/>
    <w:rsid w:val="00C70ED2"/>
    <w:rsid w:val="00C71189"/>
    <w:rsid w:val="00C71357"/>
    <w:rsid w:val="00C71824"/>
    <w:rsid w:val="00C71889"/>
    <w:rsid w:val="00C7198A"/>
    <w:rsid w:val="00C72074"/>
    <w:rsid w:val="00C7217C"/>
    <w:rsid w:val="00C7228A"/>
    <w:rsid w:val="00C7233C"/>
    <w:rsid w:val="00C72406"/>
    <w:rsid w:val="00C7288A"/>
    <w:rsid w:val="00C72BA9"/>
    <w:rsid w:val="00C72C42"/>
    <w:rsid w:val="00C732CF"/>
    <w:rsid w:val="00C737F5"/>
    <w:rsid w:val="00C73805"/>
    <w:rsid w:val="00C738CF"/>
    <w:rsid w:val="00C73A42"/>
    <w:rsid w:val="00C73B99"/>
    <w:rsid w:val="00C73DD4"/>
    <w:rsid w:val="00C74147"/>
    <w:rsid w:val="00C74327"/>
    <w:rsid w:val="00C7442A"/>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3A0"/>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1F"/>
    <w:rsid w:val="00C95083"/>
    <w:rsid w:val="00C953CB"/>
    <w:rsid w:val="00C954B0"/>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3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942"/>
    <w:rsid w:val="00CA3ABD"/>
    <w:rsid w:val="00CA3AD1"/>
    <w:rsid w:val="00CA3CDD"/>
    <w:rsid w:val="00CA3D2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598"/>
    <w:rsid w:val="00CA6759"/>
    <w:rsid w:val="00CA6CB0"/>
    <w:rsid w:val="00CA76F9"/>
    <w:rsid w:val="00CA7700"/>
    <w:rsid w:val="00CA7755"/>
    <w:rsid w:val="00CA776B"/>
    <w:rsid w:val="00CA7A40"/>
    <w:rsid w:val="00CA7AA0"/>
    <w:rsid w:val="00CA7BAC"/>
    <w:rsid w:val="00CA7E32"/>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3CD5"/>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428"/>
    <w:rsid w:val="00CB6733"/>
    <w:rsid w:val="00CB6737"/>
    <w:rsid w:val="00CB6A01"/>
    <w:rsid w:val="00CB6FA6"/>
    <w:rsid w:val="00CB7274"/>
    <w:rsid w:val="00CB72C9"/>
    <w:rsid w:val="00CB740D"/>
    <w:rsid w:val="00CB7483"/>
    <w:rsid w:val="00CB78B6"/>
    <w:rsid w:val="00CB7B22"/>
    <w:rsid w:val="00CB7C1B"/>
    <w:rsid w:val="00CB7C5C"/>
    <w:rsid w:val="00CB7DE0"/>
    <w:rsid w:val="00CC0543"/>
    <w:rsid w:val="00CC05D3"/>
    <w:rsid w:val="00CC0609"/>
    <w:rsid w:val="00CC071E"/>
    <w:rsid w:val="00CC083E"/>
    <w:rsid w:val="00CC09B2"/>
    <w:rsid w:val="00CC1463"/>
    <w:rsid w:val="00CC158D"/>
    <w:rsid w:val="00CC168E"/>
    <w:rsid w:val="00CC1C59"/>
    <w:rsid w:val="00CC1D4B"/>
    <w:rsid w:val="00CC1E96"/>
    <w:rsid w:val="00CC20BF"/>
    <w:rsid w:val="00CC2255"/>
    <w:rsid w:val="00CC237C"/>
    <w:rsid w:val="00CC2381"/>
    <w:rsid w:val="00CC246F"/>
    <w:rsid w:val="00CC25A8"/>
    <w:rsid w:val="00CC263C"/>
    <w:rsid w:val="00CC2E07"/>
    <w:rsid w:val="00CC31E7"/>
    <w:rsid w:val="00CC3491"/>
    <w:rsid w:val="00CC3A21"/>
    <w:rsid w:val="00CC3A34"/>
    <w:rsid w:val="00CC3CEC"/>
    <w:rsid w:val="00CC3DC2"/>
    <w:rsid w:val="00CC3F89"/>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0DD"/>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7E0"/>
    <w:rsid w:val="00CD3E8B"/>
    <w:rsid w:val="00CD41DD"/>
    <w:rsid w:val="00CD47F2"/>
    <w:rsid w:val="00CD4E1C"/>
    <w:rsid w:val="00CD4EBB"/>
    <w:rsid w:val="00CD5571"/>
    <w:rsid w:val="00CD5775"/>
    <w:rsid w:val="00CD5991"/>
    <w:rsid w:val="00CD5AC0"/>
    <w:rsid w:val="00CD5DA8"/>
    <w:rsid w:val="00CD5DAA"/>
    <w:rsid w:val="00CD5F0A"/>
    <w:rsid w:val="00CD5F4D"/>
    <w:rsid w:val="00CD6331"/>
    <w:rsid w:val="00CD64C9"/>
    <w:rsid w:val="00CD6540"/>
    <w:rsid w:val="00CD6703"/>
    <w:rsid w:val="00CD6A12"/>
    <w:rsid w:val="00CD6DD4"/>
    <w:rsid w:val="00CD6F3A"/>
    <w:rsid w:val="00CD730B"/>
    <w:rsid w:val="00CD7314"/>
    <w:rsid w:val="00CD7479"/>
    <w:rsid w:val="00CD756A"/>
    <w:rsid w:val="00CD7AB0"/>
    <w:rsid w:val="00CD7C05"/>
    <w:rsid w:val="00CD7C10"/>
    <w:rsid w:val="00CD7D8D"/>
    <w:rsid w:val="00CD7EA8"/>
    <w:rsid w:val="00CE00CD"/>
    <w:rsid w:val="00CE014C"/>
    <w:rsid w:val="00CE0298"/>
    <w:rsid w:val="00CE0627"/>
    <w:rsid w:val="00CE091F"/>
    <w:rsid w:val="00CE09C2"/>
    <w:rsid w:val="00CE0A3E"/>
    <w:rsid w:val="00CE0BE4"/>
    <w:rsid w:val="00CE1128"/>
    <w:rsid w:val="00CE1253"/>
    <w:rsid w:val="00CE1636"/>
    <w:rsid w:val="00CE185B"/>
    <w:rsid w:val="00CE18CD"/>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3E38"/>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7B8"/>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2D3F"/>
    <w:rsid w:val="00D0325B"/>
    <w:rsid w:val="00D03729"/>
    <w:rsid w:val="00D03C56"/>
    <w:rsid w:val="00D03CE1"/>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83F"/>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58"/>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1AC"/>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D4"/>
    <w:rsid w:val="00D303EE"/>
    <w:rsid w:val="00D306B6"/>
    <w:rsid w:val="00D307D9"/>
    <w:rsid w:val="00D30CC7"/>
    <w:rsid w:val="00D30DEE"/>
    <w:rsid w:val="00D30E78"/>
    <w:rsid w:val="00D31170"/>
    <w:rsid w:val="00D311E7"/>
    <w:rsid w:val="00D31348"/>
    <w:rsid w:val="00D314AD"/>
    <w:rsid w:val="00D31582"/>
    <w:rsid w:val="00D31991"/>
    <w:rsid w:val="00D31A6F"/>
    <w:rsid w:val="00D31BDD"/>
    <w:rsid w:val="00D32151"/>
    <w:rsid w:val="00D322A0"/>
    <w:rsid w:val="00D324FC"/>
    <w:rsid w:val="00D32558"/>
    <w:rsid w:val="00D32912"/>
    <w:rsid w:val="00D32A27"/>
    <w:rsid w:val="00D32F54"/>
    <w:rsid w:val="00D3320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9D8"/>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7BE"/>
    <w:rsid w:val="00D42928"/>
    <w:rsid w:val="00D42AB7"/>
    <w:rsid w:val="00D42D74"/>
    <w:rsid w:val="00D42FF7"/>
    <w:rsid w:val="00D43048"/>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B91"/>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1D"/>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96"/>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3FB6"/>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4E81"/>
    <w:rsid w:val="00D850FE"/>
    <w:rsid w:val="00D85500"/>
    <w:rsid w:val="00D8559F"/>
    <w:rsid w:val="00D8562E"/>
    <w:rsid w:val="00D85B61"/>
    <w:rsid w:val="00D85FDD"/>
    <w:rsid w:val="00D862D7"/>
    <w:rsid w:val="00D866CC"/>
    <w:rsid w:val="00D86929"/>
    <w:rsid w:val="00D869CB"/>
    <w:rsid w:val="00D86AF6"/>
    <w:rsid w:val="00D86CDC"/>
    <w:rsid w:val="00D86D0A"/>
    <w:rsid w:val="00D86E1C"/>
    <w:rsid w:val="00D870FF"/>
    <w:rsid w:val="00D873CB"/>
    <w:rsid w:val="00D874B9"/>
    <w:rsid w:val="00D877C5"/>
    <w:rsid w:val="00D879F1"/>
    <w:rsid w:val="00D87A6E"/>
    <w:rsid w:val="00D87D83"/>
    <w:rsid w:val="00D87EAA"/>
    <w:rsid w:val="00D900EF"/>
    <w:rsid w:val="00D90555"/>
    <w:rsid w:val="00D907B3"/>
    <w:rsid w:val="00D9089A"/>
    <w:rsid w:val="00D90932"/>
    <w:rsid w:val="00D90C91"/>
    <w:rsid w:val="00D90CD2"/>
    <w:rsid w:val="00D912E6"/>
    <w:rsid w:val="00D913F5"/>
    <w:rsid w:val="00D915E1"/>
    <w:rsid w:val="00D915EE"/>
    <w:rsid w:val="00D91D74"/>
    <w:rsid w:val="00D91E68"/>
    <w:rsid w:val="00D9201D"/>
    <w:rsid w:val="00D923E5"/>
    <w:rsid w:val="00D924F3"/>
    <w:rsid w:val="00D925AB"/>
    <w:rsid w:val="00D92877"/>
    <w:rsid w:val="00D9294C"/>
    <w:rsid w:val="00D92A24"/>
    <w:rsid w:val="00D92AB6"/>
    <w:rsid w:val="00D92BFF"/>
    <w:rsid w:val="00D92DE5"/>
    <w:rsid w:val="00D92F09"/>
    <w:rsid w:val="00D930B9"/>
    <w:rsid w:val="00D93630"/>
    <w:rsid w:val="00D937F1"/>
    <w:rsid w:val="00D93AB8"/>
    <w:rsid w:val="00D93FD0"/>
    <w:rsid w:val="00D940D6"/>
    <w:rsid w:val="00D941A4"/>
    <w:rsid w:val="00D942BE"/>
    <w:rsid w:val="00D944F1"/>
    <w:rsid w:val="00D9471D"/>
    <w:rsid w:val="00D94A2A"/>
    <w:rsid w:val="00D94A4A"/>
    <w:rsid w:val="00D94A8C"/>
    <w:rsid w:val="00D94B40"/>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01C"/>
    <w:rsid w:val="00D97320"/>
    <w:rsid w:val="00D9784A"/>
    <w:rsid w:val="00D978E5"/>
    <w:rsid w:val="00D97D00"/>
    <w:rsid w:val="00D97EFE"/>
    <w:rsid w:val="00DA008F"/>
    <w:rsid w:val="00DA01BF"/>
    <w:rsid w:val="00DA08BB"/>
    <w:rsid w:val="00DA09AF"/>
    <w:rsid w:val="00DA09D2"/>
    <w:rsid w:val="00DA0B44"/>
    <w:rsid w:val="00DA0F90"/>
    <w:rsid w:val="00DA10CD"/>
    <w:rsid w:val="00DA14F6"/>
    <w:rsid w:val="00DA1801"/>
    <w:rsid w:val="00DA1803"/>
    <w:rsid w:val="00DA1F2D"/>
    <w:rsid w:val="00DA1F83"/>
    <w:rsid w:val="00DA2176"/>
    <w:rsid w:val="00DA2223"/>
    <w:rsid w:val="00DA22ED"/>
    <w:rsid w:val="00DA26B8"/>
    <w:rsid w:val="00DA26FA"/>
    <w:rsid w:val="00DA2720"/>
    <w:rsid w:val="00DA2774"/>
    <w:rsid w:val="00DA2838"/>
    <w:rsid w:val="00DA2885"/>
    <w:rsid w:val="00DA2CBD"/>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3"/>
    <w:rsid w:val="00DB0259"/>
    <w:rsid w:val="00DB072F"/>
    <w:rsid w:val="00DB0B99"/>
    <w:rsid w:val="00DB0CC9"/>
    <w:rsid w:val="00DB0D3F"/>
    <w:rsid w:val="00DB0DAC"/>
    <w:rsid w:val="00DB0FE2"/>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1E5"/>
    <w:rsid w:val="00DB76E4"/>
    <w:rsid w:val="00DB7A6D"/>
    <w:rsid w:val="00DB7C25"/>
    <w:rsid w:val="00DB7FA0"/>
    <w:rsid w:val="00DB7FF4"/>
    <w:rsid w:val="00DC00FF"/>
    <w:rsid w:val="00DC0129"/>
    <w:rsid w:val="00DC0191"/>
    <w:rsid w:val="00DC02B3"/>
    <w:rsid w:val="00DC0646"/>
    <w:rsid w:val="00DC07AC"/>
    <w:rsid w:val="00DC07F1"/>
    <w:rsid w:val="00DC0920"/>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8D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471"/>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3FF"/>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63"/>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5CAC"/>
    <w:rsid w:val="00DD60CD"/>
    <w:rsid w:val="00DD6C24"/>
    <w:rsid w:val="00DD70F4"/>
    <w:rsid w:val="00DD7740"/>
    <w:rsid w:val="00DD786C"/>
    <w:rsid w:val="00DE0556"/>
    <w:rsid w:val="00DE074F"/>
    <w:rsid w:val="00DE0B91"/>
    <w:rsid w:val="00DE0CD8"/>
    <w:rsid w:val="00DE0EA8"/>
    <w:rsid w:val="00DE110E"/>
    <w:rsid w:val="00DE12F3"/>
    <w:rsid w:val="00DE1911"/>
    <w:rsid w:val="00DE1B4F"/>
    <w:rsid w:val="00DE1D2D"/>
    <w:rsid w:val="00DE1D7C"/>
    <w:rsid w:val="00DE2066"/>
    <w:rsid w:val="00DE2142"/>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6FD9"/>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351"/>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7C"/>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7CE"/>
    <w:rsid w:val="00E17A6E"/>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1EB4"/>
    <w:rsid w:val="00E22096"/>
    <w:rsid w:val="00E221B9"/>
    <w:rsid w:val="00E221F8"/>
    <w:rsid w:val="00E22335"/>
    <w:rsid w:val="00E2251F"/>
    <w:rsid w:val="00E228E5"/>
    <w:rsid w:val="00E22B6E"/>
    <w:rsid w:val="00E22C48"/>
    <w:rsid w:val="00E22C52"/>
    <w:rsid w:val="00E22D99"/>
    <w:rsid w:val="00E23159"/>
    <w:rsid w:val="00E23263"/>
    <w:rsid w:val="00E23366"/>
    <w:rsid w:val="00E23376"/>
    <w:rsid w:val="00E236C6"/>
    <w:rsid w:val="00E23885"/>
    <w:rsid w:val="00E238B8"/>
    <w:rsid w:val="00E239C3"/>
    <w:rsid w:val="00E23ABC"/>
    <w:rsid w:val="00E23AE2"/>
    <w:rsid w:val="00E23B6E"/>
    <w:rsid w:val="00E23B9A"/>
    <w:rsid w:val="00E23C28"/>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A80"/>
    <w:rsid w:val="00E26C84"/>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AF4"/>
    <w:rsid w:val="00E31C73"/>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B7"/>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3FC"/>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4909"/>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7EF"/>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724"/>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4DC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B92"/>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068"/>
    <w:rsid w:val="00E64107"/>
    <w:rsid w:val="00E6462F"/>
    <w:rsid w:val="00E64C05"/>
    <w:rsid w:val="00E64EF3"/>
    <w:rsid w:val="00E64F2A"/>
    <w:rsid w:val="00E65083"/>
    <w:rsid w:val="00E653A1"/>
    <w:rsid w:val="00E65407"/>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1FC5"/>
    <w:rsid w:val="00E7206D"/>
    <w:rsid w:val="00E720FB"/>
    <w:rsid w:val="00E72697"/>
    <w:rsid w:val="00E726BB"/>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22A"/>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A5C"/>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50B"/>
    <w:rsid w:val="00E8094F"/>
    <w:rsid w:val="00E80A2B"/>
    <w:rsid w:val="00E80C42"/>
    <w:rsid w:val="00E813C0"/>
    <w:rsid w:val="00E81459"/>
    <w:rsid w:val="00E82093"/>
    <w:rsid w:val="00E821F0"/>
    <w:rsid w:val="00E82324"/>
    <w:rsid w:val="00E823EA"/>
    <w:rsid w:val="00E82471"/>
    <w:rsid w:val="00E8265B"/>
    <w:rsid w:val="00E826FB"/>
    <w:rsid w:val="00E8271A"/>
    <w:rsid w:val="00E8286F"/>
    <w:rsid w:val="00E8293D"/>
    <w:rsid w:val="00E82AE3"/>
    <w:rsid w:val="00E82C18"/>
    <w:rsid w:val="00E82D4C"/>
    <w:rsid w:val="00E82FD4"/>
    <w:rsid w:val="00E8303D"/>
    <w:rsid w:val="00E8304F"/>
    <w:rsid w:val="00E8324C"/>
    <w:rsid w:val="00E835C1"/>
    <w:rsid w:val="00E839C7"/>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659"/>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112"/>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267"/>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ECD"/>
    <w:rsid w:val="00EA2194"/>
    <w:rsid w:val="00EA2267"/>
    <w:rsid w:val="00EA2441"/>
    <w:rsid w:val="00EA2903"/>
    <w:rsid w:val="00EA298F"/>
    <w:rsid w:val="00EA2B7A"/>
    <w:rsid w:val="00EA2F75"/>
    <w:rsid w:val="00EA3018"/>
    <w:rsid w:val="00EA3229"/>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1F2"/>
    <w:rsid w:val="00EA6602"/>
    <w:rsid w:val="00EA6ECA"/>
    <w:rsid w:val="00EA7007"/>
    <w:rsid w:val="00EA73A2"/>
    <w:rsid w:val="00EA75DC"/>
    <w:rsid w:val="00EA7828"/>
    <w:rsid w:val="00EA7A72"/>
    <w:rsid w:val="00EA7B2F"/>
    <w:rsid w:val="00EA7C4C"/>
    <w:rsid w:val="00EB0340"/>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5BD9"/>
    <w:rsid w:val="00EC5E0C"/>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67D"/>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0EC"/>
    <w:rsid w:val="00EE035C"/>
    <w:rsid w:val="00EE05F4"/>
    <w:rsid w:val="00EE0926"/>
    <w:rsid w:val="00EE0932"/>
    <w:rsid w:val="00EE0A27"/>
    <w:rsid w:val="00EE0D82"/>
    <w:rsid w:val="00EE0DA7"/>
    <w:rsid w:val="00EE0E57"/>
    <w:rsid w:val="00EE0ED5"/>
    <w:rsid w:val="00EE1019"/>
    <w:rsid w:val="00EE1023"/>
    <w:rsid w:val="00EE10D5"/>
    <w:rsid w:val="00EE161B"/>
    <w:rsid w:val="00EE1622"/>
    <w:rsid w:val="00EE1951"/>
    <w:rsid w:val="00EE1B3E"/>
    <w:rsid w:val="00EE1BB6"/>
    <w:rsid w:val="00EE1E5C"/>
    <w:rsid w:val="00EE203B"/>
    <w:rsid w:val="00EE204E"/>
    <w:rsid w:val="00EE21AE"/>
    <w:rsid w:val="00EE272B"/>
    <w:rsid w:val="00EE27E9"/>
    <w:rsid w:val="00EE281B"/>
    <w:rsid w:val="00EE29B5"/>
    <w:rsid w:val="00EE2AAE"/>
    <w:rsid w:val="00EE2D67"/>
    <w:rsid w:val="00EE2DB3"/>
    <w:rsid w:val="00EE2F6C"/>
    <w:rsid w:val="00EE3073"/>
    <w:rsid w:val="00EE3153"/>
    <w:rsid w:val="00EE3257"/>
    <w:rsid w:val="00EE35CE"/>
    <w:rsid w:val="00EE3916"/>
    <w:rsid w:val="00EE3964"/>
    <w:rsid w:val="00EE3B00"/>
    <w:rsid w:val="00EE442F"/>
    <w:rsid w:val="00EE4446"/>
    <w:rsid w:val="00EE4465"/>
    <w:rsid w:val="00EE45B8"/>
    <w:rsid w:val="00EE4A2C"/>
    <w:rsid w:val="00EE4AA2"/>
    <w:rsid w:val="00EE4BBF"/>
    <w:rsid w:val="00EE4EC1"/>
    <w:rsid w:val="00EE5154"/>
    <w:rsid w:val="00EE554C"/>
    <w:rsid w:val="00EE56B6"/>
    <w:rsid w:val="00EE56C9"/>
    <w:rsid w:val="00EE5ADD"/>
    <w:rsid w:val="00EE5C77"/>
    <w:rsid w:val="00EE5D24"/>
    <w:rsid w:val="00EE5E56"/>
    <w:rsid w:val="00EE5F0D"/>
    <w:rsid w:val="00EE623A"/>
    <w:rsid w:val="00EE6344"/>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B6"/>
    <w:rsid w:val="00EF79D3"/>
    <w:rsid w:val="00EF7A3F"/>
    <w:rsid w:val="00EF7E61"/>
    <w:rsid w:val="00EF7EB9"/>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231"/>
    <w:rsid w:val="00F06830"/>
    <w:rsid w:val="00F06A6B"/>
    <w:rsid w:val="00F06D2A"/>
    <w:rsid w:val="00F06E36"/>
    <w:rsid w:val="00F07501"/>
    <w:rsid w:val="00F07789"/>
    <w:rsid w:val="00F101BC"/>
    <w:rsid w:val="00F102C5"/>
    <w:rsid w:val="00F104E1"/>
    <w:rsid w:val="00F10541"/>
    <w:rsid w:val="00F108F3"/>
    <w:rsid w:val="00F109AA"/>
    <w:rsid w:val="00F110EE"/>
    <w:rsid w:val="00F11159"/>
    <w:rsid w:val="00F11195"/>
    <w:rsid w:val="00F11230"/>
    <w:rsid w:val="00F115B0"/>
    <w:rsid w:val="00F11A18"/>
    <w:rsid w:val="00F11B05"/>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457"/>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122"/>
    <w:rsid w:val="00F2357D"/>
    <w:rsid w:val="00F23605"/>
    <w:rsid w:val="00F23DB4"/>
    <w:rsid w:val="00F23DC8"/>
    <w:rsid w:val="00F23F9F"/>
    <w:rsid w:val="00F2424F"/>
    <w:rsid w:val="00F2438C"/>
    <w:rsid w:val="00F2443F"/>
    <w:rsid w:val="00F24580"/>
    <w:rsid w:val="00F24607"/>
    <w:rsid w:val="00F247D4"/>
    <w:rsid w:val="00F24A48"/>
    <w:rsid w:val="00F24A59"/>
    <w:rsid w:val="00F25012"/>
    <w:rsid w:val="00F25485"/>
    <w:rsid w:val="00F25969"/>
    <w:rsid w:val="00F25E1A"/>
    <w:rsid w:val="00F26131"/>
    <w:rsid w:val="00F262FC"/>
    <w:rsid w:val="00F26331"/>
    <w:rsid w:val="00F2658D"/>
    <w:rsid w:val="00F26666"/>
    <w:rsid w:val="00F26E9E"/>
    <w:rsid w:val="00F26F51"/>
    <w:rsid w:val="00F26F8E"/>
    <w:rsid w:val="00F2708E"/>
    <w:rsid w:val="00F270A8"/>
    <w:rsid w:val="00F271CD"/>
    <w:rsid w:val="00F2722B"/>
    <w:rsid w:val="00F272C0"/>
    <w:rsid w:val="00F276C5"/>
    <w:rsid w:val="00F277CB"/>
    <w:rsid w:val="00F279D3"/>
    <w:rsid w:val="00F27AAF"/>
    <w:rsid w:val="00F27AC7"/>
    <w:rsid w:val="00F27B03"/>
    <w:rsid w:val="00F27C90"/>
    <w:rsid w:val="00F27F89"/>
    <w:rsid w:val="00F30122"/>
    <w:rsid w:val="00F30754"/>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60B"/>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6953"/>
    <w:rsid w:val="00F3716D"/>
    <w:rsid w:val="00F37280"/>
    <w:rsid w:val="00F37762"/>
    <w:rsid w:val="00F377AF"/>
    <w:rsid w:val="00F37864"/>
    <w:rsid w:val="00F37875"/>
    <w:rsid w:val="00F3793F"/>
    <w:rsid w:val="00F37C56"/>
    <w:rsid w:val="00F37EB0"/>
    <w:rsid w:val="00F37FA3"/>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0A6"/>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539"/>
    <w:rsid w:val="00F5061E"/>
    <w:rsid w:val="00F506CE"/>
    <w:rsid w:val="00F50D44"/>
    <w:rsid w:val="00F50DDB"/>
    <w:rsid w:val="00F50E6A"/>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68E"/>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13D"/>
    <w:rsid w:val="00F6434A"/>
    <w:rsid w:val="00F646F5"/>
    <w:rsid w:val="00F64751"/>
    <w:rsid w:val="00F64AF4"/>
    <w:rsid w:val="00F64E90"/>
    <w:rsid w:val="00F65515"/>
    <w:rsid w:val="00F6564C"/>
    <w:rsid w:val="00F65CC6"/>
    <w:rsid w:val="00F65D6B"/>
    <w:rsid w:val="00F65FCB"/>
    <w:rsid w:val="00F66039"/>
    <w:rsid w:val="00F66117"/>
    <w:rsid w:val="00F661DC"/>
    <w:rsid w:val="00F664DE"/>
    <w:rsid w:val="00F66AFB"/>
    <w:rsid w:val="00F670CE"/>
    <w:rsid w:val="00F6720F"/>
    <w:rsid w:val="00F673B6"/>
    <w:rsid w:val="00F67603"/>
    <w:rsid w:val="00F6765F"/>
    <w:rsid w:val="00F6796C"/>
    <w:rsid w:val="00F67AA3"/>
    <w:rsid w:val="00F67BC2"/>
    <w:rsid w:val="00F67E5B"/>
    <w:rsid w:val="00F67F9C"/>
    <w:rsid w:val="00F70381"/>
    <w:rsid w:val="00F709B2"/>
    <w:rsid w:val="00F70B5F"/>
    <w:rsid w:val="00F71078"/>
    <w:rsid w:val="00F7118F"/>
    <w:rsid w:val="00F712A5"/>
    <w:rsid w:val="00F71364"/>
    <w:rsid w:val="00F7141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3965"/>
    <w:rsid w:val="00F742FE"/>
    <w:rsid w:val="00F74427"/>
    <w:rsid w:val="00F7480D"/>
    <w:rsid w:val="00F74B21"/>
    <w:rsid w:val="00F74BC8"/>
    <w:rsid w:val="00F7520F"/>
    <w:rsid w:val="00F753AA"/>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779"/>
    <w:rsid w:val="00F84D8D"/>
    <w:rsid w:val="00F84E62"/>
    <w:rsid w:val="00F84EA8"/>
    <w:rsid w:val="00F84EF1"/>
    <w:rsid w:val="00F8553A"/>
    <w:rsid w:val="00F85831"/>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45D"/>
    <w:rsid w:val="00F91A11"/>
    <w:rsid w:val="00F91A18"/>
    <w:rsid w:val="00F91F66"/>
    <w:rsid w:val="00F92025"/>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4F2A"/>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23C"/>
    <w:rsid w:val="00FA04D6"/>
    <w:rsid w:val="00FA04EF"/>
    <w:rsid w:val="00FA04F0"/>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A13"/>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2E0F"/>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2FB"/>
    <w:rsid w:val="00FC592E"/>
    <w:rsid w:val="00FC5937"/>
    <w:rsid w:val="00FC5FD2"/>
    <w:rsid w:val="00FC5FDD"/>
    <w:rsid w:val="00FC608D"/>
    <w:rsid w:val="00FC60A5"/>
    <w:rsid w:val="00FC617F"/>
    <w:rsid w:val="00FC6372"/>
    <w:rsid w:val="00FC63C2"/>
    <w:rsid w:val="00FC64F6"/>
    <w:rsid w:val="00FC656F"/>
    <w:rsid w:val="00FC672F"/>
    <w:rsid w:val="00FC6C1F"/>
    <w:rsid w:val="00FC6C6D"/>
    <w:rsid w:val="00FC6C8E"/>
    <w:rsid w:val="00FC6CCF"/>
    <w:rsid w:val="00FC720C"/>
    <w:rsid w:val="00FC73EB"/>
    <w:rsid w:val="00FC74F4"/>
    <w:rsid w:val="00FD0BB7"/>
    <w:rsid w:val="00FD0CD2"/>
    <w:rsid w:val="00FD0E43"/>
    <w:rsid w:val="00FD0F39"/>
    <w:rsid w:val="00FD1555"/>
    <w:rsid w:val="00FD15B5"/>
    <w:rsid w:val="00FD1856"/>
    <w:rsid w:val="00FD1BD1"/>
    <w:rsid w:val="00FD1EA3"/>
    <w:rsid w:val="00FD1F28"/>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A4C"/>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AE"/>
    <w:rsid w:val="00FE04B8"/>
    <w:rsid w:val="00FE0523"/>
    <w:rsid w:val="00FE07C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BBF"/>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88D"/>
    <w:rsid w:val="00FE6A92"/>
    <w:rsid w:val="00FE6B9A"/>
    <w:rsid w:val="00FE6FB2"/>
    <w:rsid w:val="00FE7026"/>
    <w:rsid w:val="00FE738E"/>
    <w:rsid w:val="00FE7614"/>
    <w:rsid w:val="00FE76B0"/>
    <w:rsid w:val="00FE7B92"/>
    <w:rsid w:val="00FF0004"/>
    <w:rsid w:val="00FF0264"/>
    <w:rsid w:val="00FF037E"/>
    <w:rsid w:val="00FF0476"/>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01C"/>
    <w:rsid w:val="00FF524E"/>
    <w:rsid w:val="00FF52B6"/>
    <w:rsid w:val="00FF562A"/>
    <w:rsid w:val="00FF56EE"/>
    <w:rsid w:val="00FF56F6"/>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qFormat="1"/>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57"/>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uiPriority w:val="99"/>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link w:val="Briefinglist1Char"/>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uiPriority w:val="99"/>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 w:type="character" w:customStyle="1" w:styleId="Briefinglist1Char">
    <w:name w:val="Briefing list 1 Char"/>
    <w:link w:val="Briefinglist1"/>
    <w:locked/>
    <w:rsid w:val="0078771B"/>
    <w:rPr>
      <w:sz w:val="24"/>
      <w:szCs w:val="24"/>
    </w:rPr>
  </w:style>
  <w:style w:type="character" w:customStyle="1" w:styleId="lblnewsfulltext">
    <w:name w:val="lblnewsfulltext"/>
    <w:rsid w:val="00B571A4"/>
  </w:style>
  <w:style w:type="table" w:styleId="TableClassic1">
    <w:name w:val="Table Classic 1"/>
    <w:basedOn w:val="TableNormal"/>
    <w:rsid w:val="00AF10C6"/>
    <w:pPr>
      <w:spacing w:after="240"/>
      <w:jc w:val="both"/>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xt1">
    <w:name w:val="111111"/>
    <w:pPr>
      <w:numPr>
        <w:numId w:val="21"/>
      </w:numPr>
    </w:pPr>
  </w:style>
  <w:style w:type="numbering" w:customStyle="1" w:styleId="Text2">
    <w:name w:val="ImportedStyle1"/>
    <w:pPr>
      <w:numPr>
        <w:numId w:val="23"/>
      </w:numPr>
    </w:pPr>
  </w:style>
  <w:style w:type="numbering" w:customStyle="1" w:styleId="Text3">
    <w:name w:val="WWNum1"/>
    <w:pPr>
      <w:numPr>
        <w:numId w:val="25"/>
      </w:numPr>
    </w:pPr>
  </w:style>
  <w:style w:type="numbering" w:customStyle="1" w:styleId="Text4">
    <w:name w:val="ImportedStyle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842936704">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62708134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 w:id="2086100855">
      <w:bodyDiv w:val="1"/>
      <w:marLeft w:val="0"/>
      <w:marRight w:val="0"/>
      <w:marTop w:val="0"/>
      <w:marBottom w:val="0"/>
      <w:divBdr>
        <w:top w:val="none" w:sz="0" w:space="0" w:color="auto"/>
        <w:left w:val="none" w:sz="0" w:space="0" w:color="auto"/>
        <w:bottom w:val="none" w:sz="0" w:space="0" w:color="auto"/>
        <w:right w:val="none" w:sz="0" w:space="0" w:color="auto"/>
      </w:divBdr>
    </w:div>
    <w:div w:id="21399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2FF60-555C-438A-AABC-2B5C2905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9</Pages>
  <Words>4991</Words>
  <Characters>28452</Characters>
  <Application>Microsoft Office Word</Application>
  <DocSecurity>0</DocSecurity>
  <PresentationFormat>Microsoft Word 8.0b</PresentationFormat>
  <Lines>237</Lines>
  <Paragraphs>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33377</CharactersWithSpaces>
  <SharedDoc>false</SharedDoc>
  <HLinks>
    <vt:vector size="54" baseType="variant">
      <vt:variant>
        <vt:i4>1376266</vt:i4>
      </vt:variant>
      <vt:variant>
        <vt:i4>21</vt:i4>
      </vt:variant>
      <vt:variant>
        <vt:i4>0</vt:i4>
      </vt:variant>
      <vt:variant>
        <vt:i4>5</vt:i4>
      </vt:variant>
      <vt:variant>
        <vt:lpwstr>http://www.europarl.europa.eu/sides/getDoc.do?type=REPORT&amp;reference=A8-2017-0389&amp;language=EN</vt:lpwstr>
      </vt:variant>
      <vt:variant>
        <vt:lpwstr/>
      </vt:variant>
      <vt:variant>
        <vt:i4>6684726</vt:i4>
      </vt:variant>
      <vt:variant>
        <vt:i4>18</vt:i4>
      </vt:variant>
      <vt:variant>
        <vt:i4>0</vt:i4>
      </vt:variant>
      <vt:variant>
        <vt:i4>5</vt:i4>
      </vt:variant>
      <vt:variant>
        <vt:lpwstr>https://cohesiondata.ec.europa.eu/</vt:lpwstr>
      </vt:variant>
      <vt:variant>
        <vt:lpwstr/>
      </vt:variant>
      <vt:variant>
        <vt:i4>7667755</vt:i4>
      </vt:variant>
      <vt:variant>
        <vt:i4>15</vt:i4>
      </vt:variant>
      <vt:variant>
        <vt:i4>0</vt:i4>
      </vt:variant>
      <vt:variant>
        <vt:i4>5</vt:i4>
      </vt:variant>
      <vt:variant>
        <vt:lpwstr>http://ec.europa.eu/social/main.jsp?catId=738&amp;langId=en&amp;pubId=7931</vt:lpwstr>
      </vt:variant>
      <vt:variant>
        <vt:lpwstr/>
      </vt:variant>
      <vt:variant>
        <vt:i4>2097235</vt:i4>
      </vt:variant>
      <vt:variant>
        <vt:i4>12</vt:i4>
      </vt:variant>
      <vt:variant>
        <vt:i4>0</vt:i4>
      </vt:variant>
      <vt:variant>
        <vt:i4>5</vt:i4>
      </vt:variant>
      <vt:variant>
        <vt:lpwstr>http://ec.europa.eu/regional_policy/en/policy/how/stages-step-by-step/strategic-report/</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2097235</vt:i4>
      </vt:variant>
      <vt:variant>
        <vt:i4>6</vt:i4>
      </vt:variant>
      <vt:variant>
        <vt:i4>0</vt:i4>
      </vt:variant>
      <vt:variant>
        <vt:i4>5</vt:i4>
      </vt:variant>
      <vt:variant>
        <vt:lpwstr>http://ec.europa.eu/regional_policy/en/policy/how/stages-step-by-step/strategic-report/</vt:lpwstr>
      </vt:variant>
      <vt:variant>
        <vt:lpwstr/>
      </vt:variant>
      <vt:variant>
        <vt:i4>3997748</vt:i4>
      </vt:variant>
      <vt:variant>
        <vt:i4>3</vt:i4>
      </vt:variant>
      <vt:variant>
        <vt:i4>0</vt:i4>
      </vt:variant>
      <vt:variant>
        <vt:i4>5</vt:i4>
      </vt:variant>
      <vt:variant>
        <vt:lpwstr>https://cohesiondata.ec.europa.eu/funds/yei</vt:lpwstr>
      </vt:variant>
      <vt:variant>
        <vt:lpwstr/>
      </vt:variant>
      <vt:variant>
        <vt:i4>5308492</vt:i4>
      </vt:variant>
      <vt:variant>
        <vt:i4>0</vt:i4>
      </vt:variant>
      <vt:variant>
        <vt:i4>0</vt:i4>
      </vt:variant>
      <vt:variant>
        <vt:i4>5</vt:i4>
      </vt:variant>
      <vt:variant>
        <vt:lpwstr>http://ec.europa.eu/social/main.jsp?catId=1223&amp;langId=en</vt:lpwstr>
      </vt:variant>
      <vt:variant>
        <vt:lpwstr/>
      </vt:variant>
      <vt:variant>
        <vt:i4>7143437</vt:i4>
      </vt:variant>
      <vt:variant>
        <vt:i4>0</vt:i4>
      </vt:variant>
      <vt:variant>
        <vt:i4>0</vt:i4>
      </vt:variant>
      <vt:variant>
        <vt:i4>5</vt:i4>
      </vt:variant>
      <vt:variant>
        <vt:lpwstr>https://www.eurofound.europa.eu/sites/default/files/ef_publication/field_ef_document/ef1602en.pdf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3</cp:revision>
  <cp:lastPrinted>2018-09-04T13:45:00Z</cp:lastPrinted>
  <dcterms:created xsi:type="dcterms:W3CDTF">2018-09-12T08:41:00Z</dcterms:created>
  <dcterms:modified xsi:type="dcterms:W3CDTF">2018-09-12T08:42:00Z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