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8E8" w:rsidRPr="00EE64E6" w:rsidRDefault="001218E8" w:rsidP="001218E8">
      <w:pPr>
        <w:spacing w:after="480"/>
        <w:jc w:val="center"/>
      </w:pPr>
      <w:r w:rsidRPr="00EE64E6">
        <w:rPr>
          <w:b/>
        </w:rPr>
        <w:t>SPECIAL LEGISLATIVE PROCEDURE – Consultation</w:t>
      </w:r>
    </w:p>
    <w:p w:rsidR="001218E8" w:rsidRPr="00EE64E6" w:rsidRDefault="001218E8" w:rsidP="001218E8">
      <w:pPr>
        <w:spacing w:after="480"/>
        <w:jc w:val="center"/>
        <w:rPr>
          <w:b/>
        </w:rPr>
      </w:pPr>
      <w:r w:rsidRPr="00EE64E6">
        <w:rPr>
          <w:b/>
          <w:bCs/>
        </w:rPr>
        <w:t xml:space="preserve">Follow up to the </w:t>
      </w:r>
      <w:r w:rsidRPr="00EE64E6">
        <w:rPr>
          <w:b/>
        </w:rPr>
        <w:t>European Parliament legislative resolution of 4 July 2018</w:t>
      </w:r>
      <w:r w:rsidRPr="00EE64E6">
        <w:rPr>
          <w:b/>
        </w:rPr>
        <w:br/>
        <w:t>on the proposal for a Council Directive amending Directive 1999/62/EC</w:t>
      </w:r>
      <w:r w:rsidRPr="00EE64E6">
        <w:rPr>
          <w:b/>
        </w:rPr>
        <w:br/>
        <w:t>on the charging of heavy goods vehicles for the use of certain infrastructures,</w:t>
      </w:r>
      <w:r w:rsidRPr="00EE64E6">
        <w:rPr>
          <w:b/>
        </w:rPr>
        <w:br/>
        <w:t>as regards certain provisions on vehicle taxation</w:t>
      </w:r>
    </w:p>
    <w:p w:rsidR="001218E8" w:rsidRPr="001218E8" w:rsidRDefault="001218E8" w:rsidP="001218E8">
      <w:pPr>
        <w:spacing w:after="480"/>
        <w:jc w:val="center"/>
        <w:rPr>
          <w:b/>
          <w:lang w:val="fr-FR"/>
        </w:rPr>
      </w:pPr>
      <w:r w:rsidRPr="001218E8">
        <w:rPr>
          <w:b/>
          <w:lang w:val="fr-FR"/>
        </w:rPr>
        <w:t>2017/0115 (CNS)</w:t>
      </w:r>
    </w:p>
    <w:p w:rsidR="001218E8" w:rsidRPr="001218E8" w:rsidRDefault="001218E8" w:rsidP="001218E8">
      <w:pPr>
        <w:spacing w:after="240"/>
        <w:ind w:left="567" w:hanging="567"/>
        <w:rPr>
          <w:i/>
          <w:lang w:val="fr-FR"/>
        </w:rPr>
      </w:pPr>
      <w:r w:rsidRPr="001218E8">
        <w:rPr>
          <w:b/>
          <w:lang w:val="fr-FR"/>
        </w:rPr>
        <w:t>1.</w:t>
      </w:r>
      <w:r w:rsidRPr="001218E8">
        <w:rPr>
          <w:b/>
          <w:lang w:val="fr-FR"/>
        </w:rPr>
        <w:tab/>
        <w:t xml:space="preserve">Rapporteur: </w:t>
      </w:r>
      <w:proofErr w:type="spellStart"/>
      <w:r w:rsidRPr="001218E8">
        <w:rPr>
          <w:lang w:val="fr-FR"/>
        </w:rPr>
        <w:t>Deirdre</w:t>
      </w:r>
      <w:proofErr w:type="spellEnd"/>
      <w:r w:rsidRPr="001218E8">
        <w:rPr>
          <w:lang w:val="fr-FR"/>
        </w:rPr>
        <w:t xml:space="preserve"> CLUNE (EPP/IRL)</w:t>
      </w:r>
    </w:p>
    <w:p w:rsidR="001218E8" w:rsidRPr="00EE64E6" w:rsidRDefault="001218E8" w:rsidP="001218E8">
      <w:pPr>
        <w:spacing w:after="240"/>
        <w:ind w:left="567" w:hanging="567"/>
        <w:rPr>
          <w:i/>
        </w:rPr>
      </w:pPr>
      <w:r w:rsidRPr="00EE64E6">
        <w:rPr>
          <w:b/>
        </w:rPr>
        <w:t>2.</w:t>
      </w:r>
      <w:r w:rsidRPr="00EE64E6">
        <w:rPr>
          <w:b/>
        </w:rPr>
        <w:tab/>
        <w:t xml:space="preserve">EP reference number: </w:t>
      </w:r>
      <w:r w:rsidRPr="00EE64E6">
        <w:t>A8-</w:t>
      </w:r>
      <w:r>
        <w:t>0</w:t>
      </w:r>
      <w:bookmarkStart w:id="0" w:name="_GoBack"/>
      <w:bookmarkEnd w:id="0"/>
      <w:r w:rsidRPr="00EE64E6">
        <w:t xml:space="preserve">200/2018 / </w:t>
      </w:r>
      <w:r w:rsidRPr="00EE64E6">
        <w:rPr>
          <w:rStyle w:val="reference"/>
          <w:lang w:val="en"/>
        </w:rPr>
        <w:t>TA -</w:t>
      </w:r>
      <w:proofErr w:type="gramStart"/>
      <w:r w:rsidRPr="00EE64E6">
        <w:rPr>
          <w:rStyle w:val="reference"/>
          <w:lang w:val="en"/>
        </w:rPr>
        <w:t>PROV(</w:t>
      </w:r>
      <w:proofErr w:type="gramEnd"/>
      <w:r w:rsidRPr="00EE64E6">
        <w:rPr>
          <w:rStyle w:val="reference"/>
          <w:lang w:val="en"/>
        </w:rPr>
        <w:t>2018)0289</w:t>
      </w:r>
    </w:p>
    <w:p w:rsidR="001218E8" w:rsidRPr="00EE64E6" w:rsidRDefault="001218E8" w:rsidP="001218E8">
      <w:pPr>
        <w:spacing w:after="240"/>
        <w:ind w:left="567" w:hanging="567"/>
      </w:pPr>
      <w:r w:rsidRPr="00EE64E6">
        <w:rPr>
          <w:b/>
        </w:rPr>
        <w:t>3.</w:t>
      </w:r>
      <w:r w:rsidRPr="00EE64E6">
        <w:rPr>
          <w:b/>
        </w:rPr>
        <w:tab/>
        <w:t>Date of adoption of the resolution:</w:t>
      </w:r>
      <w:r w:rsidRPr="00EE64E6">
        <w:t xml:space="preserve"> 4 July 2018</w:t>
      </w:r>
    </w:p>
    <w:p w:rsidR="001218E8" w:rsidRPr="00EE64E6" w:rsidRDefault="001218E8" w:rsidP="001218E8">
      <w:pPr>
        <w:spacing w:after="240"/>
        <w:ind w:left="567" w:hanging="567"/>
        <w:rPr>
          <w:b/>
        </w:rPr>
      </w:pPr>
      <w:r w:rsidRPr="00EE64E6">
        <w:rPr>
          <w:b/>
        </w:rPr>
        <w:t>4.</w:t>
      </w:r>
      <w:r w:rsidRPr="00EE64E6">
        <w:rPr>
          <w:b/>
        </w:rPr>
        <w:tab/>
        <w:t xml:space="preserve">Subject: </w:t>
      </w:r>
      <w:r w:rsidRPr="00EE64E6">
        <w:t>Vehicle taxation: charging of heavy good vehicles for the use of certain infrastructures</w:t>
      </w:r>
    </w:p>
    <w:p w:rsidR="001218E8" w:rsidRPr="00EE64E6" w:rsidRDefault="001218E8" w:rsidP="001218E8">
      <w:pPr>
        <w:spacing w:after="240"/>
        <w:ind w:left="567" w:hanging="567"/>
        <w:rPr>
          <w:b/>
        </w:rPr>
      </w:pPr>
      <w:r w:rsidRPr="00EE64E6">
        <w:rPr>
          <w:b/>
        </w:rPr>
        <w:t>5.</w:t>
      </w:r>
      <w:r w:rsidRPr="00EE64E6">
        <w:rPr>
          <w:b/>
        </w:rPr>
        <w:tab/>
      </w:r>
      <w:proofErr w:type="spellStart"/>
      <w:r w:rsidRPr="00EE64E6">
        <w:rPr>
          <w:b/>
        </w:rPr>
        <w:t>Interinstitutional</w:t>
      </w:r>
      <w:proofErr w:type="spellEnd"/>
      <w:r w:rsidRPr="00EE64E6">
        <w:rPr>
          <w:b/>
        </w:rPr>
        <w:t xml:space="preserve"> reference number: </w:t>
      </w:r>
      <w:r w:rsidRPr="00EE64E6">
        <w:t>2017/0115(CNS)</w:t>
      </w:r>
    </w:p>
    <w:p w:rsidR="001218E8" w:rsidRPr="00EE64E6" w:rsidRDefault="001218E8" w:rsidP="001218E8">
      <w:pPr>
        <w:spacing w:after="240"/>
        <w:ind w:left="567" w:hanging="567"/>
      </w:pPr>
      <w:r w:rsidRPr="00EE64E6">
        <w:rPr>
          <w:b/>
        </w:rPr>
        <w:t>6.</w:t>
      </w:r>
      <w:r w:rsidRPr="00EE64E6">
        <w:rPr>
          <w:b/>
        </w:rPr>
        <w:tab/>
        <w:t>Legal basis:</w:t>
      </w:r>
      <w:r w:rsidRPr="00EE64E6">
        <w:t xml:space="preserve"> </w:t>
      </w:r>
      <w:r w:rsidRPr="00EE64E6">
        <w:rPr>
          <w:szCs w:val="22"/>
        </w:rPr>
        <w:t>Article 113</w:t>
      </w:r>
      <w:r w:rsidRPr="00EE64E6">
        <w:t xml:space="preserve"> of</w:t>
      </w:r>
      <w:r w:rsidRPr="00EE64E6">
        <w:rPr>
          <w:szCs w:val="22"/>
        </w:rPr>
        <w:t xml:space="preserve"> the Treaty on the Functioning of the European Union</w:t>
      </w:r>
    </w:p>
    <w:p w:rsidR="001218E8" w:rsidRPr="00EE64E6" w:rsidRDefault="001218E8" w:rsidP="001218E8">
      <w:pPr>
        <w:spacing w:after="240"/>
        <w:ind w:left="567" w:hanging="567"/>
        <w:rPr>
          <w:i/>
        </w:rPr>
      </w:pPr>
      <w:r w:rsidRPr="00EE64E6">
        <w:rPr>
          <w:b/>
        </w:rPr>
        <w:t>7.</w:t>
      </w:r>
      <w:r w:rsidRPr="00EE64E6">
        <w:rPr>
          <w:b/>
        </w:rPr>
        <w:tab/>
        <w:t xml:space="preserve">Competent Parliamentary Committee: </w:t>
      </w:r>
      <w:r w:rsidRPr="00EE64E6">
        <w:t>Committee on Transport and Tourism (TRAN)</w:t>
      </w:r>
    </w:p>
    <w:p w:rsidR="001218E8" w:rsidRPr="00EE64E6" w:rsidRDefault="001218E8" w:rsidP="001218E8">
      <w:pPr>
        <w:spacing w:after="240"/>
        <w:ind w:left="567" w:hanging="567"/>
        <w:rPr>
          <w:b/>
        </w:rPr>
      </w:pPr>
      <w:r w:rsidRPr="00EE64E6">
        <w:rPr>
          <w:b/>
        </w:rPr>
        <w:t>8.</w:t>
      </w:r>
      <w:r w:rsidRPr="00EE64E6">
        <w:rPr>
          <w:b/>
        </w:rPr>
        <w:tab/>
        <w:t>Commission's position:</w:t>
      </w:r>
    </w:p>
    <w:p w:rsidR="001218E8" w:rsidRPr="00EE64E6" w:rsidRDefault="001218E8" w:rsidP="001218E8">
      <w:pPr>
        <w:spacing w:after="240"/>
        <w:ind w:left="567"/>
      </w:pPr>
      <w:r w:rsidRPr="00EE64E6">
        <w:rPr>
          <w:szCs w:val="22"/>
        </w:rPr>
        <w:t>The Parliament supports the objective of the Commission proposal and agrees that vehicles taxes are not effective when it comes to incentivising cleaner and more efficient operations or reducing congestion. Therefore, Member States should be allowed t</w:t>
      </w:r>
      <w:r w:rsidRPr="00EE64E6">
        <w:t>o lower vehicle taxes</w:t>
      </w:r>
      <w:r w:rsidRPr="00EE64E6">
        <w:rPr>
          <w:szCs w:val="22"/>
        </w:rPr>
        <w:t xml:space="preserve">, namely by way of a reduction of the minima set out in Directive 1999/62/EC. </w:t>
      </w:r>
      <w:r w:rsidRPr="00EE64E6">
        <w:t xml:space="preserve">The resolution includes only one substantial amendment to the Commission proposal, which is to simplify the reduction of the minimum tax, by reducing the minimum rate to zero after five years (2024) in </w:t>
      </w:r>
      <w:proofErr w:type="gramStart"/>
      <w:r w:rsidRPr="00EE64E6">
        <w:t>one step</w:t>
      </w:r>
      <w:proofErr w:type="gramEnd"/>
      <w:r w:rsidRPr="00EE64E6">
        <w:t xml:space="preserve"> instead of five consecutive steps as proposed by the Commission.</w:t>
      </w:r>
    </w:p>
    <w:p w:rsidR="001218E8" w:rsidRPr="00EE64E6" w:rsidRDefault="001218E8" w:rsidP="001218E8">
      <w:pPr>
        <w:spacing w:after="240"/>
        <w:ind w:left="567"/>
      </w:pPr>
      <w:r w:rsidRPr="00EE64E6">
        <w:rPr>
          <w:szCs w:val="22"/>
        </w:rPr>
        <w:t xml:space="preserve">It </w:t>
      </w:r>
      <w:proofErr w:type="gramStart"/>
      <w:r w:rsidRPr="00EE64E6">
        <w:rPr>
          <w:szCs w:val="22"/>
        </w:rPr>
        <w:t>should be noted</w:t>
      </w:r>
      <w:proofErr w:type="gramEnd"/>
      <w:r w:rsidRPr="00EE64E6">
        <w:rPr>
          <w:szCs w:val="22"/>
        </w:rPr>
        <w:t xml:space="preserve"> that the Commission proposed to reduce the level of taxation gradually in order to minimise the risk of distortions of competition between transport operators established in different Member States.</w:t>
      </w:r>
      <w:r w:rsidRPr="00EE64E6">
        <w:t xml:space="preserve"> In addition, while the idea behind the amendment of the European Parliament is to lessen the administrative burden on Member States, in practice, this would give them less room for manoeuver as it would postpone the reduction of the minimum levels of taxation to 2024.</w:t>
      </w:r>
    </w:p>
    <w:p w:rsidR="001218E8" w:rsidRPr="00EE64E6" w:rsidRDefault="001218E8" w:rsidP="001218E8">
      <w:pPr>
        <w:spacing w:after="240"/>
        <w:ind w:left="567" w:hanging="567"/>
        <w:rPr>
          <w:b/>
        </w:rPr>
      </w:pPr>
      <w:r w:rsidRPr="00EE64E6">
        <w:rPr>
          <w:b/>
        </w:rPr>
        <w:t>9.</w:t>
      </w:r>
      <w:r w:rsidRPr="00EE64E6">
        <w:rPr>
          <w:b/>
        </w:rPr>
        <w:tab/>
        <w:t xml:space="preserve">Outlook for amendment of the proposal: </w:t>
      </w:r>
      <w:r w:rsidRPr="00EE64E6">
        <w:t>The Commission maintains a general reserve at this stage, waiting for the discussions in the Council.</w:t>
      </w:r>
    </w:p>
    <w:p w:rsidR="001218E8" w:rsidRPr="00EE64E6" w:rsidRDefault="001218E8" w:rsidP="001218E8">
      <w:pPr>
        <w:spacing w:after="240"/>
        <w:ind w:left="567" w:hanging="567"/>
        <w:outlineLvl w:val="1"/>
      </w:pPr>
      <w:r w:rsidRPr="00EE64E6">
        <w:rPr>
          <w:b/>
        </w:rPr>
        <w:t>10.</w:t>
      </w:r>
      <w:r w:rsidRPr="00EE64E6">
        <w:rPr>
          <w:b/>
        </w:rPr>
        <w:tab/>
        <w:t>Outlook for the adoption of the proposal:</w:t>
      </w:r>
      <w:r w:rsidRPr="00EE64E6">
        <w:t xml:space="preserve"> So far, the Council has received a presentation of the impact assessment and the proposal, but it has not discussed the proposal in detail yet.</w:t>
      </w:r>
      <w:r w:rsidRPr="00EE64E6">
        <w:rPr>
          <w:highlight w:val="yellow"/>
        </w:rPr>
        <w:br w:type="page"/>
      </w:r>
    </w:p>
    <w:p w:rsidR="008765BE" w:rsidRDefault="008765BE"/>
    <w:sectPr w:rsidR="008765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8E8"/>
    <w:rsid w:val="001218E8"/>
    <w:rsid w:val="005762E3"/>
    <w:rsid w:val="00876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AFE59"/>
  <w15:chartTrackingRefBased/>
  <w15:docId w15:val="{6F9F5A8E-BE20-478B-84BD-7FE28E9BA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character" w:customStyle="1" w:styleId="reference">
    <w:name w:val="reference"/>
    <w:basedOn w:val="DefaultParagraphFont"/>
    <w:rsid w:val="00121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1938</Characters>
  <Application>Microsoft Office Word</Application>
  <DocSecurity>0</DocSecurity>
  <Lines>16</Lines>
  <Paragraphs>4</Paragraphs>
  <ScaleCrop>false</ScaleCrop>
  <Company>European Parliament</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BALAJKOVA Tatiana</dc:creator>
  <cp:keywords/>
  <dc:description/>
  <cp:lastModifiedBy>BALAJKOVA Tatiana</cp:lastModifiedBy>
  <cp:revision>1</cp:revision>
  <dcterms:created xsi:type="dcterms:W3CDTF">2018-11-20T13:53:00Z</dcterms:created>
  <dcterms:modified xsi:type="dcterms:W3CDTF">2018-11-20T13:59:00Z</dcterms:modified>
</cp:coreProperties>
</file>