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8EE" w:rsidRPr="00357E33" w:rsidRDefault="004E38EE" w:rsidP="004E38EE">
      <w:pPr>
        <w:pStyle w:val="Default"/>
        <w:spacing w:after="600"/>
        <w:jc w:val="center"/>
        <w:rPr>
          <w:b/>
          <w:bCs/>
        </w:rPr>
      </w:pPr>
      <w:r>
        <w:rPr>
          <w:b/>
        </w:rPr>
        <w:t xml:space="preserve">Suite donnée à la résolution non législative du Parlement européen du 24 octobre 2017 sur le projet de décision d’exécution de la Commission renouvelant l’autorisation </w:t>
      </w:r>
      <w:r w:rsidR="003A0C8E">
        <w:rPr>
          <w:b/>
        </w:rPr>
        <w:br/>
      </w:r>
      <w:r>
        <w:rPr>
          <w:b/>
        </w:rPr>
        <w:t xml:space="preserve">de mise sur le marché de produits contenant du maïs génétiquement modifié 1507 </w:t>
      </w:r>
      <w:r w:rsidR="003A0C8E">
        <w:rPr>
          <w:b/>
        </w:rPr>
        <w:br/>
      </w:r>
      <w:r>
        <w:rPr>
          <w:b/>
        </w:rPr>
        <w:t xml:space="preserve">(DAS-Ø15Ø7-1), consistant en ce maïs ou produits à partir de celui-ci, en application du règlement (CE) nº 1829/2003 du Parlement européen et du Conseil concernant </w:t>
      </w:r>
      <w:r w:rsidR="003A0C8E">
        <w:rPr>
          <w:b/>
        </w:rPr>
        <w:br/>
      </w:r>
      <w:r>
        <w:rPr>
          <w:b/>
        </w:rPr>
        <w:t>les denrées alimentaires et les aliments pour animaux génétiquement modifiés</w:t>
      </w:r>
    </w:p>
    <w:p w:rsidR="004E38EE" w:rsidRPr="00CC29D7" w:rsidRDefault="004E38EE" w:rsidP="004E38EE">
      <w:pPr>
        <w:pStyle w:val="Default"/>
        <w:spacing w:after="600"/>
        <w:jc w:val="center"/>
        <w:rPr>
          <w:b/>
          <w:bCs/>
          <w:sz w:val="23"/>
          <w:szCs w:val="23"/>
        </w:rPr>
      </w:pPr>
      <w:r>
        <w:rPr>
          <w:b/>
          <w:sz w:val="23"/>
        </w:rPr>
        <w:t>2017/2905 (RSP)</w:t>
      </w:r>
    </w:p>
    <w:p w:rsidR="004E38EE" w:rsidRPr="004E38EE" w:rsidRDefault="004E38EE" w:rsidP="004E38EE">
      <w:pPr>
        <w:widowControl w:val="0"/>
        <w:ind w:left="567" w:hanging="567"/>
        <w:outlineLvl w:val="0"/>
        <w:rPr>
          <w:rFonts w:ascii="Times New Roman" w:hAnsi="Times New Roman"/>
          <w:szCs w:val="24"/>
          <w:lang w:val="fr-BE"/>
        </w:rPr>
      </w:pPr>
      <w:r w:rsidRPr="004E38EE">
        <w:rPr>
          <w:rFonts w:ascii="Times New Roman" w:hAnsi="Times New Roman"/>
          <w:b/>
          <w:lang w:val="fr-BE"/>
        </w:rPr>
        <w:t>1.</w:t>
      </w:r>
      <w:r w:rsidRPr="004E38EE">
        <w:rPr>
          <w:lang w:val="fr-BE"/>
        </w:rPr>
        <w:tab/>
      </w:r>
      <w:r w:rsidRPr="004E38EE">
        <w:rPr>
          <w:rFonts w:ascii="Times New Roman" w:hAnsi="Times New Roman"/>
          <w:b/>
          <w:lang w:val="fr-BE"/>
        </w:rPr>
        <w:t>Résolution présentée, conformément à l’article 106, paragraphes 2 et 3, du règlement du Parlement européen, par la commission de l’environnement, de la santé publique et de la sécurité alimentaire (ENVI)</w:t>
      </w:r>
    </w:p>
    <w:p w:rsidR="004E38EE" w:rsidRPr="004E38EE" w:rsidRDefault="004E38EE" w:rsidP="004E38EE">
      <w:pPr>
        <w:widowControl w:val="0"/>
        <w:ind w:left="567" w:hanging="567"/>
        <w:outlineLvl w:val="0"/>
        <w:rPr>
          <w:rFonts w:ascii="Times New Roman" w:hAnsi="Times New Roman"/>
          <w:smallCaps/>
          <w:szCs w:val="24"/>
          <w:lang w:val="fr-BE"/>
        </w:rPr>
      </w:pPr>
      <w:r w:rsidRPr="004E38EE">
        <w:rPr>
          <w:rFonts w:ascii="Times New Roman" w:hAnsi="Times New Roman"/>
          <w:b/>
          <w:lang w:val="fr-BE"/>
        </w:rPr>
        <w:t>2.</w:t>
      </w:r>
      <w:r w:rsidRPr="004E38EE">
        <w:rPr>
          <w:lang w:val="fr-BE"/>
        </w:rPr>
        <w:tab/>
      </w:r>
      <w:r w:rsidRPr="004E38EE">
        <w:rPr>
          <w:rFonts w:ascii="Times New Roman" w:hAnsi="Times New Roman"/>
          <w:b/>
          <w:lang w:val="fr-BE"/>
        </w:rPr>
        <w:t xml:space="preserve">Numéro de référence du PE: </w:t>
      </w:r>
      <w:r w:rsidRPr="004E38EE">
        <w:rPr>
          <w:rFonts w:ascii="Times New Roman" w:hAnsi="Times New Roman"/>
          <w:smallCaps/>
          <w:lang w:val="fr-BE"/>
        </w:rPr>
        <w:t>B8-0568/2017</w:t>
      </w:r>
      <w:r w:rsidR="00F83E8F">
        <w:rPr>
          <w:rFonts w:ascii="Times New Roman" w:hAnsi="Times New Roman"/>
          <w:smallCaps/>
          <w:lang w:val="fr-BE"/>
        </w:rPr>
        <w:t xml:space="preserve"> </w:t>
      </w:r>
      <w:bookmarkStart w:id="0" w:name="_GoBack"/>
      <w:bookmarkEnd w:id="0"/>
      <w:r w:rsidRPr="004E38EE">
        <w:rPr>
          <w:rFonts w:ascii="Times New Roman" w:hAnsi="Times New Roman"/>
          <w:smallCaps/>
          <w:lang w:val="fr-BE"/>
        </w:rPr>
        <w:t>/</w:t>
      </w:r>
      <w:r w:rsidR="00F83E8F">
        <w:rPr>
          <w:rFonts w:ascii="Times New Roman" w:hAnsi="Times New Roman"/>
          <w:smallCaps/>
          <w:lang w:val="fr-BE"/>
        </w:rPr>
        <w:t xml:space="preserve"> </w:t>
      </w:r>
      <w:r w:rsidRPr="004E38EE">
        <w:rPr>
          <w:rFonts w:ascii="Times New Roman" w:hAnsi="Times New Roman"/>
          <w:smallCaps/>
          <w:lang w:val="fr-BE"/>
        </w:rPr>
        <w:t>P8_TA-PROV(2017)0396</w:t>
      </w:r>
    </w:p>
    <w:p w:rsidR="004E38EE" w:rsidRPr="004E38EE" w:rsidRDefault="004E38EE" w:rsidP="004E38EE">
      <w:pPr>
        <w:widowControl w:val="0"/>
        <w:ind w:left="567" w:hanging="567"/>
        <w:outlineLvl w:val="0"/>
        <w:rPr>
          <w:rFonts w:ascii="Times New Roman" w:hAnsi="Times New Roman"/>
          <w:lang w:val="fr-BE"/>
        </w:rPr>
      </w:pPr>
      <w:r w:rsidRPr="004E38EE">
        <w:rPr>
          <w:rFonts w:ascii="Times New Roman" w:hAnsi="Times New Roman"/>
          <w:b/>
          <w:lang w:val="fr-BE"/>
        </w:rPr>
        <w:t>3.</w:t>
      </w:r>
      <w:r w:rsidRPr="004E38EE">
        <w:rPr>
          <w:lang w:val="fr-BE"/>
        </w:rPr>
        <w:tab/>
      </w:r>
      <w:r w:rsidRPr="004E38EE">
        <w:rPr>
          <w:rFonts w:ascii="Times New Roman" w:hAnsi="Times New Roman"/>
          <w:b/>
          <w:lang w:val="fr-BE"/>
        </w:rPr>
        <w:t xml:space="preserve">Date d’adoption de la résolution: </w:t>
      </w:r>
      <w:r w:rsidRPr="004E38EE">
        <w:rPr>
          <w:rFonts w:ascii="Times New Roman" w:hAnsi="Times New Roman"/>
          <w:smallCaps/>
          <w:lang w:val="fr-BE"/>
        </w:rPr>
        <w:t>2</w:t>
      </w:r>
      <w:r w:rsidRPr="004E38EE">
        <w:rPr>
          <w:rFonts w:ascii="Times New Roman" w:hAnsi="Times New Roman"/>
          <w:lang w:val="fr-BE"/>
        </w:rPr>
        <w:t>4 octobre 2017</w:t>
      </w:r>
    </w:p>
    <w:p w:rsidR="004E38EE" w:rsidRPr="004E38EE" w:rsidRDefault="004E38EE" w:rsidP="004E38EE">
      <w:pPr>
        <w:widowControl w:val="0"/>
        <w:ind w:left="567" w:hanging="567"/>
        <w:rPr>
          <w:rFonts w:ascii="Times New Roman" w:hAnsi="Times New Roman"/>
          <w:szCs w:val="24"/>
          <w:lang w:val="fr-BE"/>
        </w:rPr>
      </w:pPr>
      <w:r w:rsidRPr="004E38EE">
        <w:rPr>
          <w:rFonts w:ascii="Times New Roman" w:hAnsi="Times New Roman"/>
          <w:b/>
          <w:lang w:val="fr-BE"/>
        </w:rPr>
        <w:t>4.</w:t>
      </w:r>
      <w:r w:rsidRPr="004E38EE">
        <w:rPr>
          <w:lang w:val="fr-BE"/>
        </w:rPr>
        <w:tab/>
      </w:r>
      <w:r w:rsidRPr="004E38EE">
        <w:rPr>
          <w:rFonts w:ascii="Times New Roman" w:hAnsi="Times New Roman"/>
          <w:b/>
          <w:lang w:val="fr-BE"/>
        </w:rPr>
        <w:t>Objet:</w:t>
      </w:r>
      <w:r w:rsidRPr="004E38EE">
        <w:rPr>
          <w:rFonts w:ascii="Times New Roman" w:hAnsi="Times New Roman"/>
          <w:lang w:val="fr-BE"/>
        </w:rPr>
        <w:t xml:space="preserve"> Renouvellement de l’autorisation de mise sur le marché de produits contenant du maïs génétiquement modifié 1507 en application du règlement (CE) nº 1829/2003 du Parlement européen et du Conseil</w:t>
      </w:r>
    </w:p>
    <w:p w:rsidR="004E38EE" w:rsidRPr="004E38EE" w:rsidRDefault="004E38EE" w:rsidP="004E38EE">
      <w:pPr>
        <w:pStyle w:val="NormalWeb"/>
        <w:widowControl w:val="0"/>
        <w:spacing w:before="0" w:beforeAutospacing="0" w:after="240" w:afterAutospacing="0"/>
        <w:ind w:left="567" w:hanging="567"/>
        <w:jc w:val="both"/>
        <w:rPr>
          <w:b/>
          <w:bCs/>
          <w:color w:val="000000"/>
          <w:lang w:val="fr-BE"/>
        </w:rPr>
      </w:pPr>
      <w:r w:rsidRPr="004E38EE">
        <w:rPr>
          <w:b/>
          <w:color w:val="000000"/>
          <w:lang w:val="fr-BE"/>
        </w:rPr>
        <w:t>6.</w:t>
      </w:r>
      <w:r w:rsidRPr="004E38EE">
        <w:rPr>
          <w:lang w:val="fr-BE"/>
        </w:rPr>
        <w:tab/>
      </w:r>
      <w:r w:rsidRPr="004E38EE">
        <w:rPr>
          <w:b/>
          <w:lang w:val="fr-BE"/>
        </w:rPr>
        <w:t>Commission parlementaire compétente:</w:t>
      </w:r>
      <w:r w:rsidRPr="004E38EE">
        <w:rPr>
          <w:lang w:val="fr-BE"/>
        </w:rPr>
        <w:t xml:space="preserve"> Commission de l’environnement, de la santé publique et de la sécurité alimentaire (ENVI)</w:t>
      </w:r>
    </w:p>
    <w:p w:rsidR="004E38EE" w:rsidRPr="004E38EE" w:rsidRDefault="004E38EE" w:rsidP="004E38EE">
      <w:pPr>
        <w:ind w:left="567" w:hanging="567"/>
        <w:rPr>
          <w:rFonts w:ascii="Times New Roman" w:hAnsi="Times New Roman"/>
          <w:b/>
          <w:color w:val="000000"/>
          <w:szCs w:val="24"/>
          <w:lang w:val="fr-BE"/>
        </w:rPr>
      </w:pPr>
      <w:r w:rsidRPr="004E38EE">
        <w:rPr>
          <w:rFonts w:ascii="Times New Roman" w:hAnsi="Times New Roman"/>
          <w:b/>
          <w:color w:val="000000"/>
          <w:lang w:val="fr-BE"/>
        </w:rPr>
        <w:t>7.</w:t>
      </w:r>
      <w:r w:rsidRPr="004E38EE">
        <w:rPr>
          <w:lang w:val="fr-BE"/>
        </w:rPr>
        <w:tab/>
      </w:r>
      <w:r w:rsidRPr="004E38EE">
        <w:rPr>
          <w:rFonts w:ascii="Times New Roman" w:hAnsi="Times New Roman"/>
          <w:b/>
          <w:color w:val="000000"/>
          <w:lang w:val="fr-BE"/>
        </w:rPr>
        <w:t>Analyse/évaluation succincte de la résolution et des demandes qu’elle contient:</w:t>
      </w:r>
    </w:p>
    <w:p w:rsidR="004E38EE" w:rsidRPr="004E38EE" w:rsidRDefault="004E38EE" w:rsidP="004E38EE">
      <w:pPr>
        <w:spacing w:after="120"/>
        <w:rPr>
          <w:rFonts w:ascii="Times New Roman" w:hAnsi="Times New Roman"/>
          <w:szCs w:val="24"/>
          <w:lang w:val="fr-BE"/>
        </w:rPr>
      </w:pPr>
      <w:r w:rsidRPr="004E38EE">
        <w:rPr>
          <w:rFonts w:ascii="Times New Roman" w:hAnsi="Times New Roman"/>
          <w:lang w:val="fr-BE"/>
        </w:rPr>
        <w:t>Dans sa résolution, le Parlement demande le retrait du projet de décision d’exécution de la Commission (</w:t>
      </w:r>
      <w:r w:rsidRPr="004E38EE">
        <w:rPr>
          <w:rFonts w:ascii="Times New Roman" w:hAnsi="Times New Roman"/>
          <w:b/>
          <w:lang w:val="fr-BE"/>
        </w:rPr>
        <w:t>paragraphe 3</w:t>
      </w:r>
      <w:r w:rsidRPr="004E38EE">
        <w:rPr>
          <w:rFonts w:ascii="Times New Roman" w:hAnsi="Times New Roman"/>
          <w:lang w:val="fr-BE"/>
        </w:rPr>
        <w:t>), au motif que ce projet de décision d’exécution de la Commission excède les compétences d’exécution prévues dans le règlement (CE) nº 1829/2003 (</w:t>
      </w:r>
      <w:r w:rsidRPr="004E38EE">
        <w:rPr>
          <w:rFonts w:ascii="Times New Roman" w:hAnsi="Times New Roman"/>
          <w:b/>
          <w:lang w:val="fr-BE"/>
        </w:rPr>
        <w:t>paragraphe 1</w:t>
      </w:r>
      <w:r w:rsidRPr="004E38EE">
        <w:rPr>
          <w:rFonts w:ascii="Times New Roman" w:hAnsi="Times New Roman"/>
          <w:lang w:val="fr-BE"/>
        </w:rPr>
        <w:t>) et qu’il n’est pas compatible avec l’objectif du règlement (CE) nº 1829/2003 ni avec les principes généraux prévus dans le règlement (CE) nº 178/2002, à savoir la protection de la vie et de la santé des personnes, de la santé et du bien-être des animaux, de l’environnement et des intérêts des consommateurs (</w:t>
      </w:r>
      <w:r w:rsidRPr="004E38EE">
        <w:rPr>
          <w:rFonts w:ascii="Times New Roman" w:hAnsi="Times New Roman"/>
          <w:b/>
          <w:lang w:val="fr-BE"/>
        </w:rPr>
        <w:t>paragraphe 2</w:t>
      </w:r>
      <w:r w:rsidRPr="004E38EE">
        <w:rPr>
          <w:rFonts w:ascii="Times New Roman" w:hAnsi="Times New Roman"/>
          <w:lang w:val="fr-BE"/>
        </w:rPr>
        <w:t>). Le Parlement invite en outre la Commission à suspendre toute décision d’exécution relative aux demandes d’autorisation d’organismes génétiquement modifiés jusqu’à ce que la procédure d’autorisation ait été révisée de manière à remédier aux lacunes de la procédure actuelle, qui s’est révélée, selon lui, inadéquate</w:t>
      </w:r>
      <w:r w:rsidRPr="004E38EE">
        <w:rPr>
          <w:sz w:val="23"/>
          <w:lang w:val="fr-BE"/>
        </w:rPr>
        <w:t xml:space="preserve"> </w:t>
      </w:r>
      <w:r w:rsidRPr="004E38EE">
        <w:rPr>
          <w:rFonts w:ascii="Times New Roman" w:hAnsi="Times New Roman"/>
          <w:lang w:val="fr-BE"/>
        </w:rPr>
        <w:t>(</w:t>
      </w:r>
      <w:r w:rsidRPr="004E38EE">
        <w:rPr>
          <w:rFonts w:ascii="Times New Roman" w:hAnsi="Times New Roman"/>
          <w:b/>
          <w:lang w:val="fr-BE"/>
        </w:rPr>
        <w:t>paragraphe 4</w:t>
      </w:r>
      <w:r w:rsidRPr="004E38EE">
        <w:rPr>
          <w:rFonts w:ascii="Times New Roman" w:hAnsi="Times New Roman"/>
          <w:lang w:val="fr-BE"/>
        </w:rPr>
        <w:t>). Il demande également aux législateurs compétents de s’attacher d’urgence à mener à bien les travaux sur la proposition de la Commission en vue de la modification du règlement (UE) nº 182/2011 et de garantir, entre autres, que si le comité permanent de la chaîne alimentaire et de la santé animale ne se prononce pas sur l’approbation d’organismes génétiquement modifiés (OGM), la Commission retirera sa proposition (</w:t>
      </w:r>
      <w:r w:rsidRPr="004E38EE">
        <w:rPr>
          <w:rFonts w:ascii="Times New Roman" w:hAnsi="Times New Roman"/>
          <w:b/>
          <w:lang w:val="fr-BE"/>
        </w:rPr>
        <w:t>paragraphe 5</w:t>
      </w:r>
      <w:r w:rsidRPr="004E38EE">
        <w:rPr>
          <w:rFonts w:ascii="Times New Roman" w:hAnsi="Times New Roman"/>
          <w:lang w:val="fr-BE"/>
        </w:rPr>
        <w:t>). Dans sa résolution, le Parlement invite en outre la Commission à ne pas autoriser de plantes génétiquement modifiées tolérantes aux herbicides sans évaluation complète des effets cumulatifs spécifiques des résidus de la pulvérisation de la combinaison d’herbicides complémentaires et de leurs formules commerciales telles qu’utilisées dans les pays où ces plantes sont cultivées (</w:t>
      </w:r>
      <w:r w:rsidRPr="004E38EE">
        <w:rPr>
          <w:rFonts w:ascii="Times New Roman" w:hAnsi="Times New Roman"/>
          <w:b/>
          <w:lang w:val="fr-BE"/>
        </w:rPr>
        <w:t>paragraphe 6</w:t>
      </w:r>
      <w:r w:rsidRPr="004E38EE">
        <w:rPr>
          <w:rFonts w:ascii="Times New Roman" w:hAnsi="Times New Roman"/>
          <w:lang w:val="fr-BE"/>
        </w:rPr>
        <w:t>). Enfin, le Parlement invite la Commission à intégrer entièrement l’évaluation des risques de l’utilisation des herbicides complémentaires et de leurs résidus dans l’évaluation des risques des plantes génétiquement modifiées tolérantes aux herbicides (</w:t>
      </w:r>
      <w:r w:rsidRPr="004E38EE">
        <w:rPr>
          <w:rFonts w:ascii="Times New Roman" w:hAnsi="Times New Roman"/>
          <w:b/>
          <w:lang w:val="fr-BE"/>
        </w:rPr>
        <w:t>paragraphe 8</w:t>
      </w:r>
      <w:r w:rsidRPr="004E38EE">
        <w:rPr>
          <w:rFonts w:ascii="Times New Roman" w:hAnsi="Times New Roman"/>
          <w:lang w:val="fr-BE"/>
        </w:rPr>
        <w:t>) et à élaborer des stratégies en matière d’évaluation des risques pour la santé et de toxicologie ainsi que de surveillance après la mise sur le marché ciblant l’ensemble de la chaîne alimentaire humaine et animale (</w:t>
      </w:r>
      <w:r w:rsidRPr="004E38EE">
        <w:rPr>
          <w:rFonts w:ascii="Times New Roman" w:hAnsi="Times New Roman"/>
          <w:b/>
          <w:lang w:val="fr-BE"/>
        </w:rPr>
        <w:t>paragraphe 7</w:t>
      </w:r>
      <w:r w:rsidRPr="004E38EE">
        <w:rPr>
          <w:rFonts w:ascii="Times New Roman" w:hAnsi="Times New Roman"/>
          <w:lang w:val="fr-BE"/>
        </w:rPr>
        <w:t>).</w:t>
      </w:r>
    </w:p>
    <w:p w:rsidR="004E38EE" w:rsidRPr="004E38EE" w:rsidRDefault="004E38EE" w:rsidP="004E38EE">
      <w:pPr>
        <w:spacing w:after="120"/>
        <w:rPr>
          <w:rFonts w:ascii="Times New Roman" w:hAnsi="Times New Roman"/>
          <w:szCs w:val="24"/>
          <w:lang w:val="fr-BE"/>
        </w:rPr>
      </w:pPr>
      <w:r w:rsidRPr="004E38EE">
        <w:rPr>
          <w:rFonts w:ascii="Times New Roman" w:hAnsi="Times New Roman"/>
          <w:lang w:val="fr-BE"/>
        </w:rPr>
        <w:lastRenderedPageBreak/>
        <w:t>Dans sa résolution, le Parlement rappelle les résultats du vote sur le projet de décision d’exécution au sein du comité permanent (14 septembre 2017) (</w:t>
      </w:r>
      <w:r w:rsidRPr="004E38EE">
        <w:rPr>
          <w:rFonts w:ascii="Times New Roman" w:hAnsi="Times New Roman"/>
          <w:b/>
          <w:lang w:val="fr-BE"/>
        </w:rPr>
        <w:t>considérant N</w:t>
      </w:r>
      <w:r w:rsidRPr="004E38EE">
        <w:rPr>
          <w:rFonts w:ascii="Times New Roman" w:hAnsi="Times New Roman"/>
          <w:lang w:val="fr-BE"/>
        </w:rPr>
        <w:t xml:space="preserve">), et rappelle que le maïs génétiquement modifié est tolérant aux herbicides à base de </w:t>
      </w:r>
      <w:proofErr w:type="spellStart"/>
      <w:r w:rsidRPr="004E38EE">
        <w:rPr>
          <w:rFonts w:ascii="Times New Roman" w:hAnsi="Times New Roman"/>
          <w:lang w:val="fr-BE"/>
        </w:rPr>
        <w:t>glufosinate</w:t>
      </w:r>
      <w:proofErr w:type="spellEnd"/>
      <w:r w:rsidRPr="004E38EE">
        <w:rPr>
          <w:rFonts w:ascii="Times New Roman" w:hAnsi="Times New Roman"/>
          <w:lang w:val="fr-BE"/>
        </w:rPr>
        <w:t xml:space="preserve"> ammonium et exprime la protéine Cry1F qui confère une résistance contre les pyrales du maïs et certains autres parasites de l’ordre des lépidoptères</w:t>
      </w:r>
      <w:r w:rsidRPr="004E38EE">
        <w:rPr>
          <w:rFonts w:ascii="Times New Roman" w:hAnsi="Times New Roman"/>
          <w:b/>
          <w:lang w:val="fr-BE"/>
        </w:rPr>
        <w:t xml:space="preserve"> </w:t>
      </w:r>
      <w:r w:rsidRPr="004E38EE">
        <w:rPr>
          <w:rFonts w:ascii="Times New Roman" w:hAnsi="Times New Roman"/>
          <w:lang w:val="fr-BE"/>
        </w:rPr>
        <w:t>(</w:t>
      </w:r>
      <w:r w:rsidRPr="004E38EE">
        <w:rPr>
          <w:rFonts w:ascii="Times New Roman" w:hAnsi="Times New Roman"/>
          <w:b/>
          <w:lang w:val="fr-BE"/>
        </w:rPr>
        <w:t>considérant D</w:t>
      </w:r>
      <w:r w:rsidRPr="004E38EE">
        <w:rPr>
          <w:rFonts w:ascii="Times New Roman" w:hAnsi="Times New Roman"/>
          <w:lang w:val="fr-BE"/>
        </w:rPr>
        <w:t xml:space="preserve">). En outre, le Parlement rappelle que le </w:t>
      </w:r>
      <w:proofErr w:type="spellStart"/>
      <w:r w:rsidRPr="004E38EE">
        <w:rPr>
          <w:rFonts w:ascii="Times New Roman" w:hAnsi="Times New Roman"/>
          <w:lang w:val="fr-BE"/>
        </w:rPr>
        <w:t>glufosinate</w:t>
      </w:r>
      <w:proofErr w:type="spellEnd"/>
      <w:r w:rsidRPr="004E38EE">
        <w:rPr>
          <w:rFonts w:ascii="Times New Roman" w:hAnsi="Times New Roman"/>
          <w:lang w:val="fr-BE"/>
        </w:rPr>
        <w:t xml:space="preserve"> est classé comme substance toxique pour la reproduction et que les protéines Cry peuvent être toxiques et peuvent persister dans l’environnement (</w:t>
      </w:r>
      <w:r w:rsidRPr="004E38EE">
        <w:rPr>
          <w:rFonts w:ascii="Times New Roman" w:hAnsi="Times New Roman"/>
          <w:b/>
          <w:lang w:val="fr-BE"/>
        </w:rPr>
        <w:t>considérants E, I et J</w:t>
      </w:r>
      <w:r w:rsidRPr="004E38EE">
        <w:rPr>
          <w:rFonts w:ascii="Times New Roman" w:hAnsi="Times New Roman"/>
          <w:lang w:val="fr-BE"/>
        </w:rPr>
        <w:t>).</w:t>
      </w:r>
    </w:p>
    <w:p w:rsidR="004E38EE" w:rsidRPr="004E38EE" w:rsidRDefault="004E38EE" w:rsidP="004E38EE">
      <w:pPr>
        <w:spacing w:after="120"/>
        <w:rPr>
          <w:rFonts w:ascii="Times New Roman" w:hAnsi="Times New Roman"/>
          <w:szCs w:val="24"/>
          <w:lang w:val="fr-BE"/>
        </w:rPr>
      </w:pPr>
      <w:r w:rsidRPr="004E38EE">
        <w:rPr>
          <w:rFonts w:ascii="Times New Roman" w:hAnsi="Times New Roman"/>
          <w:lang w:val="fr-BE"/>
        </w:rPr>
        <w:t>Il rappelle que le renvoi des projets des décisions d’autorisation à la Commission pour décision finale, sans le soutien du comité permanent de la chaîne alimentaire et de la santé animale, est devenu la norme en matière de décision sur les autorisations des denrées alimentaires et des aliments pour animaux génétiquement modifiés (</w:t>
      </w:r>
      <w:r w:rsidRPr="004E38EE">
        <w:rPr>
          <w:rFonts w:ascii="Times New Roman" w:hAnsi="Times New Roman"/>
          <w:b/>
          <w:lang w:val="fr-BE"/>
        </w:rPr>
        <w:t>considérant O</w:t>
      </w:r>
      <w:r w:rsidRPr="004E38EE">
        <w:rPr>
          <w:rFonts w:ascii="Times New Roman" w:hAnsi="Times New Roman"/>
          <w:lang w:val="fr-BE"/>
        </w:rPr>
        <w:t>). Le Parlement considère par ailleurs que la proposition de la Commission en vue de la modification du règlement (UE) nº 182/2011 est insuffisante pour ce qui est de remédier au défaut de démocratie dans la procédure d’autorisation d’OGM, et il propose le retrait de la décision d’autorisation de la Commission lorsque le comité permanent de la chaîne alimentaire et de la santé animale ne se prononce pas, procédure qui existe déjà pour d’autres comités permanents (</w:t>
      </w:r>
      <w:r w:rsidRPr="004E38EE">
        <w:rPr>
          <w:rFonts w:ascii="Times New Roman" w:hAnsi="Times New Roman"/>
          <w:b/>
          <w:lang w:val="fr-BE"/>
        </w:rPr>
        <w:t>considérants R et S</w:t>
      </w:r>
      <w:r w:rsidRPr="004E38EE">
        <w:rPr>
          <w:rFonts w:ascii="Times New Roman" w:hAnsi="Times New Roman"/>
          <w:lang w:val="fr-BE"/>
        </w:rPr>
        <w:t>). Enfin, le Parlement rappelle qu’il a rejeté la proposition législative de la Commission du 22 avril 2015 modifiant le règlement (CE) nº 1829/2003, et qu’il a invité la Commission à la retirer et à en présenter une nouvelle (</w:t>
      </w:r>
      <w:r w:rsidRPr="004E38EE">
        <w:rPr>
          <w:rFonts w:ascii="Times New Roman" w:hAnsi="Times New Roman"/>
          <w:b/>
          <w:lang w:val="fr-BE"/>
        </w:rPr>
        <w:t>considérant P</w:t>
      </w:r>
      <w:r w:rsidRPr="004E38EE">
        <w:rPr>
          <w:rFonts w:ascii="Times New Roman" w:hAnsi="Times New Roman"/>
          <w:lang w:val="fr-BE"/>
        </w:rPr>
        <w:t>).</w:t>
      </w:r>
    </w:p>
    <w:p w:rsidR="004E38EE" w:rsidRPr="004E38EE" w:rsidRDefault="004E38EE" w:rsidP="004E38EE">
      <w:pPr>
        <w:spacing w:before="240"/>
        <w:ind w:left="567" w:hanging="567"/>
        <w:rPr>
          <w:rFonts w:ascii="Times New Roman" w:hAnsi="Times New Roman"/>
          <w:b/>
          <w:color w:val="000000"/>
          <w:szCs w:val="24"/>
          <w:lang w:val="fr-BE"/>
        </w:rPr>
      </w:pPr>
      <w:r w:rsidRPr="004E38EE">
        <w:rPr>
          <w:rFonts w:ascii="Times New Roman" w:hAnsi="Times New Roman"/>
          <w:b/>
          <w:color w:val="000000"/>
          <w:lang w:val="fr-BE"/>
        </w:rPr>
        <w:t>8.</w:t>
      </w:r>
      <w:r w:rsidRPr="004E38EE">
        <w:rPr>
          <w:lang w:val="fr-BE"/>
        </w:rPr>
        <w:tab/>
      </w:r>
      <w:r w:rsidRPr="004E38EE">
        <w:rPr>
          <w:rFonts w:ascii="Times New Roman" w:hAnsi="Times New Roman"/>
          <w:b/>
          <w:color w:val="000000"/>
          <w:lang w:val="fr-BE"/>
        </w:rPr>
        <w:t>Réponses aux demandes du Parlement européen et aperçu des mesures que la Commission a prises ou envisage de prendre:</w:t>
      </w:r>
    </w:p>
    <w:p w:rsidR="004E38EE" w:rsidRPr="004E38EE" w:rsidRDefault="004E38EE" w:rsidP="004E38EE">
      <w:pPr>
        <w:spacing w:after="120"/>
        <w:rPr>
          <w:rFonts w:ascii="Times New Roman" w:hAnsi="Times New Roman"/>
          <w:szCs w:val="24"/>
          <w:lang w:val="fr-BE"/>
        </w:rPr>
      </w:pPr>
      <w:r w:rsidRPr="004E38EE">
        <w:rPr>
          <w:rFonts w:ascii="Times New Roman" w:hAnsi="Times New Roman"/>
          <w:lang w:val="fr-BE"/>
        </w:rPr>
        <w:t>La Commission souhaite expliquer que le projet de décision d’exécution dont il est question renouvelle l’autorisation de mise sur le marché de produits contenant du maïs génétiquement modifié 1507, consistant en ce maïs ou produits à partir de celui-ci, en application du règlement (CE) nº 1829/2003.</w:t>
      </w:r>
    </w:p>
    <w:p w:rsidR="004E38EE" w:rsidRPr="004E38EE" w:rsidRDefault="004E38EE" w:rsidP="004E38EE">
      <w:pPr>
        <w:spacing w:after="120"/>
        <w:rPr>
          <w:rFonts w:ascii="Times New Roman" w:hAnsi="Times New Roman"/>
          <w:szCs w:val="24"/>
          <w:lang w:val="fr-BE"/>
        </w:rPr>
      </w:pPr>
      <w:r w:rsidRPr="004E38EE">
        <w:rPr>
          <w:rFonts w:ascii="Times New Roman" w:hAnsi="Times New Roman"/>
          <w:lang w:val="fr-BE"/>
        </w:rPr>
        <w:t>En ce qui concerne les</w:t>
      </w:r>
      <w:r w:rsidRPr="004E38EE">
        <w:rPr>
          <w:rFonts w:ascii="Times New Roman" w:hAnsi="Times New Roman"/>
          <w:b/>
          <w:lang w:val="fr-BE"/>
        </w:rPr>
        <w:t xml:space="preserve"> paragraphes 1 à 4</w:t>
      </w:r>
      <w:r w:rsidRPr="004E38EE">
        <w:rPr>
          <w:rFonts w:ascii="Times New Roman" w:hAnsi="Times New Roman"/>
          <w:lang w:val="fr-BE"/>
        </w:rPr>
        <w:t xml:space="preserve"> de la résolution, la Commission entend souligner que le projet de décision d’exécution concernant le renouvellement de l’autorisation de mise sur le marché de maïs génétiquement modifié 1507 a été traité conformément aux règles de procédure prévues par le règlement (UE) nº 182/2011 sur la comitologie et par le règlement (CE) nº 1829/2003 concernant les denrées alimentaires et les aliments pour animaux génétiquement modifiés, comme illustré ci-après:</w:t>
      </w:r>
    </w:p>
    <w:p w:rsidR="004E38EE" w:rsidRPr="004E38EE" w:rsidRDefault="004E38EE" w:rsidP="004E38EE">
      <w:pPr>
        <w:numPr>
          <w:ilvl w:val="1"/>
          <w:numId w:val="27"/>
        </w:numPr>
        <w:spacing w:after="120"/>
        <w:ind w:left="567" w:hanging="567"/>
        <w:rPr>
          <w:rFonts w:ascii="Times New Roman" w:hAnsi="Times New Roman"/>
          <w:lang w:val="fr-BE"/>
        </w:rPr>
      </w:pPr>
      <w:r w:rsidRPr="004E38EE">
        <w:rPr>
          <w:rFonts w:ascii="Times New Roman" w:hAnsi="Times New Roman"/>
          <w:snapToGrid w:val="0"/>
          <w:lang w:val="fr-BE"/>
        </w:rPr>
        <w:t xml:space="preserve">Le 27 février 2015, Pioneer </w:t>
      </w:r>
      <w:proofErr w:type="spellStart"/>
      <w:r w:rsidRPr="004E38EE">
        <w:rPr>
          <w:rFonts w:ascii="Times New Roman" w:hAnsi="Times New Roman"/>
          <w:snapToGrid w:val="0"/>
          <w:lang w:val="fr-BE"/>
        </w:rPr>
        <w:t>Overseas</w:t>
      </w:r>
      <w:proofErr w:type="spellEnd"/>
      <w:r w:rsidRPr="004E38EE">
        <w:rPr>
          <w:rFonts w:ascii="Times New Roman" w:hAnsi="Times New Roman"/>
          <w:snapToGrid w:val="0"/>
          <w:lang w:val="fr-BE"/>
        </w:rPr>
        <w:t xml:space="preserve"> Corporation et Dow </w:t>
      </w:r>
      <w:proofErr w:type="spellStart"/>
      <w:r w:rsidRPr="004E38EE">
        <w:rPr>
          <w:rFonts w:ascii="Times New Roman" w:hAnsi="Times New Roman"/>
          <w:snapToGrid w:val="0"/>
          <w:lang w:val="fr-BE"/>
        </w:rPr>
        <w:t>AgroSciences</w:t>
      </w:r>
      <w:proofErr w:type="spellEnd"/>
      <w:r w:rsidRPr="004E38EE">
        <w:rPr>
          <w:rFonts w:ascii="Times New Roman" w:hAnsi="Times New Roman"/>
          <w:snapToGrid w:val="0"/>
          <w:lang w:val="fr-BE"/>
        </w:rPr>
        <w:t xml:space="preserve"> Ltd.</w:t>
      </w:r>
      <w:r w:rsidRPr="004E38EE">
        <w:rPr>
          <w:rFonts w:ascii="Times New Roman" w:hAnsi="Times New Roman"/>
          <w:color w:val="000000"/>
          <w:lang w:val="fr-BE"/>
        </w:rPr>
        <w:t xml:space="preserve"> ont présenté conjointement une demande à la Commission,</w:t>
      </w:r>
      <w:r w:rsidRPr="004E38EE">
        <w:rPr>
          <w:rFonts w:ascii="Times New Roman" w:hAnsi="Times New Roman"/>
          <w:lang w:val="fr-BE"/>
        </w:rPr>
        <w:t xml:space="preserve"> conformément aux articles 11 et 23 du règlement (CE) nº 1829/2003, en vue du renouvellement de l’autorisation de mise sur le marché de maïs génétiquement modifié 1507 destiné à être utilisé dans des denrées alimentaires et des aliments pour animaux.</w:t>
      </w:r>
    </w:p>
    <w:p w:rsidR="004E38EE" w:rsidRPr="004E38EE" w:rsidRDefault="004E38EE" w:rsidP="004E38EE">
      <w:pPr>
        <w:pStyle w:val="Considrant"/>
        <w:numPr>
          <w:ilvl w:val="1"/>
          <w:numId w:val="27"/>
        </w:numPr>
        <w:spacing w:before="0"/>
        <w:ind w:left="567" w:hanging="567"/>
        <w:rPr>
          <w:lang w:val="fr-BE"/>
        </w:rPr>
      </w:pPr>
      <w:r w:rsidRPr="004E38EE">
        <w:rPr>
          <w:lang w:val="fr-BE"/>
        </w:rPr>
        <w:t>Sur la base des données fournies, l’Autorité européenne de sécurité des aliments (EFSA) a conclu qu’aucun danger nouveau ou exposition modifiée ni nouvelles incertitudes scientifiques n’ont été mis en évidence qui soient de nature à modifier les conclusions de l’évaluation des risques initiale relative au maïs 1507. Le 12 janvier 2017, l’EFSA a émis un avis favorable sur cette demande, conformément aux articles 6 et 18 du règlement (CE) nº 1829/2003.</w:t>
      </w:r>
    </w:p>
    <w:p w:rsidR="004E38EE" w:rsidRPr="004E38EE" w:rsidRDefault="004E38EE" w:rsidP="004E38EE">
      <w:pPr>
        <w:pStyle w:val="Considrant"/>
        <w:numPr>
          <w:ilvl w:val="1"/>
          <w:numId w:val="27"/>
        </w:numPr>
        <w:spacing w:before="0"/>
        <w:ind w:left="567" w:hanging="567"/>
        <w:rPr>
          <w:lang w:val="fr-BE"/>
        </w:rPr>
      </w:pPr>
      <w:r w:rsidRPr="004E38EE">
        <w:rPr>
          <w:lang w:val="fr-BE"/>
        </w:rPr>
        <w:t>Dans son avis, l’EFSA a pris en considération l’ensemble des questions et préoccupations spécifiques exprimées par les États membres lors de la consultation des autorités nationales compétentes, comme le prévoient l’article 6, paragraphe 4, et l’article 18, paragraphe 4, du règlement (CE) nº 1829/2003.</w:t>
      </w:r>
    </w:p>
    <w:p w:rsidR="004E38EE" w:rsidRPr="004E38EE" w:rsidRDefault="004E38EE" w:rsidP="004E38EE">
      <w:pPr>
        <w:numPr>
          <w:ilvl w:val="1"/>
          <w:numId w:val="27"/>
        </w:numPr>
        <w:spacing w:after="120"/>
        <w:ind w:left="567" w:hanging="567"/>
        <w:rPr>
          <w:rFonts w:ascii="Times New Roman" w:hAnsi="Times New Roman"/>
          <w:szCs w:val="24"/>
          <w:lang w:val="fr-BE"/>
        </w:rPr>
      </w:pPr>
      <w:r w:rsidRPr="004E38EE">
        <w:rPr>
          <w:rFonts w:ascii="Times New Roman" w:hAnsi="Times New Roman"/>
          <w:lang w:val="fr-BE"/>
        </w:rPr>
        <w:lastRenderedPageBreak/>
        <w:t>Le public a eu l’occasion de formuler des observations sur l’avis de l’EFSA, mais aucun commentaire n’a été reçu sur cet avis.</w:t>
      </w:r>
    </w:p>
    <w:p w:rsidR="004E38EE" w:rsidRPr="004E38EE" w:rsidRDefault="004E38EE" w:rsidP="004E38EE">
      <w:pPr>
        <w:numPr>
          <w:ilvl w:val="1"/>
          <w:numId w:val="27"/>
        </w:numPr>
        <w:spacing w:after="120"/>
        <w:ind w:left="567" w:hanging="567"/>
        <w:rPr>
          <w:rFonts w:ascii="Times New Roman" w:hAnsi="Times New Roman"/>
          <w:szCs w:val="24"/>
          <w:lang w:val="fr-BE"/>
        </w:rPr>
      </w:pPr>
      <w:r w:rsidRPr="004E38EE">
        <w:rPr>
          <w:rFonts w:ascii="Times New Roman" w:hAnsi="Times New Roman"/>
          <w:lang w:val="fr-BE"/>
        </w:rPr>
        <w:t>Le projet de décision a été soumis au vote du comité permanent le 14 septembre 2017; aucune majorité qualifiée ne s’est dégagée pour ou contre la décision.</w:t>
      </w:r>
    </w:p>
    <w:p w:rsidR="004E38EE" w:rsidRPr="004E38EE" w:rsidRDefault="004E38EE" w:rsidP="004E38EE">
      <w:pPr>
        <w:numPr>
          <w:ilvl w:val="1"/>
          <w:numId w:val="27"/>
        </w:numPr>
        <w:spacing w:after="120"/>
        <w:ind w:left="567" w:hanging="567"/>
        <w:rPr>
          <w:rFonts w:ascii="Times New Roman" w:hAnsi="Times New Roman"/>
          <w:szCs w:val="24"/>
          <w:lang w:val="fr-BE"/>
        </w:rPr>
      </w:pPr>
      <w:r w:rsidRPr="004E38EE">
        <w:rPr>
          <w:rFonts w:ascii="Times New Roman" w:hAnsi="Times New Roman"/>
          <w:lang w:val="fr-BE"/>
        </w:rPr>
        <w:t>Conformément aux règles énoncées dans le règlement (UE) nº 182/2011 sur la comitologie, la Commission a présenté le projet de décision au comité d’appel (réunion du 19 octobre 2017). Là encore, aucune majorité qualifiée ne s’est dégagée pour ou contre la décision.</w:t>
      </w:r>
    </w:p>
    <w:p w:rsidR="004E38EE" w:rsidRPr="004E38EE" w:rsidRDefault="004E38EE" w:rsidP="004E38EE">
      <w:pPr>
        <w:spacing w:after="120"/>
        <w:rPr>
          <w:rFonts w:ascii="Times New Roman" w:hAnsi="Times New Roman"/>
          <w:szCs w:val="24"/>
          <w:lang w:val="fr-BE"/>
        </w:rPr>
      </w:pPr>
      <w:r w:rsidRPr="004E38EE">
        <w:rPr>
          <w:rFonts w:ascii="Times New Roman" w:hAnsi="Times New Roman"/>
          <w:lang w:val="fr-BE"/>
        </w:rPr>
        <w:t xml:space="preserve">La Commission estime dès lors qu’en adoptant une décision qui respecte pleinement les règles de procédures établies par les </w:t>
      </w:r>
      <w:proofErr w:type="spellStart"/>
      <w:r w:rsidRPr="004E38EE">
        <w:rPr>
          <w:rFonts w:ascii="Times New Roman" w:hAnsi="Times New Roman"/>
          <w:lang w:val="fr-BE"/>
        </w:rPr>
        <w:t>colégislateurs</w:t>
      </w:r>
      <w:proofErr w:type="spellEnd"/>
      <w:r w:rsidRPr="004E38EE">
        <w:rPr>
          <w:rFonts w:ascii="Times New Roman" w:hAnsi="Times New Roman"/>
          <w:lang w:val="fr-BE"/>
        </w:rPr>
        <w:t xml:space="preserve"> dans la législation sur les OGM, elle n’excède pas ses pouvoirs d’exécution. Par conséquent, rien ne justifie le retrait du projet de décision concernant le renouvellement de l’autorisation du maïs génétiquement modifié 1507. En outre, à la suite de la présentation d’une demande et de l’avis de l’Autorité s’y rapportant, l’article 7, paragraphe 3, et l’article 19, paragraphe 3, du règlement (CE) nº 1829/2003 obligent la Commission à agir, à savoir adopter une décision finale sur la demande.</w:t>
      </w:r>
    </w:p>
    <w:p w:rsidR="004E38EE" w:rsidRPr="004E38EE" w:rsidRDefault="004E38EE" w:rsidP="004E38EE">
      <w:pPr>
        <w:spacing w:after="120"/>
        <w:rPr>
          <w:rFonts w:ascii="Times New Roman" w:hAnsi="Times New Roman"/>
          <w:szCs w:val="24"/>
          <w:lang w:val="fr-BE"/>
        </w:rPr>
      </w:pPr>
      <w:r w:rsidRPr="004E38EE">
        <w:rPr>
          <w:rFonts w:ascii="Times New Roman" w:hAnsi="Times New Roman"/>
          <w:lang w:val="fr-BE"/>
        </w:rPr>
        <w:t xml:space="preserve">En ce qui concerne les </w:t>
      </w:r>
      <w:r w:rsidRPr="004E38EE">
        <w:rPr>
          <w:rFonts w:ascii="Times New Roman" w:hAnsi="Times New Roman"/>
          <w:b/>
          <w:lang w:val="fr-BE"/>
        </w:rPr>
        <w:t>autres dispositions de la résolution</w:t>
      </w:r>
      <w:r w:rsidRPr="004E38EE">
        <w:rPr>
          <w:rFonts w:ascii="Times New Roman" w:hAnsi="Times New Roman"/>
          <w:lang w:val="fr-BE"/>
        </w:rPr>
        <w:t>, la Commission considère qu’elles ne relèvent pas du droit de regard, qui se limite à la question de savoir si le projet d’acte d’exécution dépasse les pouvoirs d’exécution prévus dans l’acte de base. La Commission n’est donc pas tenue de justifier le projet d’acte d’exécution pour ce qui est de ces points. Elle a néanmoins examiné les positions exprimées par le Parlement européen et formule les observations suivantes:</w:t>
      </w:r>
    </w:p>
    <w:p w:rsidR="004E38EE" w:rsidRPr="004E38EE" w:rsidRDefault="004E38EE" w:rsidP="004E38EE">
      <w:pPr>
        <w:pStyle w:val="ListBullet"/>
        <w:numPr>
          <w:ilvl w:val="0"/>
          <w:numId w:val="0"/>
        </w:numPr>
        <w:spacing w:after="120"/>
        <w:ind w:left="567" w:hanging="567"/>
        <w:rPr>
          <w:rFonts w:ascii="Times New Roman" w:hAnsi="Times New Roman"/>
          <w:lang w:val="fr-BE"/>
        </w:rPr>
      </w:pPr>
      <w:r w:rsidRPr="004E38EE">
        <w:rPr>
          <w:rFonts w:ascii="Times New Roman" w:hAnsi="Times New Roman"/>
          <w:lang w:val="fr-BE"/>
        </w:rPr>
        <w:t xml:space="preserve">- </w:t>
      </w:r>
      <w:r w:rsidRPr="004E38EE">
        <w:rPr>
          <w:lang w:val="fr-BE"/>
        </w:rPr>
        <w:tab/>
      </w:r>
      <w:r w:rsidRPr="004E38EE">
        <w:rPr>
          <w:rFonts w:ascii="Times New Roman" w:hAnsi="Times New Roman"/>
          <w:lang w:val="fr-BE"/>
        </w:rPr>
        <w:t xml:space="preserve">Pour ce qui est des inquiétudes spécifiques soulevées aux </w:t>
      </w:r>
      <w:r w:rsidRPr="004E38EE">
        <w:rPr>
          <w:rFonts w:ascii="Times New Roman" w:hAnsi="Times New Roman"/>
          <w:b/>
          <w:lang w:val="fr-BE"/>
        </w:rPr>
        <w:t>considérants J et K</w:t>
      </w:r>
      <w:r w:rsidRPr="004E38EE">
        <w:rPr>
          <w:rFonts w:ascii="Times New Roman" w:hAnsi="Times New Roman"/>
          <w:lang w:val="fr-BE"/>
        </w:rPr>
        <w:t xml:space="preserve">, de la résolution en ce qui concerne le fait que le maïs 1507 est tolérant aux herbicides à base de </w:t>
      </w:r>
      <w:proofErr w:type="spellStart"/>
      <w:r w:rsidRPr="004E38EE">
        <w:rPr>
          <w:rFonts w:ascii="Times New Roman" w:hAnsi="Times New Roman"/>
          <w:lang w:val="fr-BE"/>
        </w:rPr>
        <w:t>glufosinate</w:t>
      </w:r>
      <w:proofErr w:type="spellEnd"/>
      <w:r w:rsidRPr="004E38EE">
        <w:rPr>
          <w:rFonts w:ascii="Times New Roman" w:hAnsi="Times New Roman"/>
          <w:lang w:val="fr-BE"/>
        </w:rPr>
        <w:t xml:space="preserve"> ammonium, la Commission signale que l’évaluation des risques et les autorisations de ces herbicides et de leurs résidus sont soumises aux procédures prévues par le règlement (CE) nº 1107/2009 et que les limites maximales applicables aux résidus sont fixées dans le règlement (CE) nº 396/2005. Ces règles s’appliquent à toutes les cultures et à tous les produits concernés, qu’ils soient ou non génétiquement modifiés, y compris au maïs génétiquement modifié dont il est question ici. De même, les décisions futures concernant le renouvellement/l’autorisation des herbicides susmentionnés et les limites maximales applicables à leurs résidus s’appliqueront aussi au maïs génétiquement modifié dont il est question ici. Sur la base de l’avis de l’EFSA, l’usage auquel est destiné le maïs 1507 est sûr et respecte pleinement les exigences de l’unique règlement pertinent [règlement (CE) nº 1829/2003] en ce qui concerne les autorisations d’organismes génétiquement modifiés.</w:t>
      </w:r>
    </w:p>
    <w:p w:rsidR="004E38EE" w:rsidRPr="004E38EE" w:rsidRDefault="004E38EE" w:rsidP="004E38EE">
      <w:pPr>
        <w:pStyle w:val="ListBullet2"/>
        <w:numPr>
          <w:ilvl w:val="0"/>
          <w:numId w:val="26"/>
        </w:numPr>
        <w:spacing w:after="120"/>
        <w:ind w:left="567" w:hanging="567"/>
        <w:rPr>
          <w:rFonts w:ascii="Times New Roman" w:hAnsi="Times New Roman"/>
          <w:szCs w:val="24"/>
          <w:lang w:val="fr-BE"/>
        </w:rPr>
      </w:pPr>
      <w:r w:rsidRPr="004E38EE">
        <w:rPr>
          <w:rFonts w:ascii="Times New Roman" w:hAnsi="Times New Roman"/>
          <w:lang w:val="fr-BE"/>
        </w:rPr>
        <w:t>En ce qui concerne les résultats du vote du comité permanent (14 septembre 2017 (</w:t>
      </w:r>
      <w:r w:rsidRPr="004E38EE">
        <w:rPr>
          <w:rFonts w:ascii="Times New Roman" w:hAnsi="Times New Roman"/>
          <w:b/>
          <w:lang w:val="fr-BE"/>
        </w:rPr>
        <w:t>considérant N</w:t>
      </w:r>
      <w:r w:rsidRPr="004E38EE">
        <w:rPr>
          <w:rFonts w:ascii="Times New Roman" w:hAnsi="Times New Roman"/>
          <w:lang w:val="fr-BE"/>
        </w:rPr>
        <w:t xml:space="preserve">), la Commission souligne que la répartition des votes – qui indique que les États membres ne sont pas unanimes quant aux autorisations de denrées alimentaires et d’aliments pour animaux génétiquement modifiés – est l’élément sous-jacent de la proposition législative de la Commission, qui, une fois adoptée par les </w:t>
      </w:r>
      <w:proofErr w:type="spellStart"/>
      <w:r w:rsidRPr="004E38EE">
        <w:rPr>
          <w:rFonts w:ascii="Times New Roman" w:hAnsi="Times New Roman"/>
          <w:lang w:val="fr-BE"/>
        </w:rPr>
        <w:t>colégislateurs</w:t>
      </w:r>
      <w:proofErr w:type="spellEnd"/>
      <w:r w:rsidRPr="004E38EE">
        <w:rPr>
          <w:rFonts w:ascii="Times New Roman" w:hAnsi="Times New Roman"/>
          <w:lang w:val="fr-BE"/>
        </w:rPr>
        <w:t>, autoriserait les États membres à restreindre ou à interdire l’utilisation des denrées alimentaires et des aliments pour animaux génétiquement modifiés sur leur territoire, pour des raisons autres que des questions de sécurité.</w:t>
      </w:r>
    </w:p>
    <w:p w:rsidR="004E38EE" w:rsidRPr="004E38EE" w:rsidRDefault="004E38EE" w:rsidP="004E38EE">
      <w:pPr>
        <w:pStyle w:val="ListBullet2"/>
        <w:numPr>
          <w:ilvl w:val="0"/>
          <w:numId w:val="26"/>
        </w:numPr>
        <w:spacing w:after="120"/>
        <w:ind w:left="567" w:hanging="567"/>
        <w:rPr>
          <w:rFonts w:ascii="Times New Roman" w:hAnsi="Times New Roman"/>
          <w:szCs w:val="24"/>
          <w:lang w:val="fr-BE"/>
        </w:rPr>
      </w:pPr>
      <w:r w:rsidRPr="004E38EE">
        <w:rPr>
          <w:rFonts w:ascii="Times New Roman" w:hAnsi="Times New Roman"/>
          <w:lang w:val="fr-BE"/>
        </w:rPr>
        <w:t xml:space="preserve">Pour ce qui est de l’invitation adressée à la Commission au </w:t>
      </w:r>
      <w:r w:rsidRPr="004E38EE">
        <w:rPr>
          <w:rFonts w:ascii="Times New Roman" w:hAnsi="Times New Roman"/>
          <w:b/>
          <w:lang w:val="fr-BE"/>
        </w:rPr>
        <w:t>considérant P</w:t>
      </w:r>
      <w:r w:rsidRPr="004E38EE">
        <w:rPr>
          <w:rFonts w:ascii="Times New Roman" w:hAnsi="Times New Roman"/>
          <w:lang w:val="fr-BE"/>
        </w:rPr>
        <w:t xml:space="preserve"> lui demandant de présenter une nouvelle proposition législative, la Commission rappelle qu’elle regrette la décision du Parlement européen (28 octobre 2015) qui a rejeté une proposition législative qui vise précisément à «</w:t>
      </w:r>
      <w:r w:rsidRPr="004E38EE">
        <w:rPr>
          <w:rFonts w:ascii="Times New Roman" w:hAnsi="Times New Roman"/>
          <w:i/>
          <w:lang w:val="fr-BE"/>
        </w:rPr>
        <w:t>[prendre] en compte des préoccupations nationales souvent exprimées, qui ne portent pas seulement sur les questions de sécurité des OGM pour la santé et l’environnement</w:t>
      </w:r>
      <w:r w:rsidRPr="004E38EE">
        <w:rPr>
          <w:rFonts w:ascii="Times New Roman" w:hAnsi="Times New Roman"/>
          <w:lang w:val="fr-BE"/>
        </w:rPr>
        <w:t>». La Commission maintient dès lors sa proposition originale qui, si elle est adoptée, permettra aux États membres, après la publication par la Commission de sa décision, de restreindre ou d’interdire l’utilisation des denrées alimentaires et des aliments pour animaux génétiquement modifiés sur la base de considérations nationales.</w:t>
      </w:r>
    </w:p>
    <w:p w:rsidR="004E38EE" w:rsidRPr="004E38EE" w:rsidRDefault="004E38EE" w:rsidP="004E38EE">
      <w:pPr>
        <w:pStyle w:val="ListBullet2"/>
        <w:numPr>
          <w:ilvl w:val="0"/>
          <w:numId w:val="26"/>
        </w:numPr>
        <w:spacing w:after="120"/>
        <w:ind w:left="567" w:hanging="567"/>
        <w:rPr>
          <w:rFonts w:ascii="Times New Roman" w:hAnsi="Times New Roman"/>
          <w:szCs w:val="24"/>
          <w:lang w:val="fr-BE"/>
        </w:rPr>
      </w:pPr>
      <w:r w:rsidRPr="004E38EE">
        <w:rPr>
          <w:rFonts w:ascii="Times New Roman" w:hAnsi="Times New Roman"/>
          <w:lang w:val="fr-BE"/>
        </w:rPr>
        <w:t>Par ailleurs, en ce qui concerne le manque de soutien dont font preuve les États membres quant à toute décision d’autorisation des organismes génétiquement modifiés destinés à être utilisés dans des denrées alimentaires et des aliments pour animaux (</w:t>
      </w:r>
      <w:r w:rsidRPr="004E38EE">
        <w:rPr>
          <w:rFonts w:ascii="Times New Roman" w:hAnsi="Times New Roman"/>
          <w:b/>
          <w:lang w:val="fr-BE"/>
        </w:rPr>
        <w:t>considérant O</w:t>
      </w:r>
      <w:r w:rsidRPr="004E38EE">
        <w:rPr>
          <w:rFonts w:ascii="Times New Roman" w:hAnsi="Times New Roman"/>
          <w:lang w:val="fr-BE"/>
        </w:rPr>
        <w:t xml:space="preserve">), la Commission a présenté une proposition (COM(2017) 85) au Conseil et au Parlement européen le 14 février 2017 visant à modifier les règles de vote au sein du comité d’appel: si elle est adoptée par les </w:t>
      </w:r>
      <w:proofErr w:type="spellStart"/>
      <w:r w:rsidRPr="004E38EE">
        <w:rPr>
          <w:rFonts w:ascii="Times New Roman" w:hAnsi="Times New Roman"/>
          <w:lang w:val="fr-BE"/>
        </w:rPr>
        <w:t>colégislateurs</w:t>
      </w:r>
      <w:proofErr w:type="spellEnd"/>
      <w:r w:rsidRPr="004E38EE">
        <w:rPr>
          <w:rFonts w:ascii="Times New Roman" w:hAnsi="Times New Roman"/>
          <w:lang w:val="fr-BE"/>
        </w:rPr>
        <w:t>, cette proposition renforcera la transparence et la responsabilité dans le processus décisionnel concernant les OGM.</w:t>
      </w:r>
    </w:p>
    <w:p w:rsidR="007F3E5D" w:rsidRDefault="004E38EE" w:rsidP="004E38EE">
      <w:pPr>
        <w:pStyle w:val="ListBullet2"/>
        <w:numPr>
          <w:ilvl w:val="0"/>
          <w:numId w:val="26"/>
        </w:numPr>
        <w:spacing w:after="120"/>
        <w:ind w:left="567" w:hanging="567"/>
        <w:rPr>
          <w:rFonts w:ascii="Times New Roman" w:hAnsi="Times New Roman"/>
          <w:szCs w:val="24"/>
          <w:lang w:val="fr-BE"/>
        </w:rPr>
      </w:pPr>
      <w:r w:rsidRPr="004E38EE">
        <w:rPr>
          <w:rFonts w:ascii="Times New Roman" w:hAnsi="Times New Roman"/>
          <w:lang w:val="fr-BE"/>
        </w:rPr>
        <w:t xml:space="preserve">En conclusion, la Commission tient à souligner que, comme pour toute procédure législative présentée à titre de procédure législative ordinaire, les règles en vigueur continuent de s’appliquer pendant les négociations entre les </w:t>
      </w:r>
      <w:proofErr w:type="spellStart"/>
      <w:r w:rsidRPr="004E38EE">
        <w:rPr>
          <w:rFonts w:ascii="Times New Roman" w:hAnsi="Times New Roman"/>
          <w:lang w:val="fr-BE"/>
        </w:rPr>
        <w:t>colégislateurs</w:t>
      </w:r>
      <w:proofErr w:type="spellEnd"/>
      <w:r w:rsidRPr="004E38EE">
        <w:rPr>
          <w:rFonts w:ascii="Times New Roman" w:hAnsi="Times New Roman"/>
          <w:lang w:val="fr-BE"/>
        </w:rPr>
        <w:t>, et ce jusqu’à la conclusion d’un accord final. Par conséquent, la Commission doit continuer de traiter les demandes relatives à des denrées alimentaires et aliments pour animaux génétiquement modifiés.</w:t>
      </w:r>
    </w:p>
    <w:sectPr w:rsidR="007F3E5D" w:rsidSect="003A0C8E">
      <w:footerReference w:type="even" r:id="rId9"/>
      <w:footerReference w:type="default" r:id="rId10"/>
      <w:footnotePr>
        <w:numRestart w:val="eachSect"/>
      </w:footnotePr>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B61" w:rsidRDefault="00757B61">
      <w:r>
        <w:separator/>
      </w:r>
    </w:p>
  </w:endnote>
  <w:endnote w:type="continuationSeparator" w:id="0">
    <w:p w:rsidR="00757B61" w:rsidRDefault="0075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A00002BF" w:usb1="500000D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B61" w:rsidRDefault="00757B61"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757B61" w:rsidRDefault="00757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B61" w:rsidRDefault="00757B61"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3E8F">
      <w:rPr>
        <w:rStyle w:val="PageNumber"/>
        <w:noProof/>
      </w:rPr>
      <w:t>4</w:t>
    </w:r>
    <w:r>
      <w:rPr>
        <w:rStyle w:val="PageNumber"/>
      </w:rPr>
      <w:fldChar w:fldCharType="end"/>
    </w:r>
  </w:p>
  <w:p w:rsidR="00757B61" w:rsidRPr="008A6623" w:rsidRDefault="00757B61" w:rsidP="008A6623">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B61" w:rsidRDefault="00757B61">
      <w:r>
        <w:separator/>
      </w:r>
    </w:p>
  </w:footnote>
  <w:footnote w:type="continuationSeparator" w:id="0">
    <w:p w:rsidR="00757B61" w:rsidRDefault="00757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nsid w:val="02D42873"/>
    <w:multiLevelType w:val="hybridMultilevel"/>
    <w:tmpl w:val="DE9230CC"/>
    <w:lvl w:ilvl="0" w:tplc="0809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615EC0"/>
    <w:multiLevelType w:val="hybridMultilevel"/>
    <w:tmpl w:val="99DABB7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nsid w:val="129A61D9"/>
    <w:multiLevelType w:val="hybridMultilevel"/>
    <w:tmpl w:val="7B76E45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9">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0">
    <w:nsid w:val="171236DA"/>
    <w:multiLevelType w:val="hybridMultilevel"/>
    <w:tmpl w:val="02FCD5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B901491"/>
    <w:multiLevelType w:val="hybridMultilevel"/>
    <w:tmpl w:val="63505258"/>
    <w:lvl w:ilvl="0" w:tplc="848C7504">
      <w:start w:val="1"/>
      <w:numFmt w:val="decimal"/>
      <w:lvlText w:val="%1."/>
      <w:lvlJc w:val="left"/>
      <w:pPr>
        <w:ind w:left="502" w:hanging="360"/>
      </w:pPr>
      <w:rPr>
        <w:b/>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13">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4">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nsid w:val="2FE51AB8"/>
    <w:multiLevelType w:val="hybridMultilevel"/>
    <w:tmpl w:val="8C784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3F155FB"/>
    <w:multiLevelType w:val="hybridMultilevel"/>
    <w:tmpl w:val="03F42A1C"/>
    <w:lvl w:ilvl="0" w:tplc="010A3310">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4420A3A"/>
    <w:multiLevelType w:val="hybridMultilevel"/>
    <w:tmpl w:val="29BEB162"/>
    <w:styleLink w:val="ImportedStyle1"/>
    <w:lvl w:ilvl="0" w:tplc="85A242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F49AB4">
      <w:start w:val="1"/>
      <w:numFmt w:val="decimal"/>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16727E">
      <w:start w:val="1"/>
      <w:numFmt w:val="lowerRoman"/>
      <w:lvlText w:val="%3."/>
      <w:lvlJc w:val="left"/>
      <w:pPr>
        <w:ind w:left="2084"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B8F8B962">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7AB0D6">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627AB6">
      <w:start w:val="1"/>
      <w:numFmt w:val="lowerRoman"/>
      <w:lvlText w:val="%6."/>
      <w:lvlJc w:val="left"/>
      <w:pPr>
        <w:ind w:left="4244"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242ACF7A">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0099F0">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A8AD36">
      <w:start w:val="1"/>
      <w:numFmt w:val="lowerRoman"/>
      <w:lvlText w:val="%9."/>
      <w:lvlJc w:val="left"/>
      <w:pPr>
        <w:ind w:left="6404"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nsid w:val="380E3EE1"/>
    <w:multiLevelType w:val="multilevel"/>
    <w:tmpl w:val="E4201C6C"/>
    <w:styleLink w:val="WWNum1"/>
    <w:lvl w:ilvl="0">
      <w:start w:val="1"/>
      <w:numFmt w:val="decimal"/>
      <w:lvlText w:val="%1)"/>
      <w:lvlJc w:val="left"/>
      <w:rPr>
        <w:b/>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4">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nsid w:val="5A470F59"/>
    <w:multiLevelType w:val="hybridMultilevel"/>
    <w:tmpl w:val="DC7C2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523A14"/>
    <w:multiLevelType w:val="hybridMultilevel"/>
    <w:tmpl w:val="BF58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4D6B63"/>
    <w:multiLevelType w:val="hybridMultilevel"/>
    <w:tmpl w:val="EF8423CC"/>
    <w:lvl w:ilvl="0" w:tplc="EF3C7C0C">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30">
    <w:nsid w:val="603106C7"/>
    <w:multiLevelType w:val="hybridMultilevel"/>
    <w:tmpl w:val="561A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D84B0A"/>
    <w:multiLevelType w:val="hybridMultilevel"/>
    <w:tmpl w:val="0D305BAC"/>
    <w:lvl w:ilvl="0" w:tplc="0809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2">
    <w:nsid w:val="634F0BEF"/>
    <w:multiLevelType w:val="hybridMultilevel"/>
    <w:tmpl w:val="25E8BC14"/>
    <w:lvl w:ilvl="0" w:tplc="FC4CB8C2">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63A213E0"/>
    <w:multiLevelType w:val="hybridMultilevel"/>
    <w:tmpl w:val="512ED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7">
    <w:nsid w:val="73E55960"/>
    <w:multiLevelType w:val="hybridMultilevel"/>
    <w:tmpl w:val="A688325E"/>
    <w:lvl w:ilvl="0" w:tplc="010A3310">
      <w:numFmt w:val="bullet"/>
      <w:lvlText w:val="-"/>
      <w:lvlJc w:val="left"/>
      <w:pPr>
        <w:ind w:left="1080" w:hanging="360"/>
      </w:pPr>
      <w:rPr>
        <w:rFonts w:ascii="Times New Roman" w:eastAsia="Times New Roman" w:hAnsi="Times New Roman" w:cs="Times New Roman"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nsid w:val="77DD195F"/>
    <w:multiLevelType w:val="hybridMultilevel"/>
    <w:tmpl w:val="EB0822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3">
    <w:nsid w:val="78594DAE"/>
    <w:multiLevelType w:val="hybridMultilevel"/>
    <w:tmpl w:val="6BA4D164"/>
    <w:lvl w:ilvl="0" w:tplc="8106599E">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4">
    <w:nsid w:val="7ADE74FF"/>
    <w:multiLevelType w:val="hybridMultilevel"/>
    <w:tmpl w:val="5E426CAE"/>
    <w:styleLink w:val="ImportedStyle2"/>
    <w:lvl w:ilvl="0" w:tplc="ECC4CA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8632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CC60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22D6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A04A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DC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6E59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A4A7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284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7ECB7708"/>
    <w:multiLevelType w:val="singleLevel"/>
    <w:tmpl w:val="5EA8E34C"/>
    <w:lvl w:ilvl="0">
      <w:start w:val="1"/>
      <w:numFmt w:val="decimal"/>
      <w:pStyle w:val="ATHeading1"/>
      <w:lvlText w:val="%1."/>
      <w:lvlJc w:val="left"/>
      <w:pPr>
        <w:tabs>
          <w:tab w:val="num" w:pos="360"/>
        </w:tabs>
        <w:ind w:left="360" w:hanging="360"/>
      </w:pPr>
    </w:lvl>
  </w:abstractNum>
  <w:num w:numId="1">
    <w:abstractNumId w:val="9"/>
  </w:num>
  <w:num w:numId="2">
    <w:abstractNumId w:val="1"/>
  </w:num>
  <w:num w:numId="3">
    <w:abstractNumId w:val="42"/>
  </w:num>
  <w:num w:numId="4">
    <w:abstractNumId w:val="15"/>
  </w:num>
  <w:num w:numId="5">
    <w:abstractNumId w:val="36"/>
  </w:num>
  <w:num w:numId="6">
    <w:abstractNumId w:val="13"/>
  </w:num>
  <w:num w:numId="7">
    <w:abstractNumId w:val="8"/>
  </w:num>
  <w:num w:numId="8">
    <w:abstractNumId w:val="20"/>
  </w:num>
  <w:num w:numId="9">
    <w:abstractNumId w:val="40"/>
  </w:num>
  <w:num w:numId="10">
    <w:abstractNumId w:val="26"/>
  </w:num>
  <w:num w:numId="11">
    <w:abstractNumId w:val="34"/>
  </w:num>
  <w:num w:numId="12">
    <w:abstractNumId w:val="14"/>
  </w:num>
  <w:num w:numId="13">
    <w:abstractNumId w:val="22"/>
  </w:num>
  <w:num w:numId="14">
    <w:abstractNumId w:val="38"/>
  </w:num>
  <w:num w:numId="15">
    <w:abstractNumId w:val="19"/>
  </w:num>
  <w:num w:numId="16">
    <w:abstractNumId w:val="45"/>
  </w:num>
  <w:num w:numId="17">
    <w:abstractNumId w:val="39"/>
  </w:num>
  <w:num w:numId="18">
    <w:abstractNumId w:val="24"/>
  </w:num>
  <w:num w:numId="19">
    <w:abstractNumId w:val="25"/>
  </w:num>
  <w:num w:numId="20">
    <w:abstractNumId w:val="35"/>
  </w:num>
  <w:num w:numId="21">
    <w:abstractNumId w:val="3"/>
  </w:num>
  <w:num w:numId="22">
    <w:abstractNumId w:val="4"/>
  </w:num>
  <w:num w:numId="23">
    <w:abstractNumId w:val="18"/>
  </w:num>
  <w:num w:numId="24">
    <w:abstractNumId w:val="44"/>
  </w:num>
  <w:num w:numId="25">
    <w:abstractNumId w:val="21"/>
  </w:num>
  <w:num w:numId="26">
    <w:abstractNumId w:val="17"/>
  </w:num>
  <w:num w:numId="27">
    <w:abstractNumId w:val="37"/>
  </w:num>
  <w:num w:numId="28">
    <w:abstractNumId w:val="7"/>
  </w:num>
  <w:num w:numId="29">
    <w:abstractNumId w:val="29"/>
  </w:num>
  <w:num w:numId="30">
    <w:abstractNumId w:val="6"/>
  </w:num>
  <w:num w:numId="31">
    <w:abstractNumId w:val="23"/>
  </w:num>
  <w:num w:numId="32">
    <w:abstractNumId w:val="10"/>
  </w:num>
  <w:num w:numId="33">
    <w:abstractNumId w:val="31"/>
  </w:num>
  <w:num w:numId="34">
    <w:abstractNumId w:val="5"/>
  </w:num>
  <w:num w:numId="35">
    <w:abstractNumId w:val="32"/>
  </w:num>
  <w:num w:numId="36">
    <w:abstractNumId w:val="43"/>
  </w:num>
  <w:num w:numId="37">
    <w:abstractNumId w:val="30"/>
  </w:num>
  <w:num w:numId="38">
    <w:abstractNumId w:val="28"/>
  </w:num>
  <w:num w:numId="39">
    <w:abstractNumId w:val="27"/>
  </w:num>
  <w:num w:numId="40">
    <w:abstractNumId w:val="2"/>
  </w:num>
  <w:num w:numId="41">
    <w:abstractNumId w:val="12"/>
  </w:num>
  <w:num w:numId="42">
    <w:abstractNumId w:val="33"/>
  </w:num>
  <w:num w:numId="43">
    <w:abstractNumId w:val="16"/>
  </w:num>
  <w:num w:numId="44">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29"/>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ABB"/>
    <w:rsid w:val="00016C72"/>
    <w:rsid w:val="000170C1"/>
    <w:rsid w:val="00017265"/>
    <w:rsid w:val="0001730F"/>
    <w:rsid w:val="00017430"/>
    <w:rsid w:val="000174AF"/>
    <w:rsid w:val="0001776A"/>
    <w:rsid w:val="00017883"/>
    <w:rsid w:val="00017A67"/>
    <w:rsid w:val="00017AA9"/>
    <w:rsid w:val="00017C25"/>
    <w:rsid w:val="00017F27"/>
    <w:rsid w:val="00017F3D"/>
    <w:rsid w:val="00020718"/>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190"/>
    <w:rsid w:val="0002725A"/>
    <w:rsid w:val="0003002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85D"/>
    <w:rsid w:val="00033DE8"/>
    <w:rsid w:val="00033EA1"/>
    <w:rsid w:val="00033F57"/>
    <w:rsid w:val="000340CA"/>
    <w:rsid w:val="000347E9"/>
    <w:rsid w:val="0003483E"/>
    <w:rsid w:val="000348CA"/>
    <w:rsid w:val="0003496F"/>
    <w:rsid w:val="00034992"/>
    <w:rsid w:val="00034B24"/>
    <w:rsid w:val="00034CA0"/>
    <w:rsid w:val="00034EB6"/>
    <w:rsid w:val="00034FFC"/>
    <w:rsid w:val="0003501A"/>
    <w:rsid w:val="00035021"/>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9B"/>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DA3"/>
    <w:rsid w:val="00041E47"/>
    <w:rsid w:val="00041F1F"/>
    <w:rsid w:val="0004209B"/>
    <w:rsid w:val="000420DB"/>
    <w:rsid w:val="000421A1"/>
    <w:rsid w:val="00042508"/>
    <w:rsid w:val="00042A8B"/>
    <w:rsid w:val="00042F4E"/>
    <w:rsid w:val="000434BD"/>
    <w:rsid w:val="000436A8"/>
    <w:rsid w:val="00043B7B"/>
    <w:rsid w:val="00043C04"/>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45A"/>
    <w:rsid w:val="000519DA"/>
    <w:rsid w:val="00051E3C"/>
    <w:rsid w:val="000520B1"/>
    <w:rsid w:val="00052241"/>
    <w:rsid w:val="00052672"/>
    <w:rsid w:val="00052814"/>
    <w:rsid w:val="000529E9"/>
    <w:rsid w:val="00053766"/>
    <w:rsid w:val="00053A14"/>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A4F"/>
    <w:rsid w:val="00062BE7"/>
    <w:rsid w:val="00063101"/>
    <w:rsid w:val="00063857"/>
    <w:rsid w:val="0006396A"/>
    <w:rsid w:val="00063A60"/>
    <w:rsid w:val="00063AEF"/>
    <w:rsid w:val="00063B1D"/>
    <w:rsid w:val="00063C33"/>
    <w:rsid w:val="00064178"/>
    <w:rsid w:val="0006443B"/>
    <w:rsid w:val="000647C3"/>
    <w:rsid w:val="00064C35"/>
    <w:rsid w:val="00064D3D"/>
    <w:rsid w:val="00064DEE"/>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1B8"/>
    <w:rsid w:val="00067567"/>
    <w:rsid w:val="00067C33"/>
    <w:rsid w:val="00067F34"/>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A36"/>
    <w:rsid w:val="00073D03"/>
    <w:rsid w:val="0007403A"/>
    <w:rsid w:val="000744AE"/>
    <w:rsid w:val="000744BA"/>
    <w:rsid w:val="00074A10"/>
    <w:rsid w:val="00074BA2"/>
    <w:rsid w:val="00074D75"/>
    <w:rsid w:val="00074DB5"/>
    <w:rsid w:val="00074E52"/>
    <w:rsid w:val="00074FA3"/>
    <w:rsid w:val="000751AC"/>
    <w:rsid w:val="000752DB"/>
    <w:rsid w:val="00075582"/>
    <w:rsid w:val="0007575A"/>
    <w:rsid w:val="00075847"/>
    <w:rsid w:val="00075908"/>
    <w:rsid w:val="00075952"/>
    <w:rsid w:val="00075C60"/>
    <w:rsid w:val="00077252"/>
    <w:rsid w:val="00077633"/>
    <w:rsid w:val="000776B1"/>
    <w:rsid w:val="000776D8"/>
    <w:rsid w:val="00077912"/>
    <w:rsid w:val="00077B88"/>
    <w:rsid w:val="00077BFB"/>
    <w:rsid w:val="000800AF"/>
    <w:rsid w:val="00080191"/>
    <w:rsid w:val="0008029D"/>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61"/>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1C6"/>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2D0"/>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0FB"/>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29"/>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DF"/>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EB9"/>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CC6"/>
    <w:rsid w:val="000F5F64"/>
    <w:rsid w:val="000F63D5"/>
    <w:rsid w:val="000F6650"/>
    <w:rsid w:val="000F6A90"/>
    <w:rsid w:val="000F6C35"/>
    <w:rsid w:val="000F6E53"/>
    <w:rsid w:val="000F7126"/>
    <w:rsid w:val="000F7275"/>
    <w:rsid w:val="000F75D3"/>
    <w:rsid w:val="000F77FE"/>
    <w:rsid w:val="000F7AFB"/>
    <w:rsid w:val="000F7B1D"/>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6B"/>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AFE"/>
    <w:rsid w:val="00115B02"/>
    <w:rsid w:val="00115E85"/>
    <w:rsid w:val="00116169"/>
    <w:rsid w:val="001163D1"/>
    <w:rsid w:val="00116539"/>
    <w:rsid w:val="001166A1"/>
    <w:rsid w:val="00116823"/>
    <w:rsid w:val="00116AC9"/>
    <w:rsid w:val="00116B75"/>
    <w:rsid w:val="001175E2"/>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B77"/>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2"/>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4AD5"/>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EAC"/>
    <w:rsid w:val="00151F5E"/>
    <w:rsid w:val="00151F7E"/>
    <w:rsid w:val="001520FA"/>
    <w:rsid w:val="0015220C"/>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09C"/>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62"/>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EB3"/>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A9"/>
    <w:rsid w:val="00193FA0"/>
    <w:rsid w:val="0019484D"/>
    <w:rsid w:val="00194A0F"/>
    <w:rsid w:val="00194B51"/>
    <w:rsid w:val="00195512"/>
    <w:rsid w:val="00196088"/>
    <w:rsid w:val="001962D1"/>
    <w:rsid w:val="0019671F"/>
    <w:rsid w:val="00196902"/>
    <w:rsid w:val="00196BE4"/>
    <w:rsid w:val="00196CC1"/>
    <w:rsid w:val="001970C6"/>
    <w:rsid w:val="00197294"/>
    <w:rsid w:val="00197522"/>
    <w:rsid w:val="001976A1"/>
    <w:rsid w:val="0019786E"/>
    <w:rsid w:val="00197A06"/>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32F"/>
    <w:rsid w:val="001A3653"/>
    <w:rsid w:val="001A3A1C"/>
    <w:rsid w:val="001A3A62"/>
    <w:rsid w:val="001A3C4B"/>
    <w:rsid w:val="001A4016"/>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1C6"/>
    <w:rsid w:val="001B296B"/>
    <w:rsid w:val="001B2A14"/>
    <w:rsid w:val="001B2A6E"/>
    <w:rsid w:val="001B3038"/>
    <w:rsid w:val="001B31D0"/>
    <w:rsid w:val="001B31FB"/>
    <w:rsid w:val="001B35F9"/>
    <w:rsid w:val="001B3705"/>
    <w:rsid w:val="001B3734"/>
    <w:rsid w:val="001B3A7C"/>
    <w:rsid w:val="001B3EB5"/>
    <w:rsid w:val="001B400F"/>
    <w:rsid w:val="001B4050"/>
    <w:rsid w:val="001B4075"/>
    <w:rsid w:val="001B42A3"/>
    <w:rsid w:val="001B43E8"/>
    <w:rsid w:val="001B4508"/>
    <w:rsid w:val="001B459A"/>
    <w:rsid w:val="001B4D25"/>
    <w:rsid w:val="001B4D98"/>
    <w:rsid w:val="001B5070"/>
    <w:rsid w:val="001B51CB"/>
    <w:rsid w:val="001B533B"/>
    <w:rsid w:val="001B53DF"/>
    <w:rsid w:val="001B54BE"/>
    <w:rsid w:val="001B572C"/>
    <w:rsid w:val="001B57D4"/>
    <w:rsid w:val="001B627A"/>
    <w:rsid w:val="001B6448"/>
    <w:rsid w:val="001B6B7E"/>
    <w:rsid w:val="001B6BAD"/>
    <w:rsid w:val="001B6F81"/>
    <w:rsid w:val="001B70A1"/>
    <w:rsid w:val="001B731A"/>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4B6"/>
    <w:rsid w:val="001C25DA"/>
    <w:rsid w:val="001C2668"/>
    <w:rsid w:val="001C2D6D"/>
    <w:rsid w:val="001C2EEF"/>
    <w:rsid w:val="001C31B9"/>
    <w:rsid w:val="001C3321"/>
    <w:rsid w:val="001C394A"/>
    <w:rsid w:val="001C3D04"/>
    <w:rsid w:val="001C3EC5"/>
    <w:rsid w:val="001C4737"/>
    <w:rsid w:val="001C4833"/>
    <w:rsid w:val="001C48CE"/>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A45"/>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B"/>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D12"/>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136"/>
    <w:rsid w:val="001F4229"/>
    <w:rsid w:val="001F4355"/>
    <w:rsid w:val="001F452E"/>
    <w:rsid w:val="001F4650"/>
    <w:rsid w:val="001F475C"/>
    <w:rsid w:val="001F4A26"/>
    <w:rsid w:val="001F4BD7"/>
    <w:rsid w:val="001F4C53"/>
    <w:rsid w:val="001F4D28"/>
    <w:rsid w:val="001F4E1E"/>
    <w:rsid w:val="001F4F9A"/>
    <w:rsid w:val="001F51CB"/>
    <w:rsid w:val="001F5500"/>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A76"/>
    <w:rsid w:val="00202DA7"/>
    <w:rsid w:val="00202E89"/>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89C"/>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DED"/>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AAB"/>
    <w:rsid w:val="00226C21"/>
    <w:rsid w:val="00227056"/>
    <w:rsid w:val="00227511"/>
    <w:rsid w:val="002276B7"/>
    <w:rsid w:val="00227749"/>
    <w:rsid w:val="00227750"/>
    <w:rsid w:val="00227794"/>
    <w:rsid w:val="00227EC2"/>
    <w:rsid w:val="00227FA4"/>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425"/>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7E6"/>
    <w:rsid w:val="0024588B"/>
    <w:rsid w:val="00245BF1"/>
    <w:rsid w:val="00245CB3"/>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B4B"/>
    <w:rsid w:val="00251E29"/>
    <w:rsid w:val="00252029"/>
    <w:rsid w:val="00252072"/>
    <w:rsid w:val="00252528"/>
    <w:rsid w:val="00252719"/>
    <w:rsid w:val="00252890"/>
    <w:rsid w:val="00252898"/>
    <w:rsid w:val="00252CC6"/>
    <w:rsid w:val="00252F33"/>
    <w:rsid w:val="00252FE9"/>
    <w:rsid w:val="00253A2F"/>
    <w:rsid w:val="00253A58"/>
    <w:rsid w:val="00253F47"/>
    <w:rsid w:val="00253F7D"/>
    <w:rsid w:val="00253FB8"/>
    <w:rsid w:val="00254470"/>
    <w:rsid w:val="0025459C"/>
    <w:rsid w:val="002546A9"/>
    <w:rsid w:val="00254775"/>
    <w:rsid w:val="00254E58"/>
    <w:rsid w:val="00255137"/>
    <w:rsid w:val="0025526A"/>
    <w:rsid w:val="0025544B"/>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7C1"/>
    <w:rsid w:val="0026196C"/>
    <w:rsid w:val="00261B14"/>
    <w:rsid w:val="00261C78"/>
    <w:rsid w:val="00261D2F"/>
    <w:rsid w:val="00261DD1"/>
    <w:rsid w:val="00261FEE"/>
    <w:rsid w:val="002625B1"/>
    <w:rsid w:val="002625CD"/>
    <w:rsid w:val="0026269C"/>
    <w:rsid w:val="00262AC3"/>
    <w:rsid w:val="00262ACD"/>
    <w:rsid w:val="00262BA1"/>
    <w:rsid w:val="00262DD9"/>
    <w:rsid w:val="00262EEE"/>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0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534"/>
    <w:rsid w:val="00267B57"/>
    <w:rsid w:val="00267C0D"/>
    <w:rsid w:val="00270014"/>
    <w:rsid w:val="00270017"/>
    <w:rsid w:val="00270719"/>
    <w:rsid w:val="0027096B"/>
    <w:rsid w:val="00270B0A"/>
    <w:rsid w:val="00270E3C"/>
    <w:rsid w:val="00270F32"/>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B89"/>
    <w:rsid w:val="00281C23"/>
    <w:rsid w:val="00281D74"/>
    <w:rsid w:val="002822DD"/>
    <w:rsid w:val="002829CC"/>
    <w:rsid w:val="00282E90"/>
    <w:rsid w:val="00282F78"/>
    <w:rsid w:val="00282FDF"/>
    <w:rsid w:val="0028302D"/>
    <w:rsid w:val="00283069"/>
    <w:rsid w:val="0028348D"/>
    <w:rsid w:val="00283730"/>
    <w:rsid w:val="00283B0F"/>
    <w:rsid w:val="00283C63"/>
    <w:rsid w:val="00283D7F"/>
    <w:rsid w:val="00283DD8"/>
    <w:rsid w:val="00284207"/>
    <w:rsid w:val="00284491"/>
    <w:rsid w:val="00284886"/>
    <w:rsid w:val="00284928"/>
    <w:rsid w:val="00284D1A"/>
    <w:rsid w:val="00284D97"/>
    <w:rsid w:val="00284DD3"/>
    <w:rsid w:val="0028550E"/>
    <w:rsid w:val="0028579B"/>
    <w:rsid w:val="00285CB4"/>
    <w:rsid w:val="00285E08"/>
    <w:rsid w:val="00285E27"/>
    <w:rsid w:val="0028663E"/>
    <w:rsid w:val="0028681D"/>
    <w:rsid w:val="0028691E"/>
    <w:rsid w:val="00286980"/>
    <w:rsid w:val="00286B16"/>
    <w:rsid w:val="00286CF0"/>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CCA"/>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7F7"/>
    <w:rsid w:val="00294809"/>
    <w:rsid w:val="00294A66"/>
    <w:rsid w:val="00294E6B"/>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84F"/>
    <w:rsid w:val="00297A99"/>
    <w:rsid w:val="00297B82"/>
    <w:rsid w:val="00297E5E"/>
    <w:rsid w:val="002A0317"/>
    <w:rsid w:val="002A03DE"/>
    <w:rsid w:val="002A07CD"/>
    <w:rsid w:val="002A0858"/>
    <w:rsid w:val="002A0A02"/>
    <w:rsid w:val="002A0A88"/>
    <w:rsid w:val="002A0CD2"/>
    <w:rsid w:val="002A0F58"/>
    <w:rsid w:val="002A13D1"/>
    <w:rsid w:val="002A1456"/>
    <w:rsid w:val="002A1573"/>
    <w:rsid w:val="002A15D8"/>
    <w:rsid w:val="002A18D2"/>
    <w:rsid w:val="002A19A2"/>
    <w:rsid w:val="002A1B34"/>
    <w:rsid w:val="002A1C16"/>
    <w:rsid w:val="002A2787"/>
    <w:rsid w:val="002A2B61"/>
    <w:rsid w:val="002A3110"/>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426"/>
    <w:rsid w:val="002A5B34"/>
    <w:rsid w:val="002A5BCC"/>
    <w:rsid w:val="002A648C"/>
    <w:rsid w:val="002A6680"/>
    <w:rsid w:val="002A6A37"/>
    <w:rsid w:val="002A728E"/>
    <w:rsid w:val="002A7347"/>
    <w:rsid w:val="002A75AE"/>
    <w:rsid w:val="002A7744"/>
    <w:rsid w:val="002A7A3E"/>
    <w:rsid w:val="002A7B9D"/>
    <w:rsid w:val="002A7C7E"/>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01"/>
    <w:rsid w:val="002B3E4F"/>
    <w:rsid w:val="002B3F01"/>
    <w:rsid w:val="002B3F77"/>
    <w:rsid w:val="002B4078"/>
    <w:rsid w:val="002B40A0"/>
    <w:rsid w:val="002B45F9"/>
    <w:rsid w:val="002B4722"/>
    <w:rsid w:val="002B47A1"/>
    <w:rsid w:val="002B5080"/>
    <w:rsid w:val="002B534A"/>
    <w:rsid w:val="002B558F"/>
    <w:rsid w:val="002B569C"/>
    <w:rsid w:val="002B5875"/>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4"/>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E4A"/>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CDE"/>
    <w:rsid w:val="002E0F16"/>
    <w:rsid w:val="002E0FA2"/>
    <w:rsid w:val="002E13A0"/>
    <w:rsid w:val="002E185A"/>
    <w:rsid w:val="002E1C42"/>
    <w:rsid w:val="002E1E26"/>
    <w:rsid w:val="002E2748"/>
    <w:rsid w:val="002E2A70"/>
    <w:rsid w:val="002E2B77"/>
    <w:rsid w:val="002E33BF"/>
    <w:rsid w:val="002E37B5"/>
    <w:rsid w:val="002E380E"/>
    <w:rsid w:val="002E396C"/>
    <w:rsid w:val="002E3B41"/>
    <w:rsid w:val="002E3DF0"/>
    <w:rsid w:val="002E4608"/>
    <w:rsid w:val="002E4671"/>
    <w:rsid w:val="002E4DCA"/>
    <w:rsid w:val="002E4E82"/>
    <w:rsid w:val="002E4EE2"/>
    <w:rsid w:val="002E5335"/>
    <w:rsid w:val="002E561C"/>
    <w:rsid w:val="002E5734"/>
    <w:rsid w:val="002E5811"/>
    <w:rsid w:val="002E5AF7"/>
    <w:rsid w:val="002E5CF2"/>
    <w:rsid w:val="002E5F3B"/>
    <w:rsid w:val="002E660A"/>
    <w:rsid w:val="002E6799"/>
    <w:rsid w:val="002E6C40"/>
    <w:rsid w:val="002E6CCF"/>
    <w:rsid w:val="002E6E72"/>
    <w:rsid w:val="002E7046"/>
    <w:rsid w:val="002E706B"/>
    <w:rsid w:val="002E7523"/>
    <w:rsid w:val="002E7AA9"/>
    <w:rsid w:val="002E7ABC"/>
    <w:rsid w:val="002E7BCD"/>
    <w:rsid w:val="002F0567"/>
    <w:rsid w:val="002F077D"/>
    <w:rsid w:val="002F08DC"/>
    <w:rsid w:val="002F0A6D"/>
    <w:rsid w:val="002F1017"/>
    <w:rsid w:val="002F120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5528"/>
    <w:rsid w:val="002F6268"/>
    <w:rsid w:val="002F688E"/>
    <w:rsid w:val="002F6B0D"/>
    <w:rsid w:val="002F6B84"/>
    <w:rsid w:val="002F6D2F"/>
    <w:rsid w:val="002F6D5F"/>
    <w:rsid w:val="002F6E8E"/>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2F8"/>
    <w:rsid w:val="00313B7C"/>
    <w:rsid w:val="00313C32"/>
    <w:rsid w:val="00314017"/>
    <w:rsid w:val="00314034"/>
    <w:rsid w:val="00314397"/>
    <w:rsid w:val="003144BA"/>
    <w:rsid w:val="00314523"/>
    <w:rsid w:val="00314645"/>
    <w:rsid w:val="003149A3"/>
    <w:rsid w:val="00315000"/>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D8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5D"/>
    <w:rsid w:val="003364E2"/>
    <w:rsid w:val="00336662"/>
    <w:rsid w:val="003366AE"/>
    <w:rsid w:val="003369E3"/>
    <w:rsid w:val="003369EE"/>
    <w:rsid w:val="00336A2E"/>
    <w:rsid w:val="00336A91"/>
    <w:rsid w:val="00336DB6"/>
    <w:rsid w:val="00336F08"/>
    <w:rsid w:val="003370CB"/>
    <w:rsid w:val="0033723E"/>
    <w:rsid w:val="0033735C"/>
    <w:rsid w:val="0033798E"/>
    <w:rsid w:val="00337CD9"/>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7E2"/>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581"/>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33"/>
    <w:rsid w:val="00357EF9"/>
    <w:rsid w:val="00357FCD"/>
    <w:rsid w:val="00360101"/>
    <w:rsid w:val="00360125"/>
    <w:rsid w:val="00360258"/>
    <w:rsid w:val="0036088E"/>
    <w:rsid w:val="003608DB"/>
    <w:rsid w:val="00360AF5"/>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990"/>
    <w:rsid w:val="00373AFB"/>
    <w:rsid w:val="00373CCC"/>
    <w:rsid w:val="00373F24"/>
    <w:rsid w:val="0037417E"/>
    <w:rsid w:val="00374622"/>
    <w:rsid w:val="0037480E"/>
    <w:rsid w:val="00374DEA"/>
    <w:rsid w:val="00374E3A"/>
    <w:rsid w:val="00374FE9"/>
    <w:rsid w:val="0037539C"/>
    <w:rsid w:val="00375424"/>
    <w:rsid w:val="003754E1"/>
    <w:rsid w:val="00375597"/>
    <w:rsid w:val="00375630"/>
    <w:rsid w:val="00375BF6"/>
    <w:rsid w:val="00375CCC"/>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BE"/>
    <w:rsid w:val="00382ACB"/>
    <w:rsid w:val="00382B3E"/>
    <w:rsid w:val="00382DAE"/>
    <w:rsid w:val="00382F65"/>
    <w:rsid w:val="003830FC"/>
    <w:rsid w:val="00383468"/>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F13"/>
    <w:rsid w:val="00387FA6"/>
    <w:rsid w:val="00390051"/>
    <w:rsid w:val="003902B6"/>
    <w:rsid w:val="003903E6"/>
    <w:rsid w:val="0039094B"/>
    <w:rsid w:val="00390A64"/>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7BF"/>
    <w:rsid w:val="00392A69"/>
    <w:rsid w:val="00392B41"/>
    <w:rsid w:val="00392E4E"/>
    <w:rsid w:val="003930EB"/>
    <w:rsid w:val="003931D8"/>
    <w:rsid w:val="00393229"/>
    <w:rsid w:val="00393509"/>
    <w:rsid w:val="00393569"/>
    <w:rsid w:val="00393C42"/>
    <w:rsid w:val="00393EFB"/>
    <w:rsid w:val="003942F1"/>
    <w:rsid w:val="00394705"/>
    <w:rsid w:val="0039480F"/>
    <w:rsid w:val="00394B28"/>
    <w:rsid w:val="003950BC"/>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81F"/>
    <w:rsid w:val="00397D6F"/>
    <w:rsid w:val="003A0146"/>
    <w:rsid w:val="003A03F0"/>
    <w:rsid w:val="003A0743"/>
    <w:rsid w:val="003A0C86"/>
    <w:rsid w:val="003A0C8E"/>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5B"/>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57A"/>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1CE8"/>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2F"/>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114"/>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03F"/>
    <w:rsid w:val="003D21F7"/>
    <w:rsid w:val="003D228D"/>
    <w:rsid w:val="003D23EE"/>
    <w:rsid w:val="003D2589"/>
    <w:rsid w:val="003D25F4"/>
    <w:rsid w:val="003D26D5"/>
    <w:rsid w:val="003D26F7"/>
    <w:rsid w:val="003D2CD5"/>
    <w:rsid w:val="003D2CEE"/>
    <w:rsid w:val="003D2F99"/>
    <w:rsid w:val="003D30D6"/>
    <w:rsid w:val="003D34E8"/>
    <w:rsid w:val="003D35E1"/>
    <w:rsid w:val="003D3828"/>
    <w:rsid w:val="003D3A0C"/>
    <w:rsid w:val="003D3E70"/>
    <w:rsid w:val="003D41F2"/>
    <w:rsid w:val="003D4937"/>
    <w:rsid w:val="003D4B9D"/>
    <w:rsid w:val="003D4E2B"/>
    <w:rsid w:val="003D4F92"/>
    <w:rsid w:val="003D576D"/>
    <w:rsid w:val="003D5CD5"/>
    <w:rsid w:val="003D5D4F"/>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D9E"/>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62"/>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1F6"/>
    <w:rsid w:val="003F020C"/>
    <w:rsid w:val="003F033C"/>
    <w:rsid w:val="003F03C4"/>
    <w:rsid w:val="003F04C5"/>
    <w:rsid w:val="003F066F"/>
    <w:rsid w:val="003F07C3"/>
    <w:rsid w:val="003F0C9B"/>
    <w:rsid w:val="003F110B"/>
    <w:rsid w:val="003F1299"/>
    <w:rsid w:val="003F1C0F"/>
    <w:rsid w:val="003F1DD9"/>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54"/>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BD2"/>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B2"/>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E72"/>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7DC"/>
    <w:rsid w:val="00415BC5"/>
    <w:rsid w:val="00415C7B"/>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D10"/>
    <w:rsid w:val="004362BB"/>
    <w:rsid w:val="004368AE"/>
    <w:rsid w:val="004369C6"/>
    <w:rsid w:val="00436CDF"/>
    <w:rsid w:val="00437258"/>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5A1"/>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1F6"/>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8DA"/>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AC0"/>
    <w:rsid w:val="00456C43"/>
    <w:rsid w:val="00456EC9"/>
    <w:rsid w:val="00456EF5"/>
    <w:rsid w:val="004577BF"/>
    <w:rsid w:val="0045781E"/>
    <w:rsid w:val="00457AFC"/>
    <w:rsid w:val="00457CFF"/>
    <w:rsid w:val="004600CC"/>
    <w:rsid w:val="00460494"/>
    <w:rsid w:val="004605BC"/>
    <w:rsid w:val="00460AD1"/>
    <w:rsid w:val="00461003"/>
    <w:rsid w:val="00461890"/>
    <w:rsid w:val="004618B2"/>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C68"/>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858"/>
    <w:rsid w:val="00467906"/>
    <w:rsid w:val="00467B7D"/>
    <w:rsid w:val="00467CFF"/>
    <w:rsid w:val="00467E58"/>
    <w:rsid w:val="00467FAA"/>
    <w:rsid w:val="00467FFC"/>
    <w:rsid w:val="00470031"/>
    <w:rsid w:val="004700AF"/>
    <w:rsid w:val="0047030E"/>
    <w:rsid w:val="0047041D"/>
    <w:rsid w:val="004704A3"/>
    <w:rsid w:val="00470774"/>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C66"/>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3FB"/>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E94"/>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505"/>
    <w:rsid w:val="00494683"/>
    <w:rsid w:val="004949AD"/>
    <w:rsid w:val="00494C09"/>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9E7"/>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09B"/>
    <w:rsid w:val="004A70FB"/>
    <w:rsid w:val="004A713E"/>
    <w:rsid w:val="004A72C3"/>
    <w:rsid w:val="004A73E9"/>
    <w:rsid w:val="004A7680"/>
    <w:rsid w:val="004A77AA"/>
    <w:rsid w:val="004A77B4"/>
    <w:rsid w:val="004A79E6"/>
    <w:rsid w:val="004B028E"/>
    <w:rsid w:val="004B02CF"/>
    <w:rsid w:val="004B038D"/>
    <w:rsid w:val="004B06B6"/>
    <w:rsid w:val="004B0891"/>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216"/>
    <w:rsid w:val="004B6485"/>
    <w:rsid w:val="004B6618"/>
    <w:rsid w:val="004B6819"/>
    <w:rsid w:val="004B6840"/>
    <w:rsid w:val="004B6B02"/>
    <w:rsid w:val="004B6C88"/>
    <w:rsid w:val="004B6D63"/>
    <w:rsid w:val="004B71A4"/>
    <w:rsid w:val="004B75AF"/>
    <w:rsid w:val="004B7D05"/>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49B"/>
    <w:rsid w:val="004C35D2"/>
    <w:rsid w:val="004C3944"/>
    <w:rsid w:val="004C394D"/>
    <w:rsid w:val="004C39B3"/>
    <w:rsid w:val="004C3B48"/>
    <w:rsid w:val="004C3BE1"/>
    <w:rsid w:val="004C3D8F"/>
    <w:rsid w:val="004C44E0"/>
    <w:rsid w:val="004C44E5"/>
    <w:rsid w:val="004C4550"/>
    <w:rsid w:val="004C4814"/>
    <w:rsid w:val="004C48EC"/>
    <w:rsid w:val="004C4A8E"/>
    <w:rsid w:val="004C4F0A"/>
    <w:rsid w:val="004C4FC4"/>
    <w:rsid w:val="004C50E9"/>
    <w:rsid w:val="004C51EA"/>
    <w:rsid w:val="004C5230"/>
    <w:rsid w:val="004C53F2"/>
    <w:rsid w:val="004C55A3"/>
    <w:rsid w:val="004C5831"/>
    <w:rsid w:val="004C5A3C"/>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A25"/>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CD9"/>
    <w:rsid w:val="004D5CDC"/>
    <w:rsid w:val="004D5E82"/>
    <w:rsid w:val="004D5F42"/>
    <w:rsid w:val="004D602D"/>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8EE"/>
    <w:rsid w:val="004E39FA"/>
    <w:rsid w:val="004E3AE0"/>
    <w:rsid w:val="004E3C70"/>
    <w:rsid w:val="004E3EFB"/>
    <w:rsid w:val="004E4161"/>
    <w:rsid w:val="004E438B"/>
    <w:rsid w:val="004E443C"/>
    <w:rsid w:val="004E44E9"/>
    <w:rsid w:val="004E451A"/>
    <w:rsid w:val="004E4B90"/>
    <w:rsid w:val="004E4F11"/>
    <w:rsid w:val="004E514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AF2"/>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9E3"/>
    <w:rsid w:val="00500B0C"/>
    <w:rsid w:val="00500DB5"/>
    <w:rsid w:val="00500DDC"/>
    <w:rsid w:val="00501282"/>
    <w:rsid w:val="005013AF"/>
    <w:rsid w:val="0050144E"/>
    <w:rsid w:val="005015B1"/>
    <w:rsid w:val="005016F1"/>
    <w:rsid w:val="00501720"/>
    <w:rsid w:val="00501B32"/>
    <w:rsid w:val="00501B3C"/>
    <w:rsid w:val="00501CE9"/>
    <w:rsid w:val="00501E42"/>
    <w:rsid w:val="00501E71"/>
    <w:rsid w:val="0050214A"/>
    <w:rsid w:val="00502387"/>
    <w:rsid w:val="00502D0D"/>
    <w:rsid w:val="00502D67"/>
    <w:rsid w:val="00502F22"/>
    <w:rsid w:val="0050310D"/>
    <w:rsid w:val="00503258"/>
    <w:rsid w:val="0050345A"/>
    <w:rsid w:val="005035BF"/>
    <w:rsid w:val="0050397D"/>
    <w:rsid w:val="0050461E"/>
    <w:rsid w:val="005049A3"/>
    <w:rsid w:val="005052B3"/>
    <w:rsid w:val="00505426"/>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77D"/>
    <w:rsid w:val="005078B3"/>
    <w:rsid w:val="00507918"/>
    <w:rsid w:val="00507ABB"/>
    <w:rsid w:val="00507AE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2D0D"/>
    <w:rsid w:val="005133DD"/>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4B3"/>
    <w:rsid w:val="00516D9F"/>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370"/>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912"/>
    <w:rsid w:val="00523A83"/>
    <w:rsid w:val="00523AEC"/>
    <w:rsid w:val="00523E19"/>
    <w:rsid w:val="00523F25"/>
    <w:rsid w:val="00524136"/>
    <w:rsid w:val="00524150"/>
    <w:rsid w:val="00524370"/>
    <w:rsid w:val="005244C5"/>
    <w:rsid w:val="00524693"/>
    <w:rsid w:val="005246B0"/>
    <w:rsid w:val="0052474E"/>
    <w:rsid w:val="00524C6A"/>
    <w:rsid w:val="00524CF3"/>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27E89"/>
    <w:rsid w:val="0053006E"/>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088"/>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300"/>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AC6"/>
    <w:rsid w:val="00542B93"/>
    <w:rsid w:val="00543466"/>
    <w:rsid w:val="0054357A"/>
    <w:rsid w:val="00543717"/>
    <w:rsid w:val="0054383E"/>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13"/>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02D"/>
    <w:rsid w:val="00552C21"/>
    <w:rsid w:val="00552DB9"/>
    <w:rsid w:val="00552E5E"/>
    <w:rsid w:val="00553081"/>
    <w:rsid w:val="005535AA"/>
    <w:rsid w:val="0055362B"/>
    <w:rsid w:val="005536A7"/>
    <w:rsid w:val="005537A2"/>
    <w:rsid w:val="00553DAD"/>
    <w:rsid w:val="00554758"/>
    <w:rsid w:val="00554ACD"/>
    <w:rsid w:val="00554B54"/>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224"/>
    <w:rsid w:val="005623E8"/>
    <w:rsid w:val="005625F4"/>
    <w:rsid w:val="005626BF"/>
    <w:rsid w:val="005629B1"/>
    <w:rsid w:val="00562BBA"/>
    <w:rsid w:val="0056371A"/>
    <w:rsid w:val="00563911"/>
    <w:rsid w:val="00563955"/>
    <w:rsid w:val="005639FD"/>
    <w:rsid w:val="00563B74"/>
    <w:rsid w:val="00563D08"/>
    <w:rsid w:val="00563DFF"/>
    <w:rsid w:val="00563E54"/>
    <w:rsid w:val="00563F47"/>
    <w:rsid w:val="00563F55"/>
    <w:rsid w:val="00564021"/>
    <w:rsid w:val="005643B1"/>
    <w:rsid w:val="005647DB"/>
    <w:rsid w:val="005648E4"/>
    <w:rsid w:val="00565272"/>
    <w:rsid w:val="005653A9"/>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13"/>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79C"/>
    <w:rsid w:val="00577812"/>
    <w:rsid w:val="005779D6"/>
    <w:rsid w:val="00577B17"/>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70A"/>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08"/>
    <w:rsid w:val="005916D5"/>
    <w:rsid w:val="005918AF"/>
    <w:rsid w:val="00591940"/>
    <w:rsid w:val="0059197A"/>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A4A"/>
    <w:rsid w:val="00597C14"/>
    <w:rsid w:val="005A03EA"/>
    <w:rsid w:val="005A05F8"/>
    <w:rsid w:val="005A0983"/>
    <w:rsid w:val="005A0C39"/>
    <w:rsid w:val="005A0C46"/>
    <w:rsid w:val="005A0D27"/>
    <w:rsid w:val="005A127B"/>
    <w:rsid w:val="005A12CE"/>
    <w:rsid w:val="005A14C5"/>
    <w:rsid w:val="005A16D2"/>
    <w:rsid w:val="005A1867"/>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2A0"/>
    <w:rsid w:val="005B363A"/>
    <w:rsid w:val="005B3CDA"/>
    <w:rsid w:val="005B466D"/>
    <w:rsid w:val="005B4BB9"/>
    <w:rsid w:val="005B4EE9"/>
    <w:rsid w:val="005B4F48"/>
    <w:rsid w:val="005B5615"/>
    <w:rsid w:val="005B56F3"/>
    <w:rsid w:val="005B5751"/>
    <w:rsid w:val="005B57A5"/>
    <w:rsid w:val="005B5CB2"/>
    <w:rsid w:val="005B5E17"/>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317"/>
    <w:rsid w:val="005C389C"/>
    <w:rsid w:val="005C3A23"/>
    <w:rsid w:val="005C3B0C"/>
    <w:rsid w:val="005C3BF3"/>
    <w:rsid w:val="005C3CA2"/>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37"/>
    <w:rsid w:val="005D4997"/>
    <w:rsid w:val="005D51F0"/>
    <w:rsid w:val="005D5298"/>
    <w:rsid w:val="005D52A1"/>
    <w:rsid w:val="005D532B"/>
    <w:rsid w:val="005D5392"/>
    <w:rsid w:val="005D54EF"/>
    <w:rsid w:val="005D5533"/>
    <w:rsid w:val="005D55A7"/>
    <w:rsid w:val="005D55D2"/>
    <w:rsid w:val="005D56BC"/>
    <w:rsid w:val="005D5866"/>
    <w:rsid w:val="005D5C1F"/>
    <w:rsid w:val="005D603E"/>
    <w:rsid w:val="005D60C9"/>
    <w:rsid w:val="005D6198"/>
    <w:rsid w:val="005D660C"/>
    <w:rsid w:val="005D678B"/>
    <w:rsid w:val="005D6C8E"/>
    <w:rsid w:val="005D73A6"/>
    <w:rsid w:val="005D7574"/>
    <w:rsid w:val="005D77C7"/>
    <w:rsid w:val="005D790D"/>
    <w:rsid w:val="005D7951"/>
    <w:rsid w:val="005E018B"/>
    <w:rsid w:val="005E0524"/>
    <w:rsid w:val="005E0660"/>
    <w:rsid w:val="005E0815"/>
    <w:rsid w:val="005E0A1F"/>
    <w:rsid w:val="005E0D4F"/>
    <w:rsid w:val="005E0E6C"/>
    <w:rsid w:val="005E1480"/>
    <w:rsid w:val="005E1512"/>
    <w:rsid w:val="005E15E3"/>
    <w:rsid w:val="005E1A55"/>
    <w:rsid w:val="005E1BEE"/>
    <w:rsid w:val="005E1E55"/>
    <w:rsid w:val="005E2005"/>
    <w:rsid w:val="005E224F"/>
    <w:rsid w:val="005E2460"/>
    <w:rsid w:val="005E262C"/>
    <w:rsid w:val="005E2A6D"/>
    <w:rsid w:val="005E2AB0"/>
    <w:rsid w:val="005E2B22"/>
    <w:rsid w:val="005E2C61"/>
    <w:rsid w:val="005E2CA4"/>
    <w:rsid w:val="005E2CC8"/>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4DE"/>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CA7"/>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9BF"/>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CC4"/>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2F0"/>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8CD"/>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C86"/>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7A4"/>
    <w:rsid w:val="00622929"/>
    <w:rsid w:val="00622E59"/>
    <w:rsid w:val="00623205"/>
    <w:rsid w:val="00623262"/>
    <w:rsid w:val="006233E1"/>
    <w:rsid w:val="00623446"/>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92B"/>
    <w:rsid w:val="00632A39"/>
    <w:rsid w:val="00632C15"/>
    <w:rsid w:val="00632D04"/>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163"/>
    <w:rsid w:val="00641298"/>
    <w:rsid w:val="0064145C"/>
    <w:rsid w:val="00641721"/>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5CC"/>
    <w:rsid w:val="00647EB2"/>
    <w:rsid w:val="00647FD7"/>
    <w:rsid w:val="0065008E"/>
    <w:rsid w:val="00650092"/>
    <w:rsid w:val="006506EC"/>
    <w:rsid w:val="0065098C"/>
    <w:rsid w:val="00650A6F"/>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DE3"/>
    <w:rsid w:val="00653E17"/>
    <w:rsid w:val="0065406F"/>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ACC"/>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EC9"/>
    <w:rsid w:val="00657F70"/>
    <w:rsid w:val="00657FC6"/>
    <w:rsid w:val="00660110"/>
    <w:rsid w:val="0066015F"/>
    <w:rsid w:val="00660361"/>
    <w:rsid w:val="006604B7"/>
    <w:rsid w:val="006605BE"/>
    <w:rsid w:val="00660675"/>
    <w:rsid w:val="00660BE4"/>
    <w:rsid w:val="00660D14"/>
    <w:rsid w:val="00660E89"/>
    <w:rsid w:val="00660EFE"/>
    <w:rsid w:val="006619C8"/>
    <w:rsid w:val="00661BC4"/>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B46"/>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53F"/>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D60"/>
    <w:rsid w:val="00684EEF"/>
    <w:rsid w:val="00684F86"/>
    <w:rsid w:val="006851A5"/>
    <w:rsid w:val="006851A7"/>
    <w:rsid w:val="00685266"/>
    <w:rsid w:val="00685571"/>
    <w:rsid w:val="00685698"/>
    <w:rsid w:val="006856F1"/>
    <w:rsid w:val="006858DF"/>
    <w:rsid w:val="00685A4D"/>
    <w:rsid w:val="00685ACD"/>
    <w:rsid w:val="00685B24"/>
    <w:rsid w:val="006861E9"/>
    <w:rsid w:val="00686313"/>
    <w:rsid w:val="0068655A"/>
    <w:rsid w:val="006865BA"/>
    <w:rsid w:val="00686C7F"/>
    <w:rsid w:val="0068775A"/>
    <w:rsid w:val="00687BC0"/>
    <w:rsid w:val="00687E54"/>
    <w:rsid w:val="00690013"/>
    <w:rsid w:val="0069026C"/>
    <w:rsid w:val="0069071A"/>
    <w:rsid w:val="006907FD"/>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7E3"/>
    <w:rsid w:val="006C192D"/>
    <w:rsid w:val="006C1C38"/>
    <w:rsid w:val="006C1CD1"/>
    <w:rsid w:val="006C2550"/>
    <w:rsid w:val="006C2678"/>
    <w:rsid w:val="006C29F9"/>
    <w:rsid w:val="006C2A17"/>
    <w:rsid w:val="006C2C38"/>
    <w:rsid w:val="006C2C45"/>
    <w:rsid w:val="006C2C8F"/>
    <w:rsid w:val="006C2E24"/>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E0C"/>
    <w:rsid w:val="006C5F68"/>
    <w:rsid w:val="006C61F8"/>
    <w:rsid w:val="006C64D5"/>
    <w:rsid w:val="006C67DA"/>
    <w:rsid w:val="006C6D0C"/>
    <w:rsid w:val="006C6E6D"/>
    <w:rsid w:val="006C7242"/>
    <w:rsid w:val="006C74DD"/>
    <w:rsid w:val="006C78A9"/>
    <w:rsid w:val="006C79A8"/>
    <w:rsid w:val="006C7AE2"/>
    <w:rsid w:val="006C7CB0"/>
    <w:rsid w:val="006C7CC7"/>
    <w:rsid w:val="006D077B"/>
    <w:rsid w:val="006D096B"/>
    <w:rsid w:val="006D0974"/>
    <w:rsid w:val="006D09D2"/>
    <w:rsid w:val="006D0A72"/>
    <w:rsid w:val="006D0C8A"/>
    <w:rsid w:val="006D0D92"/>
    <w:rsid w:val="006D121E"/>
    <w:rsid w:val="006D13F9"/>
    <w:rsid w:val="006D176E"/>
    <w:rsid w:val="006D1BD4"/>
    <w:rsid w:val="006D1C17"/>
    <w:rsid w:val="006D1EE5"/>
    <w:rsid w:val="006D2145"/>
    <w:rsid w:val="006D2ED4"/>
    <w:rsid w:val="006D2FF8"/>
    <w:rsid w:val="006D302A"/>
    <w:rsid w:val="006D30B2"/>
    <w:rsid w:val="006D35FD"/>
    <w:rsid w:val="006D3811"/>
    <w:rsid w:val="006D3872"/>
    <w:rsid w:val="006D3F34"/>
    <w:rsid w:val="006D40E7"/>
    <w:rsid w:val="006D429C"/>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51"/>
    <w:rsid w:val="006E06B3"/>
    <w:rsid w:val="006E09ED"/>
    <w:rsid w:val="006E0BB8"/>
    <w:rsid w:val="006E0D37"/>
    <w:rsid w:val="006E0FB9"/>
    <w:rsid w:val="006E14B3"/>
    <w:rsid w:val="006E175D"/>
    <w:rsid w:val="006E191C"/>
    <w:rsid w:val="006E1963"/>
    <w:rsid w:val="006E1EAC"/>
    <w:rsid w:val="006E1F52"/>
    <w:rsid w:val="006E203F"/>
    <w:rsid w:val="006E22E1"/>
    <w:rsid w:val="006E2653"/>
    <w:rsid w:val="006E27DA"/>
    <w:rsid w:val="006E2875"/>
    <w:rsid w:val="006E2D3E"/>
    <w:rsid w:val="006E329A"/>
    <w:rsid w:val="006E3477"/>
    <w:rsid w:val="006E358D"/>
    <w:rsid w:val="006E3A90"/>
    <w:rsid w:val="006E3CC7"/>
    <w:rsid w:val="006E3F71"/>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69D"/>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02E"/>
    <w:rsid w:val="006F5608"/>
    <w:rsid w:val="006F560B"/>
    <w:rsid w:val="006F604B"/>
    <w:rsid w:val="006F6337"/>
    <w:rsid w:val="006F6502"/>
    <w:rsid w:val="006F6847"/>
    <w:rsid w:val="006F6F0F"/>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75F"/>
    <w:rsid w:val="00701D18"/>
    <w:rsid w:val="00701F44"/>
    <w:rsid w:val="007027F8"/>
    <w:rsid w:val="00702AAC"/>
    <w:rsid w:val="00702C97"/>
    <w:rsid w:val="00702D7E"/>
    <w:rsid w:val="00702E1B"/>
    <w:rsid w:val="00702F50"/>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6A6"/>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27F76"/>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2F8"/>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192"/>
    <w:rsid w:val="00736367"/>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2D9"/>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597"/>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83D"/>
    <w:rsid w:val="00754F4E"/>
    <w:rsid w:val="00754F9F"/>
    <w:rsid w:val="00755089"/>
    <w:rsid w:val="00755223"/>
    <w:rsid w:val="00755262"/>
    <w:rsid w:val="007555BA"/>
    <w:rsid w:val="007555DD"/>
    <w:rsid w:val="007555F5"/>
    <w:rsid w:val="00755851"/>
    <w:rsid w:val="00755C64"/>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B61"/>
    <w:rsid w:val="00757ED3"/>
    <w:rsid w:val="00757EF0"/>
    <w:rsid w:val="00757FDF"/>
    <w:rsid w:val="00760136"/>
    <w:rsid w:val="0076014D"/>
    <w:rsid w:val="007604D5"/>
    <w:rsid w:val="007604FB"/>
    <w:rsid w:val="007606EE"/>
    <w:rsid w:val="00760711"/>
    <w:rsid w:val="00760715"/>
    <w:rsid w:val="00760F11"/>
    <w:rsid w:val="0076101C"/>
    <w:rsid w:val="0076146C"/>
    <w:rsid w:val="00761660"/>
    <w:rsid w:val="00761894"/>
    <w:rsid w:val="00761949"/>
    <w:rsid w:val="00761AB1"/>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4EB2"/>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400"/>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A64"/>
    <w:rsid w:val="00773FF9"/>
    <w:rsid w:val="00774581"/>
    <w:rsid w:val="00774779"/>
    <w:rsid w:val="00774A0D"/>
    <w:rsid w:val="00774AAA"/>
    <w:rsid w:val="00774FCC"/>
    <w:rsid w:val="0077510C"/>
    <w:rsid w:val="00775284"/>
    <w:rsid w:val="00775886"/>
    <w:rsid w:val="00775934"/>
    <w:rsid w:val="00775974"/>
    <w:rsid w:val="00775CBC"/>
    <w:rsid w:val="00775F0A"/>
    <w:rsid w:val="00776209"/>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147"/>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DA2"/>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18D"/>
    <w:rsid w:val="0078660B"/>
    <w:rsid w:val="00786A73"/>
    <w:rsid w:val="00786ACC"/>
    <w:rsid w:val="00786B12"/>
    <w:rsid w:val="00786CE9"/>
    <w:rsid w:val="00786D0E"/>
    <w:rsid w:val="00786D77"/>
    <w:rsid w:val="00787634"/>
    <w:rsid w:val="00787778"/>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9F5"/>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9A0"/>
    <w:rsid w:val="007A0C8F"/>
    <w:rsid w:val="007A0D76"/>
    <w:rsid w:val="007A111B"/>
    <w:rsid w:val="007A1381"/>
    <w:rsid w:val="007A16F4"/>
    <w:rsid w:val="007A1937"/>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6C"/>
    <w:rsid w:val="007A58E0"/>
    <w:rsid w:val="007A5B85"/>
    <w:rsid w:val="007A5D89"/>
    <w:rsid w:val="007A5EEB"/>
    <w:rsid w:val="007A5F26"/>
    <w:rsid w:val="007A60E5"/>
    <w:rsid w:val="007A64CF"/>
    <w:rsid w:val="007A6708"/>
    <w:rsid w:val="007A685F"/>
    <w:rsid w:val="007A6B94"/>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21B1"/>
    <w:rsid w:val="007B234D"/>
    <w:rsid w:val="007B2840"/>
    <w:rsid w:val="007B28B4"/>
    <w:rsid w:val="007B2E6D"/>
    <w:rsid w:val="007B2E7A"/>
    <w:rsid w:val="007B2FDF"/>
    <w:rsid w:val="007B30EA"/>
    <w:rsid w:val="007B33D2"/>
    <w:rsid w:val="007B354B"/>
    <w:rsid w:val="007B3A86"/>
    <w:rsid w:val="007B3B9A"/>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68"/>
    <w:rsid w:val="007B6199"/>
    <w:rsid w:val="007B63AE"/>
    <w:rsid w:val="007B65FD"/>
    <w:rsid w:val="007B677E"/>
    <w:rsid w:val="007B690E"/>
    <w:rsid w:val="007B6AAE"/>
    <w:rsid w:val="007B6C4C"/>
    <w:rsid w:val="007B6F26"/>
    <w:rsid w:val="007B7279"/>
    <w:rsid w:val="007B7837"/>
    <w:rsid w:val="007B7A69"/>
    <w:rsid w:val="007B7DF3"/>
    <w:rsid w:val="007B7E46"/>
    <w:rsid w:val="007B7ED7"/>
    <w:rsid w:val="007B7F1B"/>
    <w:rsid w:val="007C056D"/>
    <w:rsid w:val="007C05EB"/>
    <w:rsid w:val="007C0A22"/>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3C72"/>
    <w:rsid w:val="007C4201"/>
    <w:rsid w:val="007C43E6"/>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945"/>
    <w:rsid w:val="007D1A42"/>
    <w:rsid w:val="007D1A5A"/>
    <w:rsid w:val="007D1AFC"/>
    <w:rsid w:val="007D1DE9"/>
    <w:rsid w:val="007D221D"/>
    <w:rsid w:val="007D269C"/>
    <w:rsid w:val="007D26D0"/>
    <w:rsid w:val="007D2872"/>
    <w:rsid w:val="007D2B58"/>
    <w:rsid w:val="007D2B94"/>
    <w:rsid w:val="007D2CAF"/>
    <w:rsid w:val="007D31A0"/>
    <w:rsid w:val="007D34B9"/>
    <w:rsid w:val="007D35B2"/>
    <w:rsid w:val="007D3AEC"/>
    <w:rsid w:val="007D3BA8"/>
    <w:rsid w:val="007D3FD8"/>
    <w:rsid w:val="007D4DC3"/>
    <w:rsid w:val="007D50FE"/>
    <w:rsid w:val="007D5181"/>
    <w:rsid w:val="007D5317"/>
    <w:rsid w:val="007D5450"/>
    <w:rsid w:val="007D573B"/>
    <w:rsid w:val="007D57F6"/>
    <w:rsid w:val="007D5967"/>
    <w:rsid w:val="007D5E26"/>
    <w:rsid w:val="007D5F25"/>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72D"/>
    <w:rsid w:val="007E1915"/>
    <w:rsid w:val="007E2202"/>
    <w:rsid w:val="007E2457"/>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5F71"/>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3E5D"/>
    <w:rsid w:val="007F42CF"/>
    <w:rsid w:val="007F4331"/>
    <w:rsid w:val="007F48BB"/>
    <w:rsid w:val="007F48ED"/>
    <w:rsid w:val="007F4D56"/>
    <w:rsid w:val="007F4D74"/>
    <w:rsid w:val="007F4F16"/>
    <w:rsid w:val="007F53A9"/>
    <w:rsid w:val="007F545D"/>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40"/>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16"/>
    <w:rsid w:val="00807CE2"/>
    <w:rsid w:val="00807CE5"/>
    <w:rsid w:val="008111F2"/>
    <w:rsid w:val="0081147E"/>
    <w:rsid w:val="00812128"/>
    <w:rsid w:val="00812176"/>
    <w:rsid w:val="00812554"/>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205"/>
    <w:rsid w:val="00816359"/>
    <w:rsid w:val="00816442"/>
    <w:rsid w:val="008164CF"/>
    <w:rsid w:val="0081656D"/>
    <w:rsid w:val="0081659C"/>
    <w:rsid w:val="00816884"/>
    <w:rsid w:val="00816F05"/>
    <w:rsid w:val="00817166"/>
    <w:rsid w:val="008173A5"/>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07A"/>
    <w:rsid w:val="0082313E"/>
    <w:rsid w:val="008232CC"/>
    <w:rsid w:val="0082343D"/>
    <w:rsid w:val="00823459"/>
    <w:rsid w:val="00823477"/>
    <w:rsid w:val="00823C26"/>
    <w:rsid w:val="00823EAE"/>
    <w:rsid w:val="00823F6F"/>
    <w:rsid w:val="00824055"/>
    <w:rsid w:val="0082405D"/>
    <w:rsid w:val="008242B4"/>
    <w:rsid w:val="008245F9"/>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2E3"/>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4BE"/>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6"/>
    <w:rsid w:val="00846809"/>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BE7"/>
    <w:rsid w:val="00851C82"/>
    <w:rsid w:val="00851ED1"/>
    <w:rsid w:val="00851F36"/>
    <w:rsid w:val="00852052"/>
    <w:rsid w:val="00852113"/>
    <w:rsid w:val="00852141"/>
    <w:rsid w:val="008523E1"/>
    <w:rsid w:val="00852728"/>
    <w:rsid w:val="0085294E"/>
    <w:rsid w:val="00852A01"/>
    <w:rsid w:val="00852AB5"/>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6D0"/>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34"/>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834"/>
    <w:rsid w:val="00880CBB"/>
    <w:rsid w:val="00880FD7"/>
    <w:rsid w:val="0088127C"/>
    <w:rsid w:val="0088159C"/>
    <w:rsid w:val="00881887"/>
    <w:rsid w:val="008818E4"/>
    <w:rsid w:val="008819B2"/>
    <w:rsid w:val="00881FA5"/>
    <w:rsid w:val="008822D5"/>
    <w:rsid w:val="00882364"/>
    <w:rsid w:val="008823A3"/>
    <w:rsid w:val="008824F9"/>
    <w:rsid w:val="008825F4"/>
    <w:rsid w:val="008826DC"/>
    <w:rsid w:val="00882967"/>
    <w:rsid w:val="00882BE0"/>
    <w:rsid w:val="00882C14"/>
    <w:rsid w:val="00882E4B"/>
    <w:rsid w:val="00883483"/>
    <w:rsid w:val="008839E4"/>
    <w:rsid w:val="00883CA2"/>
    <w:rsid w:val="00883D38"/>
    <w:rsid w:val="00883E17"/>
    <w:rsid w:val="00884163"/>
    <w:rsid w:val="008842DF"/>
    <w:rsid w:val="00884419"/>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5F93"/>
    <w:rsid w:val="008961A7"/>
    <w:rsid w:val="008962CD"/>
    <w:rsid w:val="008963A5"/>
    <w:rsid w:val="00896575"/>
    <w:rsid w:val="00896612"/>
    <w:rsid w:val="008968D9"/>
    <w:rsid w:val="0089690E"/>
    <w:rsid w:val="00896A26"/>
    <w:rsid w:val="00896BC5"/>
    <w:rsid w:val="00896ED7"/>
    <w:rsid w:val="00897A0E"/>
    <w:rsid w:val="00897ED1"/>
    <w:rsid w:val="00897F20"/>
    <w:rsid w:val="008A0453"/>
    <w:rsid w:val="008A061D"/>
    <w:rsid w:val="008A07CE"/>
    <w:rsid w:val="008A07F0"/>
    <w:rsid w:val="008A0C6F"/>
    <w:rsid w:val="008A0CD8"/>
    <w:rsid w:val="008A1392"/>
    <w:rsid w:val="008A1609"/>
    <w:rsid w:val="008A18B1"/>
    <w:rsid w:val="008A1BAA"/>
    <w:rsid w:val="008A1BC1"/>
    <w:rsid w:val="008A1E72"/>
    <w:rsid w:val="008A2413"/>
    <w:rsid w:val="008A25A6"/>
    <w:rsid w:val="008A2904"/>
    <w:rsid w:val="008A291F"/>
    <w:rsid w:val="008A2E0C"/>
    <w:rsid w:val="008A34E0"/>
    <w:rsid w:val="008A368E"/>
    <w:rsid w:val="008A36F0"/>
    <w:rsid w:val="008A37E5"/>
    <w:rsid w:val="008A3F9E"/>
    <w:rsid w:val="008A401D"/>
    <w:rsid w:val="008A4256"/>
    <w:rsid w:val="008A451C"/>
    <w:rsid w:val="008A4744"/>
    <w:rsid w:val="008A47DC"/>
    <w:rsid w:val="008A4824"/>
    <w:rsid w:val="008A49B1"/>
    <w:rsid w:val="008A4F1E"/>
    <w:rsid w:val="008A4F85"/>
    <w:rsid w:val="008A529E"/>
    <w:rsid w:val="008A56DC"/>
    <w:rsid w:val="008A5771"/>
    <w:rsid w:val="008A5A89"/>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61F"/>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A2A"/>
    <w:rsid w:val="008B4FC7"/>
    <w:rsid w:val="008B5102"/>
    <w:rsid w:val="008B548D"/>
    <w:rsid w:val="008B56DC"/>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2D1"/>
    <w:rsid w:val="008C0597"/>
    <w:rsid w:val="008C081E"/>
    <w:rsid w:val="008C0BCD"/>
    <w:rsid w:val="008C0E6B"/>
    <w:rsid w:val="008C0E7D"/>
    <w:rsid w:val="008C1B54"/>
    <w:rsid w:val="008C23C8"/>
    <w:rsid w:val="008C23C9"/>
    <w:rsid w:val="008C24CB"/>
    <w:rsid w:val="008C2C78"/>
    <w:rsid w:val="008C2E28"/>
    <w:rsid w:val="008C2FA9"/>
    <w:rsid w:val="008C30E7"/>
    <w:rsid w:val="008C310E"/>
    <w:rsid w:val="008C32A9"/>
    <w:rsid w:val="008C33E6"/>
    <w:rsid w:val="008C363C"/>
    <w:rsid w:val="008C37DA"/>
    <w:rsid w:val="008C3813"/>
    <w:rsid w:val="008C3A88"/>
    <w:rsid w:val="008C3B2E"/>
    <w:rsid w:val="008C3B37"/>
    <w:rsid w:val="008C4352"/>
    <w:rsid w:val="008C4456"/>
    <w:rsid w:val="008C47FA"/>
    <w:rsid w:val="008C497B"/>
    <w:rsid w:val="008C4C86"/>
    <w:rsid w:val="008C4CC1"/>
    <w:rsid w:val="008C4DF2"/>
    <w:rsid w:val="008C4F20"/>
    <w:rsid w:val="008C4FD0"/>
    <w:rsid w:val="008C5008"/>
    <w:rsid w:val="008C525B"/>
    <w:rsid w:val="008C5B5B"/>
    <w:rsid w:val="008C5E64"/>
    <w:rsid w:val="008C65CC"/>
    <w:rsid w:val="008C6796"/>
    <w:rsid w:val="008C6D97"/>
    <w:rsid w:val="008C6FA4"/>
    <w:rsid w:val="008C7006"/>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AA2"/>
    <w:rsid w:val="008E1CA0"/>
    <w:rsid w:val="008E2A23"/>
    <w:rsid w:val="008E2ABF"/>
    <w:rsid w:val="008E2C87"/>
    <w:rsid w:val="008E34B3"/>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1B"/>
    <w:rsid w:val="008E72F9"/>
    <w:rsid w:val="008E76F7"/>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B6D"/>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A02"/>
    <w:rsid w:val="008F4C85"/>
    <w:rsid w:val="008F4E07"/>
    <w:rsid w:val="008F4F1D"/>
    <w:rsid w:val="008F4F30"/>
    <w:rsid w:val="008F4F8E"/>
    <w:rsid w:val="008F53F2"/>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3F"/>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17"/>
    <w:rsid w:val="009117C6"/>
    <w:rsid w:val="00911A9D"/>
    <w:rsid w:val="00911BBF"/>
    <w:rsid w:val="00912264"/>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12C"/>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871"/>
    <w:rsid w:val="00935B2B"/>
    <w:rsid w:val="00935B74"/>
    <w:rsid w:val="00935F85"/>
    <w:rsid w:val="00936658"/>
    <w:rsid w:val="00936CCE"/>
    <w:rsid w:val="00936CF4"/>
    <w:rsid w:val="00936E80"/>
    <w:rsid w:val="009370A1"/>
    <w:rsid w:val="00937175"/>
    <w:rsid w:val="00937760"/>
    <w:rsid w:val="009377E4"/>
    <w:rsid w:val="0093792C"/>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1F5C"/>
    <w:rsid w:val="00952202"/>
    <w:rsid w:val="009525CB"/>
    <w:rsid w:val="009529F3"/>
    <w:rsid w:val="00952A1B"/>
    <w:rsid w:val="00952E5F"/>
    <w:rsid w:val="00952F3A"/>
    <w:rsid w:val="00953037"/>
    <w:rsid w:val="0095313A"/>
    <w:rsid w:val="009532AC"/>
    <w:rsid w:val="00953322"/>
    <w:rsid w:val="009537A7"/>
    <w:rsid w:val="00953A4C"/>
    <w:rsid w:val="00953A7E"/>
    <w:rsid w:val="00953CF4"/>
    <w:rsid w:val="00953F73"/>
    <w:rsid w:val="00953FA1"/>
    <w:rsid w:val="009541AC"/>
    <w:rsid w:val="00954263"/>
    <w:rsid w:val="00954286"/>
    <w:rsid w:val="009542A8"/>
    <w:rsid w:val="009542F7"/>
    <w:rsid w:val="00954501"/>
    <w:rsid w:val="00954892"/>
    <w:rsid w:val="009549F9"/>
    <w:rsid w:val="00954ADB"/>
    <w:rsid w:val="00954BF0"/>
    <w:rsid w:val="00954EA7"/>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A9E"/>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D22"/>
    <w:rsid w:val="00971E6E"/>
    <w:rsid w:val="00971FDE"/>
    <w:rsid w:val="00972316"/>
    <w:rsid w:val="0097242F"/>
    <w:rsid w:val="00972E0C"/>
    <w:rsid w:val="00972F5B"/>
    <w:rsid w:val="00972F96"/>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19A"/>
    <w:rsid w:val="009753D0"/>
    <w:rsid w:val="00975444"/>
    <w:rsid w:val="00975594"/>
    <w:rsid w:val="0097578E"/>
    <w:rsid w:val="00975933"/>
    <w:rsid w:val="00975965"/>
    <w:rsid w:val="00975977"/>
    <w:rsid w:val="00975C44"/>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8C8"/>
    <w:rsid w:val="009839A7"/>
    <w:rsid w:val="00983B10"/>
    <w:rsid w:val="00983DC3"/>
    <w:rsid w:val="0098408A"/>
    <w:rsid w:val="00984240"/>
    <w:rsid w:val="00984369"/>
    <w:rsid w:val="0098449E"/>
    <w:rsid w:val="0098464F"/>
    <w:rsid w:val="0098480B"/>
    <w:rsid w:val="00984CB0"/>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ACB"/>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D78"/>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3DB2"/>
    <w:rsid w:val="009B4268"/>
    <w:rsid w:val="009B433D"/>
    <w:rsid w:val="009B46AF"/>
    <w:rsid w:val="009B4797"/>
    <w:rsid w:val="009B47BE"/>
    <w:rsid w:val="009B4CFD"/>
    <w:rsid w:val="009B4D72"/>
    <w:rsid w:val="009B4E72"/>
    <w:rsid w:val="009B504B"/>
    <w:rsid w:val="009B53BD"/>
    <w:rsid w:val="009B57EC"/>
    <w:rsid w:val="009B5BA4"/>
    <w:rsid w:val="009B5DB6"/>
    <w:rsid w:val="009B5E8D"/>
    <w:rsid w:val="009B5F42"/>
    <w:rsid w:val="009B5FC2"/>
    <w:rsid w:val="009B61B8"/>
    <w:rsid w:val="009B6596"/>
    <w:rsid w:val="009B65AD"/>
    <w:rsid w:val="009B6B3D"/>
    <w:rsid w:val="009B6DA1"/>
    <w:rsid w:val="009B6F81"/>
    <w:rsid w:val="009B7003"/>
    <w:rsid w:val="009B70F1"/>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AB4"/>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5039"/>
    <w:rsid w:val="009C5067"/>
    <w:rsid w:val="009C50A7"/>
    <w:rsid w:val="009C520E"/>
    <w:rsid w:val="009C55B8"/>
    <w:rsid w:val="009C5634"/>
    <w:rsid w:val="009C565D"/>
    <w:rsid w:val="009C56E0"/>
    <w:rsid w:val="009C57B3"/>
    <w:rsid w:val="009C5864"/>
    <w:rsid w:val="009C5D3E"/>
    <w:rsid w:val="009C5D7A"/>
    <w:rsid w:val="009C5F69"/>
    <w:rsid w:val="009C5FD2"/>
    <w:rsid w:val="009C6193"/>
    <w:rsid w:val="009C6265"/>
    <w:rsid w:val="009C626B"/>
    <w:rsid w:val="009C6BDC"/>
    <w:rsid w:val="009C6F03"/>
    <w:rsid w:val="009C7016"/>
    <w:rsid w:val="009C704D"/>
    <w:rsid w:val="009C7070"/>
    <w:rsid w:val="009C717A"/>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81A"/>
    <w:rsid w:val="009D2B9C"/>
    <w:rsid w:val="009D2BD0"/>
    <w:rsid w:val="009D2DE3"/>
    <w:rsid w:val="009D38C0"/>
    <w:rsid w:val="009D3A3D"/>
    <w:rsid w:val="009D3B39"/>
    <w:rsid w:val="009D3C12"/>
    <w:rsid w:val="009D3D89"/>
    <w:rsid w:val="009D4016"/>
    <w:rsid w:val="009D4291"/>
    <w:rsid w:val="009D4778"/>
    <w:rsid w:val="009D4B17"/>
    <w:rsid w:val="009D4FC3"/>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4E"/>
    <w:rsid w:val="009E149D"/>
    <w:rsid w:val="009E175C"/>
    <w:rsid w:val="009E175E"/>
    <w:rsid w:val="009E185F"/>
    <w:rsid w:val="009E187B"/>
    <w:rsid w:val="009E19FF"/>
    <w:rsid w:val="009E1AB9"/>
    <w:rsid w:val="009E1CA3"/>
    <w:rsid w:val="009E1D65"/>
    <w:rsid w:val="009E1DD1"/>
    <w:rsid w:val="009E1E6F"/>
    <w:rsid w:val="009E216E"/>
    <w:rsid w:val="009E2245"/>
    <w:rsid w:val="009E22DA"/>
    <w:rsid w:val="009E23AA"/>
    <w:rsid w:val="009E276A"/>
    <w:rsid w:val="009E27E3"/>
    <w:rsid w:val="009E28A2"/>
    <w:rsid w:val="009E29A1"/>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082"/>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1F0B"/>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7C1"/>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10DC"/>
    <w:rsid w:val="00A012C7"/>
    <w:rsid w:val="00A01677"/>
    <w:rsid w:val="00A01B12"/>
    <w:rsid w:val="00A01E2A"/>
    <w:rsid w:val="00A01E81"/>
    <w:rsid w:val="00A022D4"/>
    <w:rsid w:val="00A023B0"/>
    <w:rsid w:val="00A0243B"/>
    <w:rsid w:val="00A029F2"/>
    <w:rsid w:val="00A02A02"/>
    <w:rsid w:val="00A02D43"/>
    <w:rsid w:val="00A02D4C"/>
    <w:rsid w:val="00A038E0"/>
    <w:rsid w:val="00A03ADC"/>
    <w:rsid w:val="00A03AE3"/>
    <w:rsid w:val="00A03C6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961"/>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88"/>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3E"/>
    <w:rsid w:val="00A1735A"/>
    <w:rsid w:val="00A1785B"/>
    <w:rsid w:val="00A178CF"/>
    <w:rsid w:val="00A17926"/>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6DF"/>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5AF"/>
    <w:rsid w:val="00A24CB3"/>
    <w:rsid w:val="00A253A6"/>
    <w:rsid w:val="00A25A78"/>
    <w:rsid w:val="00A25ACB"/>
    <w:rsid w:val="00A25B9E"/>
    <w:rsid w:val="00A25DDB"/>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B90"/>
    <w:rsid w:val="00A32E4F"/>
    <w:rsid w:val="00A33130"/>
    <w:rsid w:val="00A3320F"/>
    <w:rsid w:val="00A33220"/>
    <w:rsid w:val="00A33364"/>
    <w:rsid w:val="00A33432"/>
    <w:rsid w:val="00A335A9"/>
    <w:rsid w:val="00A3360C"/>
    <w:rsid w:val="00A33618"/>
    <w:rsid w:val="00A336C5"/>
    <w:rsid w:val="00A3376A"/>
    <w:rsid w:val="00A33804"/>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559"/>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99D"/>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735"/>
    <w:rsid w:val="00A668DD"/>
    <w:rsid w:val="00A66C3D"/>
    <w:rsid w:val="00A66C8C"/>
    <w:rsid w:val="00A67142"/>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2C"/>
    <w:rsid w:val="00A836CD"/>
    <w:rsid w:val="00A83851"/>
    <w:rsid w:val="00A83BF4"/>
    <w:rsid w:val="00A83C2C"/>
    <w:rsid w:val="00A83FA5"/>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DF"/>
    <w:rsid w:val="00AA2BE2"/>
    <w:rsid w:val="00AA3671"/>
    <w:rsid w:val="00AA3A33"/>
    <w:rsid w:val="00AA3AFC"/>
    <w:rsid w:val="00AA3CC0"/>
    <w:rsid w:val="00AA3EF2"/>
    <w:rsid w:val="00AA3F94"/>
    <w:rsid w:val="00AA42AC"/>
    <w:rsid w:val="00AA450F"/>
    <w:rsid w:val="00AA4510"/>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716"/>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C51"/>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890"/>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C5A"/>
    <w:rsid w:val="00AC7E54"/>
    <w:rsid w:val="00AD0009"/>
    <w:rsid w:val="00AD012E"/>
    <w:rsid w:val="00AD0447"/>
    <w:rsid w:val="00AD069D"/>
    <w:rsid w:val="00AD081B"/>
    <w:rsid w:val="00AD084B"/>
    <w:rsid w:val="00AD0A55"/>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03A"/>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0FEE"/>
    <w:rsid w:val="00AE1197"/>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76C"/>
    <w:rsid w:val="00AF0E17"/>
    <w:rsid w:val="00AF10B2"/>
    <w:rsid w:val="00AF112A"/>
    <w:rsid w:val="00AF11C4"/>
    <w:rsid w:val="00AF12A8"/>
    <w:rsid w:val="00AF18E7"/>
    <w:rsid w:val="00AF1BE6"/>
    <w:rsid w:val="00AF1C90"/>
    <w:rsid w:val="00AF1D41"/>
    <w:rsid w:val="00AF1F1A"/>
    <w:rsid w:val="00AF2181"/>
    <w:rsid w:val="00AF22D2"/>
    <w:rsid w:val="00AF24DF"/>
    <w:rsid w:val="00AF263B"/>
    <w:rsid w:val="00AF29F6"/>
    <w:rsid w:val="00AF2A7B"/>
    <w:rsid w:val="00AF2C75"/>
    <w:rsid w:val="00AF2CCD"/>
    <w:rsid w:val="00AF33FE"/>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60C"/>
    <w:rsid w:val="00B02C47"/>
    <w:rsid w:val="00B0355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6B7"/>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37"/>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706"/>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4CA"/>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630"/>
    <w:rsid w:val="00B34AF9"/>
    <w:rsid w:val="00B34F0D"/>
    <w:rsid w:val="00B34F20"/>
    <w:rsid w:val="00B352C0"/>
    <w:rsid w:val="00B3533D"/>
    <w:rsid w:val="00B35523"/>
    <w:rsid w:val="00B35996"/>
    <w:rsid w:val="00B35BF4"/>
    <w:rsid w:val="00B35E70"/>
    <w:rsid w:val="00B3614B"/>
    <w:rsid w:val="00B36749"/>
    <w:rsid w:val="00B36803"/>
    <w:rsid w:val="00B36921"/>
    <w:rsid w:val="00B36DE3"/>
    <w:rsid w:val="00B37757"/>
    <w:rsid w:val="00B37DE1"/>
    <w:rsid w:val="00B37DFC"/>
    <w:rsid w:val="00B37EA2"/>
    <w:rsid w:val="00B37EF4"/>
    <w:rsid w:val="00B401C9"/>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80"/>
    <w:rsid w:val="00B46CC1"/>
    <w:rsid w:val="00B46DBE"/>
    <w:rsid w:val="00B46FA3"/>
    <w:rsid w:val="00B470EA"/>
    <w:rsid w:val="00B47394"/>
    <w:rsid w:val="00B475A9"/>
    <w:rsid w:val="00B4799D"/>
    <w:rsid w:val="00B47A89"/>
    <w:rsid w:val="00B47B51"/>
    <w:rsid w:val="00B47D66"/>
    <w:rsid w:val="00B47E4F"/>
    <w:rsid w:val="00B47F0C"/>
    <w:rsid w:val="00B50331"/>
    <w:rsid w:val="00B50334"/>
    <w:rsid w:val="00B50C5A"/>
    <w:rsid w:val="00B50D1D"/>
    <w:rsid w:val="00B50DBD"/>
    <w:rsid w:val="00B50EB7"/>
    <w:rsid w:val="00B50EBE"/>
    <w:rsid w:val="00B50F67"/>
    <w:rsid w:val="00B50FFB"/>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390"/>
    <w:rsid w:val="00B5548E"/>
    <w:rsid w:val="00B55AC6"/>
    <w:rsid w:val="00B55D56"/>
    <w:rsid w:val="00B55F9E"/>
    <w:rsid w:val="00B55FBA"/>
    <w:rsid w:val="00B560F0"/>
    <w:rsid w:val="00B56134"/>
    <w:rsid w:val="00B566BA"/>
    <w:rsid w:val="00B569A4"/>
    <w:rsid w:val="00B569B8"/>
    <w:rsid w:val="00B570F1"/>
    <w:rsid w:val="00B57DC9"/>
    <w:rsid w:val="00B57E2F"/>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23B"/>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6F"/>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24"/>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94"/>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184"/>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377"/>
    <w:rsid w:val="00B9141B"/>
    <w:rsid w:val="00B91487"/>
    <w:rsid w:val="00B917C1"/>
    <w:rsid w:val="00B91D5A"/>
    <w:rsid w:val="00B91F97"/>
    <w:rsid w:val="00B920A6"/>
    <w:rsid w:val="00B921B0"/>
    <w:rsid w:val="00B9259E"/>
    <w:rsid w:val="00B927CB"/>
    <w:rsid w:val="00B92CB2"/>
    <w:rsid w:val="00B92DCC"/>
    <w:rsid w:val="00B92FE6"/>
    <w:rsid w:val="00B93044"/>
    <w:rsid w:val="00B935F8"/>
    <w:rsid w:val="00B93D0B"/>
    <w:rsid w:val="00B93D3B"/>
    <w:rsid w:val="00B93E98"/>
    <w:rsid w:val="00B940D9"/>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B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2B5"/>
    <w:rsid w:val="00BA35C5"/>
    <w:rsid w:val="00BA3857"/>
    <w:rsid w:val="00BA3A00"/>
    <w:rsid w:val="00BA3CB8"/>
    <w:rsid w:val="00BA3CD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0EA"/>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C0B"/>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4D6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6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235"/>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3D6"/>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4EAF"/>
    <w:rsid w:val="00BE5116"/>
    <w:rsid w:val="00BE534A"/>
    <w:rsid w:val="00BE5ACB"/>
    <w:rsid w:val="00BE5B67"/>
    <w:rsid w:val="00BE5DD0"/>
    <w:rsid w:val="00BE5E4E"/>
    <w:rsid w:val="00BE5FB1"/>
    <w:rsid w:val="00BE6458"/>
    <w:rsid w:val="00BE6628"/>
    <w:rsid w:val="00BE6C18"/>
    <w:rsid w:val="00BE6CE4"/>
    <w:rsid w:val="00BE74FC"/>
    <w:rsid w:val="00BE74FD"/>
    <w:rsid w:val="00BE7598"/>
    <w:rsid w:val="00BE78AF"/>
    <w:rsid w:val="00BE7912"/>
    <w:rsid w:val="00BE7A5B"/>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3C"/>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02B"/>
    <w:rsid w:val="00C01169"/>
    <w:rsid w:val="00C012AF"/>
    <w:rsid w:val="00C01844"/>
    <w:rsid w:val="00C01876"/>
    <w:rsid w:val="00C018AE"/>
    <w:rsid w:val="00C018B1"/>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78"/>
    <w:rsid w:val="00C109CB"/>
    <w:rsid w:val="00C10C9B"/>
    <w:rsid w:val="00C10CC1"/>
    <w:rsid w:val="00C10F6E"/>
    <w:rsid w:val="00C10F78"/>
    <w:rsid w:val="00C11561"/>
    <w:rsid w:val="00C117BA"/>
    <w:rsid w:val="00C11F2A"/>
    <w:rsid w:val="00C1200C"/>
    <w:rsid w:val="00C1249E"/>
    <w:rsid w:val="00C124C9"/>
    <w:rsid w:val="00C12554"/>
    <w:rsid w:val="00C1256A"/>
    <w:rsid w:val="00C127B6"/>
    <w:rsid w:val="00C12A64"/>
    <w:rsid w:val="00C12DD6"/>
    <w:rsid w:val="00C131E0"/>
    <w:rsid w:val="00C138AF"/>
    <w:rsid w:val="00C13C42"/>
    <w:rsid w:val="00C1453F"/>
    <w:rsid w:val="00C14C63"/>
    <w:rsid w:val="00C14F48"/>
    <w:rsid w:val="00C15021"/>
    <w:rsid w:val="00C151E3"/>
    <w:rsid w:val="00C152E3"/>
    <w:rsid w:val="00C154CD"/>
    <w:rsid w:val="00C15507"/>
    <w:rsid w:val="00C15671"/>
    <w:rsid w:val="00C158D3"/>
    <w:rsid w:val="00C158DA"/>
    <w:rsid w:val="00C160CD"/>
    <w:rsid w:val="00C165B2"/>
    <w:rsid w:val="00C16703"/>
    <w:rsid w:val="00C16AB2"/>
    <w:rsid w:val="00C16C05"/>
    <w:rsid w:val="00C17036"/>
    <w:rsid w:val="00C170A1"/>
    <w:rsid w:val="00C17188"/>
    <w:rsid w:val="00C17215"/>
    <w:rsid w:val="00C173AD"/>
    <w:rsid w:val="00C1758F"/>
    <w:rsid w:val="00C176AD"/>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5EDE"/>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11"/>
    <w:rsid w:val="00C33DAD"/>
    <w:rsid w:val="00C348C9"/>
    <w:rsid w:val="00C34A49"/>
    <w:rsid w:val="00C34BAA"/>
    <w:rsid w:val="00C34F1C"/>
    <w:rsid w:val="00C35415"/>
    <w:rsid w:val="00C354E3"/>
    <w:rsid w:val="00C355EB"/>
    <w:rsid w:val="00C35967"/>
    <w:rsid w:val="00C35D6A"/>
    <w:rsid w:val="00C35E06"/>
    <w:rsid w:val="00C35FB5"/>
    <w:rsid w:val="00C36132"/>
    <w:rsid w:val="00C36168"/>
    <w:rsid w:val="00C362BB"/>
    <w:rsid w:val="00C36535"/>
    <w:rsid w:val="00C3665A"/>
    <w:rsid w:val="00C36775"/>
    <w:rsid w:val="00C367B2"/>
    <w:rsid w:val="00C36B06"/>
    <w:rsid w:val="00C36C89"/>
    <w:rsid w:val="00C36FA9"/>
    <w:rsid w:val="00C3708F"/>
    <w:rsid w:val="00C3728B"/>
    <w:rsid w:val="00C373CB"/>
    <w:rsid w:val="00C37705"/>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3E"/>
    <w:rsid w:val="00C41D69"/>
    <w:rsid w:val="00C41F7A"/>
    <w:rsid w:val="00C42042"/>
    <w:rsid w:val="00C422FC"/>
    <w:rsid w:val="00C4265D"/>
    <w:rsid w:val="00C42674"/>
    <w:rsid w:val="00C428A6"/>
    <w:rsid w:val="00C42D3F"/>
    <w:rsid w:val="00C43719"/>
    <w:rsid w:val="00C43908"/>
    <w:rsid w:val="00C43B4A"/>
    <w:rsid w:val="00C43C91"/>
    <w:rsid w:val="00C43CEA"/>
    <w:rsid w:val="00C44069"/>
    <w:rsid w:val="00C443DF"/>
    <w:rsid w:val="00C44476"/>
    <w:rsid w:val="00C44D5F"/>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3CE"/>
    <w:rsid w:val="00C4751E"/>
    <w:rsid w:val="00C4751F"/>
    <w:rsid w:val="00C47594"/>
    <w:rsid w:val="00C47A2C"/>
    <w:rsid w:val="00C47AA1"/>
    <w:rsid w:val="00C47C2D"/>
    <w:rsid w:val="00C50676"/>
    <w:rsid w:val="00C50A03"/>
    <w:rsid w:val="00C50D39"/>
    <w:rsid w:val="00C5100D"/>
    <w:rsid w:val="00C51307"/>
    <w:rsid w:val="00C51415"/>
    <w:rsid w:val="00C5156D"/>
    <w:rsid w:val="00C517CA"/>
    <w:rsid w:val="00C51864"/>
    <w:rsid w:val="00C51878"/>
    <w:rsid w:val="00C51A6C"/>
    <w:rsid w:val="00C51B2B"/>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452"/>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34"/>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0FD"/>
    <w:rsid w:val="00C641E9"/>
    <w:rsid w:val="00C646E0"/>
    <w:rsid w:val="00C646F0"/>
    <w:rsid w:val="00C647CC"/>
    <w:rsid w:val="00C648E2"/>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555"/>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0C7A"/>
    <w:rsid w:val="00C8110D"/>
    <w:rsid w:val="00C81331"/>
    <w:rsid w:val="00C81975"/>
    <w:rsid w:val="00C81BF0"/>
    <w:rsid w:val="00C82166"/>
    <w:rsid w:val="00C82540"/>
    <w:rsid w:val="00C82624"/>
    <w:rsid w:val="00C82EBF"/>
    <w:rsid w:val="00C82ED3"/>
    <w:rsid w:val="00C82FB5"/>
    <w:rsid w:val="00C83405"/>
    <w:rsid w:val="00C834C9"/>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296"/>
    <w:rsid w:val="00C87318"/>
    <w:rsid w:val="00C875F0"/>
    <w:rsid w:val="00C8771A"/>
    <w:rsid w:val="00C87A85"/>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A4"/>
    <w:rsid w:val="00C93CB0"/>
    <w:rsid w:val="00C941E2"/>
    <w:rsid w:val="00C942CD"/>
    <w:rsid w:val="00C945E1"/>
    <w:rsid w:val="00C9501F"/>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88C"/>
    <w:rsid w:val="00CA3AD1"/>
    <w:rsid w:val="00CA3CDD"/>
    <w:rsid w:val="00CA3DCC"/>
    <w:rsid w:val="00CA404F"/>
    <w:rsid w:val="00CA43B9"/>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2CD"/>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B9D"/>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9F5"/>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72C"/>
    <w:rsid w:val="00CD7AB0"/>
    <w:rsid w:val="00CD7C05"/>
    <w:rsid w:val="00CD7C10"/>
    <w:rsid w:val="00CD7D8D"/>
    <w:rsid w:val="00CD7EA8"/>
    <w:rsid w:val="00CD7F09"/>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6F8E"/>
    <w:rsid w:val="00CE7412"/>
    <w:rsid w:val="00CE7572"/>
    <w:rsid w:val="00CE76EE"/>
    <w:rsid w:val="00CE775F"/>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161"/>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6FF"/>
    <w:rsid w:val="00CF6BE8"/>
    <w:rsid w:val="00CF6D16"/>
    <w:rsid w:val="00CF6DBF"/>
    <w:rsid w:val="00CF6E1E"/>
    <w:rsid w:val="00CF6F7C"/>
    <w:rsid w:val="00CF6FF5"/>
    <w:rsid w:val="00CF703E"/>
    <w:rsid w:val="00CF7345"/>
    <w:rsid w:val="00CF741D"/>
    <w:rsid w:val="00CF7AB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05"/>
    <w:rsid w:val="00D01E2C"/>
    <w:rsid w:val="00D01E2D"/>
    <w:rsid w:val="00D01E95"/>
    <w:rsid w:val="00D01F9A"/>
    <w:rsid w:val="00D02198"/>
    <w:rsid w:val="00D0238E"/>
    <w:rsid w:val="00D0239F"/>
    <w:rsid w:val="00D0325B"/>
    <w:rsid w:val="00D03C56"/>
    <w:rsid w:val="00D03E40"/>
    <w:rsid w:val="00D04064"/>
    <w:rsid w:val="00D04154"/>
    <w:rsid w:val="00D04509"/>
    <w:rsid w:val="00D04AAA"/>
    <w:rsid w:val="00D04ABA"/>
    <w:rsid w:val="00D04AEC"/>
    <w:rsid w:val="00D04E7B"/>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2DD0"/>
    <w:rsid w:val="00D12F15"/>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BBF"/>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EF2"/>
    <w:rsid w:val="00D24F74"/>
    <w:rsid w:val="00D25094"/>
    <w:rsid w:val="00D250D2"/>
    <w:rsid w:val="00D250E9"/>
    <w:rsid w:val="00D250EF"/>
    <w:rsid w:val="00D25168"/>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991"/>
    <w:rsid w:val="00D31BDD"/>
    <w:rsid w:val="00D32151"/>
    <w:rsid w:val="00D322A0"/>
    <w:rsid w:val="00D324FC"/>
    <w:rsid w:val="00D32558"/>
    <w:rsid w:val="00D32912"/>
    <w:rsid w:val="00D32A27"/>
    <w:rsid w:val="00D32F54"/>
    <w:rsid w:val="00D3320F"/>
    <w:rsid w:val="00D3343E"/>
    <w:rsid w:val="00D334D5"/>
    <w:rsid w:val="00D33919"/>
    <w:rsid w:val="00D33AAD"/>
    <w:rsid w:val="00D33B8B"/>
    <w:rsid w:val="00D3402A"/>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0B3"/>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572"/>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14"/>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25"/>
    <w:rsid w:val="00D536A4"/>
    <w:rsid w:val="00D5392B"/>
    <w:rsid w:val="00D53980"/>
    <w:rsid w:val="00D53989"/>
    <w:rsid w:val="00D5399E"/>
    <w:rsid w:val="00D539DD"/>
    <w:rsid w:val="00D53E5D"/>
    <w:rsid w:val="00D53FF4"/>
    <w:rsid w:val="00D544C6"/>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034"/>
    <w:rsid w:val="00D634A7"/>
    <w:rsid w:val="00D634E9"/>
    <w:rsid w:val="00D6361B"/>
    <w:rsid w:val="00D636AA"/>
    <w:rsid w:val="00D63CDA"/>
    <w:rsid w:val="00D643C5"/>
    <w:rsid w:val="00D64791"/>
    <w:rsid w:val="00D64A46"/>
    <w:rsid w:val="00D64B5A"/>
    <w:rsid w:val="00D64CE8"/>
    <w:rsid w:val="00D64F53"/>
    <w:rsid w:val="00D6505D"/>
    <w:rsid w:val="00D65064"/>
    <w:rsid w:val="00D6563A"/>
    <w:rsid w:val="00D656B9"/>
    <w:rsid w:val="00D65BA6"/>
    <w:rsid w:val="00D65E4D"/>
    <w:rsid w:val="00D66132"/>
    <w:rsid w:val="00D66287"/>
    <w:rsid w:val="00D662C9"/>
    <w:rsid w:val="00D664C6"/>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DD"/>
    <w:rsid w:val="00D81DF1"/>
    <w:rsid w:val="00D820EF"/>
    <w:rsid w:val="00D8231D"/>
    <w:rsid w:val="00D82569"/>
    <w:rsid w:val="00D825DD"/>
    <w:rsid w:val="00D82658"/>
    <w:rsid w:val="00D8297C"/>
    <w:rsid w:val="00D82A80"/>
    <w:rsid w:val="00D82E08"/>
    <w:rsid w:val="00D831DD"/>
    <w:rsid w:val="00D832A1"/>
    <w:rsid w:val="00D832D6"/>
    <w:rsid w:val="00D83420"/>
    <w:rsid w:val="00D834ED"/>
    <w:rsid w:val="00D83753"/>
    <w:rsid w:val="00D83BC6"/>
    <w:rsid w:val="00D83E72"/>
    <w:rsid w:val="00D84463"/>
    <w:rsid w:val="00D8455B"/>
    <w:rsid w:val="00D845B3"/>
    <w:rsid w:val="00D849DC"/>
    <w:rsid w:val="00D84A7E"/>
    <w:rsid w:val="00D84C1F"/>
    <w:rsid w:val="00D84E7E"/>
    <w:rsid w:val="00D84E81"/>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4F3"/>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3C2"/>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774"/>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277"/>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73B"/>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E21"/>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3C99"/>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740"/>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1F0"/>
    <w:rsid w:val="00DE6364"/>
    <w:rsid w:val="00DE63B4"/>
    <w:rsid w:val="00DE6412"/>
    <w:rsid w:val="00DE66A3"/>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4FD"/>
    <w:rsid w:val="00DF7560"/>
    <w:rsid w:val="00DF7682"/>
    <w:rsid w:val="00DF78DE"/>
    <w:rsid w:val="00DF78F2"/>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2FF4"/>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05A"/>
    <w:rsid w:val="00E063E2"/>
    <w:rsid w:val="00E06454"/>
    <w:rsid w:val="00E06E26"/>
    <w:rsid w:val="00E0712A"/>
    <w:rsid w:val="00E07179"/>
    <w:rsid w:val="00E07511"/>
    <w:rsid w:val="00E07955"/>
    <w:rsid w:val="00E07B62"/>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766"/>
    <w:rsid w:val="00E159CE"/>
    <w:rsid w:val="00E15A95"/>
    <w:rsid w:val="00E15B88"/>
    <w:rsid w:val="00E15E01"/>
    <w:rsid w:val="00E15FE0"/>
    <w:rsid w:val="00E163A6"/>
    <w:rsid w:val="00E16E02"/>
    <w:rsid w:val="00E16F85"/>
    <w:rsid w:val="00E172CA"/>
    <w:rsid w:val="00E1738E"/>
    <w:rsid w:val="00E174D6"/>
    <w:rsid w:val="00E17545"/>
    <w:rsid w:val="00E17A6E"/>
    <w:rsid w:val="00E17F92"/>
    <w:rsid w:val="00E20190"/>
    <w:rsid w:val="00E2034C"/>
    <w:rsid w:val="00E20392"/>
    <w:rsid w:val="00E204FE"/>
    <w:rsid w:val="00E20655"/>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64"/>
    <w:rsid w:val="00E221B9"/>
    <w:rsid w:val="00E221F8"/>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6B9"/>
    <w:rsid w:val="00E317EA"/>
    <w:rsid w:val="00E318E0"/>
    <w:rsid w:val="00E31AF4"/>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A71"/>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C4D"/>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A1A"/>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FEC"/>
    <w:rsid w:val="00E64107"/>
    <w:rsid w:val="00E6451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15C"/>
    <w:rsid w:val="00E7337C"/>
    <w:rsid w:val="00E73745"/>
    <w:rsid w:val="00E73865"/>
    <w:rsid w:val="00E739B6"/>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1C7"/>
    <w:rsid w:val="00E8026D"/>
    <w:rsid w:val="00E8030A"/>
    <w:rsid w:val="00E80500"/>
    <w:rsid w:val="00E8094F"/>
    <w:rsid w:val="00E80A2B"/>
    <w:rsid w:val="00E80C42"/>
    <w:rsid w:val="00E813C0"/>
    <w:rsid w:val="00E81459"/>
    <w:rsid w:val="00E82093"/>
    <w:rsid w:val="00E82165"/>
    <w:rsid w:val="00E821F0"/>
    <w:rsid w:val="00E82324"/>
    <w:rsid w:val="00E823EA"/>
    <w:rsid w:val="00E82471"/>
    <w:rsid w:val="00E8265B"/>
    <w:rsid w:val="00E826FB"/>
    <w:rsid w:val="00E8271A"/>
    <w:rsid w:val="00E8286F"/>
    <w:rsid w:val="00E8293D"/>
    <w:rsid w:val="00E82AE3"/>
    <w:rsid w:val="00E82FD4"/>
    <w:rsid w:val="00E8303D"/>
    <w:rsid w:val="00E8304F"/>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0DC"/>
    <w:rsid w:val="00E8639A"/>
    <w:rsid w:val="00E86577"/>
    <w:rsid w:val="00E86799"/>
    <w:rsid w:val="00E86D66"/>
    <w:rsid w:val="00E86E68"/>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77"/>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54"/>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6B9"/>
    <w:rsid w:val="00EB077B"/>
    <w:rsid w:val="00EB0B6C"/>
    <w:rsid w:val="00EB0EB9"/>
    <w:rsid w:val="00EB0EEC"/>
    <w:rsid w:val="00EB18E4"/>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C95"/>
    <w:rsid w:val="00EC4F5E"/>
    <w:rsid w:val="00EC4F76"/>
    <w:rsid w:val="00EC4F80"/>
    <w:rsid w:val="00EC4FF8"/>
    <w:rsid w:val="00EC52EE"/>
    <w:rsid w:val="00EC58D5"/>
    <w:rsid w:val="00EC58D8"/>
    <w:rsid w:val="00EC6183"/>
    <w:rsid w:val="00EC65D4"/>
    <w:rsid w:val="00EC67F6"/>
    <w:rsid w:val="00EC682B"/>
    <w:rsid w:val="00EC6FDA"/>
    <w:rsid w:val="00EC705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5D51"/>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4F8E"/>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DC2"/>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8F3"/>
    <w:rsid w:val="00F109AA"/>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AC"/>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36D"/>
    <w:rsid w:val="00F2443F"/>
    <w:rsid w:val="00F24580"/>
    <w:rsid w:val="00F24607"/>
    <w:rsid w:val="00F247D4"/>
    <w:rsid w:val="00F24A48"/>
    <w:rsid w:val="00F24A59"/>
    <w:rsid w:val="00F24B13"/>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2C0"/>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3EF4"/>
    <w:rsid w:val="00F33EFA"/>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C56"/>
    <w:rsid w:val="00F37EB0"/>
    <w:rsid w:val="00F4010B"/>
    <w:rsid w:val="00F40286"/>
    <w:rsid w:val="00F4089B"/>
    <w:rsid w:val="00F40ABB"/>
    <w:rsid w:val="00F40ADA"/>
    <w:rsid w:val="00F40AED"/>
    <w:rsid w:val="00F40B8A"/>
    <w:rsid w:val="00F40F7E"/>
    <w:rsid w:val="00F40FE0"/>
    <w:rsid w:val="00F4126D"/>
    <w:rsid w:val="00F412CE"/>
    <w:rsid w:val="00F41608"/>
    <w:rsid w:val="00F41658"/>
    <w:rsid w:val="00F416BA"/>
    <w:rsid w:val="00F41724"/>
    <w:rsid w:val="00F41895"/>
    <w:rsid w:val="00F418EC"/>
    <w:rsid w:val="00F41971"/>
    <w:rsid w:val="00F419A1"/>
    <w:rsid w:val="00F419BB"/>
    <w:rsid w:val="00F41A96"/>
    <w:rsid w:val="00F41C3B"/>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1E"/>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57EF5"/>
    <w:rsid w:val="00F60108"/>
    <w:rsid w:val="00F60127"/>
    <w:rsid w:val="00F603BA"/>
    <w:rsid w:val="00F61505"/>
    <w:rsid w:val="00F619A9"/>
    <w:rsid w:val="00F61CC0"/>
    <w:rsid w:val="00F61DDA"/>
    <w:rsid w:val="00F6204B"/>
    <w:rsid w:val="00F62114"/>
    <w:rsid w:val="00F623A6"/>
    <w:rsid w:val="00F623D5"/>
    <w:rsid w:val="00F624BA"/>
    <w:rsid w:val="00F62577"/>
    <w:rsid w:val="00F62583"/>
    <w:rsid w:val="00F62986"/>
    <w:rsid w:val="00F62A35"/>
    <w:rsid w:val="00F62CC8"/>
    <w:rsid w:val="00F63311"/>
    <w:rsid w:val="00F63851"/>
    <w:rsid w:val="00F63A58"/>
    <w:rsid w:val="00F63E86"/>
    <w:rsid w:val="00F64115"/>
    <w:rsid w:val="00F6434A"/>
    <w:rsid w:val="00F646F5"/>
    <w:rsid w:val="00F64751"/>
    <w:rsid w:val="00F64E90"/>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DEA"/>
    <w:rsid w:val="00F72F1D"/>
    <w:rsid w:val="00F73277"/>
    <w:rsid w:val="00F73330"/>
    <w:rsid w:val="00F7381F"/>
    <w:rsid w:val="00F73E92"/>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3E8F"/>
    <w:rsid w:val="00F840B5"/>
    <w:rsid w:val="00F8419D"/>
    <w:rsid w:val="00F84779"/>
    <w:rsid w:val="00F84D8D"/>
    <w:rsid w:val="00F84E62"/>
    <w:rsid w:val="00F84EA8"/>
    <w:rsid w:val="00F84EF1"/>
    <w:rsid w:val="00F8553A"/>
    <w:rsid w:val="00F858E4"/>
    <w:rsid w:val="00F859E6"/>
    <w:rsid w:val="00F85D02"/>
    <w:rsid w:val="00F86044"/>
    <w:rsid w:val="00F861B8"/>
    <w:rsid w:val="00F8625C"/>
    <w:rsid w:val="00F864F0"/>
    <w:rsid w:val="00F86B80"/>
    <w:rsid w:val="00F86EDE"/>
    <w:rsid w:val="00F86F57"/>
    <w:rsid w:val="00F875D2"/>
    <w:rsid w:val="00F8769A"/>
    <w:rsid w:val="00F8769C"/>
    <w:rsid w:val="00F876CC"/>
    <w:rsid w:val="00F876E5"/>
    <w:rsid w:val="00F87AA6"/>
    <w:rsid w:val="00F87F8A"/>
    <w:rsid w:val="00F90229"/>
    <w:rsid w:val="00F9022F"/>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B02"/>
    <w:rsid w:val="00F9418D"/>
    <w:rsid w:val="00F94395"/>
    <w:rsid w:val="00F945E0"/>
    <w:rsid w:val="00F94837"/>
    <w:rsid w:val="00F9484E"/>
    <w:rsid w:val="00F94B32"/>
    <w:rsid w:val="00F94BDC"/>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4B3"/>
    <w:rsid w:val="00FA2708"/>
    <w:rsid w:val="00FA2727"/>
    <w:rsid w:val="00FA2771"/>
    <w:rsid w:val="00FA2787"/>
    <w:rsid w:val="00FA2A3D"/>
    <w:rsid w:val="00FA2B96"/>
    <w:rsid w:val="00FA2E23"/>
    <w:rsid w:val="00FA3146"/>
    <w:rsid w:val="00FA31E3"/>
    <w:rsid w:val="00FA35E8"/>
    <w:rsid w:val="00FA3A0A"/>
    <w:rsid w:val="00FA3E96"/>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7D"/>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880"/>
    <w:rsid w:val="00FB5B40"/>
    <w:rsid w:val="00FB5BBE"/>
    <w:rsid w:val="00FB5D16"/>
    <w:rsid w:val="00FB5E9C"/>
    <w:rsid w:val="00FB5F51"/>
    <w:rsid w:val="00FB60DF"/>
    <w:rsid w:val="00FB6449"/>
    <w:rsid w:val="00FB6504"/>
    <w:rsid w:val="00FB6773"/>
    <w:rsid w:val="00FB69CF"/>
    <w:rsid w:val="00FB6B07"/>
    <w:rsid w:val="00FB6BA1"/>
    <w:rsid w:val="00FB6C90"/>
    <w:rsid w:val="00FB6CB2"/>
    <w:rsid w:val="00FB6D4D"/>
    <w:rsid w:val="00FB6F4F"/>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AA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A79"/>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E3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42"/>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15B"/>
    <w:rsid w:val="00FF6664"/>
    <w:rsid w:val="00FF6832"/>
    <w:rsid w:val="00FF6A9D"/>
    <w:rsid w:val="00FF6BB9"/>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endnote text" w:uiPriority="99"/>
    <w:lsdException w:name="List Bullet" w:uiPriority="99"/>
    <w:lsdException w:name="List Bullet 2"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uiPriority w:val="99"/>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lang w:val="en-GB" w:eastAsia="en-GB"/>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lang w:val="en-GB" w:eastAsia="en-GB"/>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uiPriority w:val="99"/>
    <w:rsid w:val="00EA16CF"/>
    <w:rPr>
      <w:rFonts w:ascii="Courier New" w:hAnsi="Courier New"/>
      <w:sz w:val="24"/>
      <w:lang w:val="en-GB" w:eastAsia="en-GB"/>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lang w:val="en-GB" w:eastAsia="en-GB"/>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lang w:val="en-GB" w:eastAsia="en-GB"/>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Issue Action POC"/>
    <w:basedOn w:val="Normal"/>
    <w:link w:val="ListParagraphChar"/>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lang w:val="en-GB" w:eastAsia="en-GB"/>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numbering" w:customStyle="1" w:styleId="ImportedStyle1">
    <w:name w:val="Imported Style 1"/>
    <w:rsid w:val="003E3B62"/>
    <w:pPr>
      <w:numPr>
        <w:numId w:val="23"/>
      </w:numPr>
    </w:p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link w:val="ListParagraph"/>
    <w:uiPriority w:val="34"/>
    <w:qFormat/>
    <w:locked/>
    <w:rsid w:val="00F93B02"/>
    <w:rPr>
      <w:rFonts w:ascii="Calibri" w:eastAsia="Calibri" w:hAnsi="Calibri"/>
      <w:sz w:val="22"/>
      <w:szCs w:val="22"/>
      <w:lang w:val="en-US" w:eastAsia="en-US"/>
    </w:rPr>
  </w:style>
  <w:style w:type="paragraph" w:customStyle="1" w:styleId="Body">
    <w:name w:val="Body"/>
    <w:rsid w:val="004461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numbering" w:customStyle="1" w:styleId="ImportedStyle2">
    <w:name w:val="Imported Style 2"/>
    <w:rsid w:val="004461F6"/>
    <w:pPr>
      <w:numPr>
        <w:numId w:val="24"/>
      </w:numPr>
    </w:pPr>
  </w:style>
  <w:style w:type="character" w:customStyle="1" w:styleId="Hyperlink0">
    <w:name w:val="Hyperlink.0"/>
    <w:rsid w:val="004461F6"/>
    <w:rPr>
      <w:color w:val="0000FF"/>
      <w:u w:val="single" w:color="0000FF"/>
      <w:lang w:val="en-US"/>
    </w:rPr>
  </w:style>
  <w:style w:type="paragraph" w:customStyle="1" w:styleId="Standard">
    <w:name w:val="Standard"/>
    <w:rsid w:val="003A657A"/>
    <w:pPr>
      <w:suppressAutoHyphens/>
      <w:autoSpaceDN w:val="0"/>
      <w:spacing w:after="200" w:line="276" w:lineRule="auto"/>
      <w:textAlignment w:val="baseline"/>
    </w:pPr>
    <w:rPr>
      <w:rFonts w:ascii="Calibri" w:eastAsia="SimSun" w:hAnsi="Calibri" w:cs="Calibri"/>
      <w:kern w:val="3"/>
      <w:sz w:val="22"/>
      <w:szCs w:val="22"/>
      <w:lang w:val="en-GB" w:eastAsia="en-US"/>
    </w:rPr>
  </w:style>
  <w:style w:type="numbering" w:customStyle="1" w:styleId="WWNum1">
    <w:name w:val="WWNum1"/>
    <w:basedOn w:val="NoList"/>
    <w:rsid w:val="003A657A"/>
    <w:pPr>
      <w:numPr>
        <w:numId w:val="25"/>
      </w:numPr>
    </w:pPr>
  </w:style>
  <w:style w:type="paragraph" w:customStyle="1" w:styleId="Emission">
    <w:name w:val="Emission"/>
    <w:basedOn w:val="Normal"/>
    <w:next w:val="Rfrenceinstitutionelle"/>
    <w:rsid w:val="00283069"/>
    <w:pPr>
      <w:spacing w:after="0"/>
      <w:ind w:left="5103"/>
      <w:jc w:val="left"/>
    </w:pPr>
    <w:rPr>
      <w:rFonts w:ascii="Times New Roman" w:hAnsi="Times New Roman"/>
    </w:rPr>
  </w:style>
  <w:style w:type="paragraph" w:customStyle="1" w:styleId="AppelnotedebasdepageCharCharCharCharCharCharChar">
    <w:name w:val="Appel note de bas de page Char Char Char Char Char Char Char"/>
    <w:basedOn w:val="Normal"/>
    <w:uiPriority w:val="99"/>
    <w:rsid w:val="00AF33FE"/>
    <w:pPr>
      <w:spacing w:after="0"/>
    </w:pPr>
    <w:rPr>
      <w:rFonts w:ascii="Times New Roman" w:hAnsi="Times New Roman"/>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xt1">
    <w:name w:val="111111"/>
    <w:pPr>
      <w:numPr>
        <w:numId w:val="21"/>
      </w:numPr>
    </w:pPr>
  </w:style>
  <w:style w:type="numbering" w:customStyle="1" w:styleId="Text2">
    <w:name w:val="ImportedStyle1"/>
    <w:pPr>
      <w:numPr>
        <w:numId w:val="23"/>
      </w:numPr>
    </w:pPr>
  </w:style>
  <w:style w:type="numbering" w:customStyle="1" w:styleId="Text3">
    <w:name w:val="WWNum1"/>
    <w:pPr>
      <w:numPr>
        <w:numId w:val="25"/>
      </w:numPr>
    </w:pPr>
  </w:style>
  <w:style w:type="numbering" w:customStyle="1" w:styleId="Text4">
    <w:name w:val="ImportedStyle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992">
      <w:bodyDiv w:val="1"/>
      <w:marLeft w:val="0"/>
      <w:marRight w:val="0"/>
      <w:marTop w:val="0"/>
      <w:marBottom w:val="0"/>
      <w:divBdr>
        <w:top w:val="none" w:sz="0" w:space="0" w:color="auto"/>
        <w:left w:val="none" w:sz="0" w:space="0" w:color="auto"/>
        <w:bottom w:val="none" w:sz="0" w:space="0" w:color="auto"/>
        <w:right w:val="none" w:sz="0" w:space="0" w:color="auto"/>
      </w:divBdr>
    </w:div>
    <w:div w:id="203292797">
      <w:bodyDiv w:val="1"/>
      <w:marLeft w:val="0"/>
      <w:marRight w:val="0"/>
      <w:marTop w:val="0"/>
      <w:marBottom w:val="0"/>
      <w:divBdr>
        <w:top w:val="none" w:sz="0" w:space="0" w:color="auto"/>
        <w:left w:val="none" w:sz="0" w:space="0" w:color="auto"/>
        <w:bottom w:val="none" w:sz="0" w:space="0" w:color="auto"/>
        <w:right w:val="none" w:sz="0" w:space="0" w:color="auto"/>
      </w:divBdr>
    </w:div>
    <w:div w:id="227765913">
      <w:bodyDiv w:val="1"/>
      <w:marLeft w:val="0"/>
      <w:marRight w:val="0"/>
      <w:marTop w:val="0"/>
      <w:marBottom w:val="0"/>
      <w:divBdr>
        <w:top w:val="none" w:sz="0" w:space="0" w:color="auto"/>
        <w:left w:val="none" w:sz="0" w:space="0" w:color="auto"/>
        <w:bottom w:val="none" w:sz="0" w:space="0" w:color="auto"/>
        <w:right w:val="none" w:sz="0" w:space="0" w:color="auto"/>
      </w:divBdr>
    </w:div>
    <w:div w:id="700864888">
      <w:bodyDiv w:val="1"/>
      <w:marLeft w:val="0"/>
      <w:marRight w:val="0"/>
      <w:marTop w:val="0"/>
      <w:marBottom w:val="0"/>
      <w:divBdr>
        <w:top w:val="none" w:sz="0" w:space="0" w:color="auto"/>
        <w:left w:val="none" w:sz="0" w:space="0" w:color="auto"/>
        <w:bottom w:val="none" w:sz="0" w:space="0" w:color="auto"/>
        <w:right w:val="none" w:sz="0" w:space="0" w:color="auto"/>
      </w:divBdr>
    </w:div>
    <w:div w:id="783037046">
      <w:bodyDiv w:val="1"/>
      <w:marLeft w:val="0"/>
      <w:marRight w:val="0"/>
      <w:marTop w:val="0"/>
      <w:marBottom w:val="0"/>
      <w:divBdr>
        <w:top w:val="none" w:sz="0" w:space="0" w:color="auto"/>
        <w:left w:val="none" w:sz="0" w:space="0" w:color="auto"/>
        <w:bottom w:val="none" w:sz="0" w:space="0" w:color="auto"/>
        <w:right w:val="none" w:sz="0" w:space="0" w:color="auto"/>
      </w:divBdr>
    </w:div>
    <w:div w:id="819807736">
      <w:bodyDiv w:val="1"/>
      <w:marLeft w:val="0"/>
      <w:marRight w:val="0"/>
      <w:marTop w:val="0"/>
      <w:marBottom w:val="0"/>
      <w:divBdr>
        <w:top w:val="none" w:sz="0" w:space="0" w:color="auto"/>
        <w:left w:val="none" w:sz="0" w:space="0" w:color="auto"/>
        <w:bottom w:val="none" w:sz="0" w:space="0" w:color="auto"/>
        <w:right w:val="none" w:sz="0" w:space="0" w:color="auto"/>
      </w:divBdr>
    </w:div>
    <w:div w:id="959847831">
      <w:bodyDiv w:val="1"/>
      <w:marLeft w:val="0"/>
      <w:marRight w:val="0"/>
      <w:marTop w:val="0"/>
      <w:marBottom w:val="0"/>
      <w:divBdr>
        <w:top w:val="none" w:sz="0" w:space="0" w:color="auto"/>
        <w:left w:val="none" w:sz="0" w:space="0" w:color="auto"/>
        <w:bottom w:val="none" w:sz="0" w:space="0" w:color="auto"/>
        <w:right w:val="none" w:sz="0" w:space="0" w:color="auto"/>
      </w:divBdr>
    </w:div>
    <w:div w:id="961494136">
      <w:bodyDiv w:val="1"/>
      <w:marLeft w:val="0"/>
      <w:marRight w:val="0"/>
      <w:marTop w:val="0"/>
      <w:marBottom w:val="0"/>
      <w:divBdr>
        <w:top w:val="none" w:sz="0" w:space="0" w:color="auto"/>
        <w:left w:val="none" w:sz="0" w:space="0" w:color="auto"/>
        <w:bottom w:val="none" w:sz="0" w:space="0" w:color="auto"/>
        <w:right w:val="none" w:sz="0" w:space="0" w:color="auto"/>
      </w:divBdr>
    </w:div>
    <w:div w:id="1312716630">
      <w:bodyDiv w:val="1"/>
      <w:marLeft w:val="0"/>
      <w:marRight w:val="0"/>
      <w:marTop w:val="0"/>
      <w:marBottom w:val="0"/>
      <w:divBdr>
        <w:top w:val="none" w:sz="0" w:space="0" w:color="auto"/>
        <w:left w:val="none" w:sz="0" w:space="0" w:color="auto"/>
        <w:bottom w:val="none" w:sz="0" w:space="0" w:color="auto"/>
        <w:right w:val="none" w:sz="0" w:space="0" w:color="auto"/>
      </w:divBdr>
    </w:div>
    <w:div w:id="1502038296">
      <w:bodyDiv w:val="1"/>
      <w:marLeft w:val="0"/>
      <w:marRight w:val="0"/>
      <w:marTop w:val="0"/>
      <w:marBottom w:val="0"/>
      <w:divBdr>
        <w:top w:val="none" w:sz="0" w:space="0" w:color="auto"/>
        <w:left w:val="none" w:sz="0" w:space="0" w:color="auto"/>
        <w:bottom w:val="none" w:sz="0" w:space="0" w:color="auto"/>
        <w:right w:val="none" w:sz="0" w:space="0" w:color="auto"/>
      </w:divBdr>
    </w:div>
    <w:div w:id="1801920465">
      <w:bodyDiv w:val="1"/>
      <w:marLeft w:val="0"/>
      <w:marRight w:val="0"/>
      <w:marTop w:val="0"/>
      <w:marBottom w:val="0"/>
      <w:divBdr>
        <w:top w:val="none" w:sz="0" w:space="0" w:color="auto"/>
        <w:left w:val="none" w:sz="0" w:space="0" w:color="auto"/>
        <w:bottom w:val="none" w:sz="0" w:space="0" w:color="auto"/>
        <w:right w:val="none" w:sz="0" w:space="0" w:color="auto"/>
      </w:divBdr>
    </w:div>
    <w:div w:id="19433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E6AFD-C96F-4BAB-BB52-9458DD4B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8</TotalTime>
  <Pages>4</Pages>
  <Words>1882</Words>
  <Characters>10730</Characters>
  <Application>Microsoft Office Word</Application>
  <DocSecurity>0</DocSecurity>
  <PresentationFormat>Microsoft Word 8.0b</PresentationFormat>
  <Lines>89</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12587</CharactersWithSpaces>
  <SharedDoc>false</SharedDoc>
  <HLinks>
    <vt:vector size="210" baseType="variant">
      <vt:variant>
        <vt:i4>2228328</vt:i4>
      </vt:variant>
      <vt:variant>
        <vt:i4>30</vt:i4>
      </vt:variant>
      <vt:variant>
        <vt:i4>0</vt:i4>
      </vt:variant>
      <vt:variant>
        <vt:i4>5</vt:i4>
      </vt:variant>
      <vt:variant>
        <vt:lpwstr>http://ec.europa.eu/trade/policy/in-focus/eu-japan-free-trade-agreement/meetings-and-documents/</vt:lpwstr>
      </vt:variant>
      <vt:variant>
        <vt:lpwstr/>
      </vt:variant>
      <vt:variant>
        <vt:i4>2228328</vt:i4>
      </vt:variant>
      <vt:variant>
        <vt:i4>27</vt:i4>
      </vt:variant>
      <vt:variant>
        <vt:i4>0</vt:i4>
      </vt:variant>
      <vt:variant>
        <vt:i4>5</vt:i4>
      </vt:variant>
      <vt:variant>
        <vt:lpwstr>http://ec.europa.eu/trade/policy/in-focus/eu-japan-free-trade-agreement/meetings-and-documents/</vt:lpwstr>
      </vt:variant>
      <vt:variant>
        <vt:lpwstr/>
      </vt:variant>
      <vt:variant>
        <vt:i4>2162709</vt:i4>
      </vt:variant>
      <vt:variant>
        <vt:i4>24</vt:i4>
      </vt:variant>
      <vt:variant>
        <vt:i4>0</vt:i4>
      </vt:variant>
      <vt:variant>
        <vt:i4>5</vt:i4>
      </vt:variant>
      <vt:variant>
        <vt:lpwstr>http://ec.europa.eu/environment/legal/liability/eld_training.htm</vt:lpwstr>
      </vt:variant>
      <vt:variant>
        <vt:lpwstr/>
      </vt:variant>
      <vt:variant>
        <vt:i4>5242891</vt:i4>
      </vt:variant>
      <vt:variant>
        <vt:i4>21</vt:i4>
      </vt:variant>
      <vt:variant>
        <vt:i4>0</vt:i4>
      </vt:variant>
      <vt:variant>
        <vt:i4>5</vt:i4>
      </vt:variant>
      <vt:variant>
        <vt:lpwstr>http://www.europarl.europa.eu/oeil/popups/ficheprocedure.do?lang=en&amp;reference=2015/2117(INI)</vt:lpwstr>
      </vt:variant>
      <vt:variant>
        <vt:lpwstr/>
      </vt:variant>
      <vt:variant>
        <vt:i4>3407970</vt:i4>
      </vt:variant>
      <vt:variant>
        <vt:i4>18</vt:i4>
      </vt:variant>
      <vt:variant>
        <vt:i4>0</vt:i4>
      </vt:variant>
      <vt:variant>
        <vt:i4>5</vt:i4>
      </vt:variant>
      <vt:variant>
        <vt:lpwstr>http://www.europarl.europa.eu/committees/en/libe/home.html</vt:lpwstr>
      </vt:variant>
      <vt:variant>
        <vt:lpwstr/>
      </vt:variant>
      <vt:variant>
        <vt:i4>65562</vt:i4>
      </vt:variant>
      <vt:variant>
        <vt:i4>15</vt:i4>
      </vt:variant>
      <vt:variant>
        <vt:i4>0</vt:i4>
      </vt:variant>
      <vt:variant>
        <vt:i4>5</vt:i4>
      </vt:variant>
      <vt:variant>
        <vt:lpwstr>http://www.europarl.europa.eu/sides/getDoc.do?type=REPORT&amp;mode=XML&amp;reference=A8-2017-0292&amp;language=EN</vt:lpwstr>
      </vt:variant>
      <vt:variant>
        <vt:lpwstr/>
      </vt:variant>
      <vt:variant>
        <vt:i4>7536756</vt:i4>
      </vt:variant>
      <vt:variant>
        <vt:i4>12</vt:i4>
      </vt:variant>
      <vt:variant>
        <vt:i4>0</vt:i4>
      </vt:variant>
      <vt:variant>
        <vt:i4>5</vt:i4>
      </vt:variant>
      <vt:variant>
        <vt:lpwstr>https://www.google.be/url?sa=t&amp;rct=j&amp;q=&amp;esrc=s&amp;source=web&amp;cd=1&amp;cad=rja&amp;uact=8&amp;ved=0ahUKEwj10vD8g57YAhWBOxQKHYu7ArUQFggnMAA&amp;url=https%3A%2F%2Fen.wikipedia.org%2Fwiki%2FGenetically_modified_organism&amp;usg=AOvVaw1oQE2p9AXmdbAcRuNYO01i</vt:lpwstr>
      </vt:variant>
      <vt:variant>
        <vt:lpwstr/>
      </vt:variant>
      <vt:variant>
        <vt:i4>5505100</vt:i4>
      </vt:variant>
      <vt:variant>
        <vt:i4>9</vt:i4>
      </vt:variant>
      <vt:variant>
        <vt:i4>0</vt:i4>
      </vt:variant>
      <vt:variant>
        <vt:i4>5</vt:i4>
      </vt:variant>
      <vt:variant>
        <vt:lpwstr>http://ec.europa.eu/social/main.jsp?catId=1327&amp;langId=en</vt:lpwstr>
      </vt:variant>
      <vt:variant>
        <vt:lpwstr/>
      </vt:variant>
      <vt:variant>
        <vt:i4>5439578</vt:i4>
      </vt:variant>
      <vt:variant>
        <vt:i4>6</vt:i4>
      </vt:variant>
      <vt:variant>
        <vt:i4>0</vt:i4>
      </vt:variant>
      <vt:variant>
        <vt:i4>5</vt:i4>
      </vt:variant>
      <vt:variant>
        <vt:lpwstr>http://ec.europa.eu/social/main.jsp?catId=1143&amp;langId=en</vt:lpwstr>
      </vt:variant>
      <vt:variant>
        <vt:lpwstr>YGIF</vt:lpwstr>
      </vt:variant>
      <vt:variant>
        <vt:i4>5505100</vt:i4>
      </vt:variant>
      <vt:variant>
        <vt:i4>3</vt:i4>
      </vt:variant>
      <vt:variant>
        <vt:i4>0</vt:i4>
      </vt:variant>
      <vt:variant>
        <vt:i4>5</vt:i4>
      </vt:variant>
      <vt:variant>
        <vt:lpwstr>http://ec.europa.eu/social/main.jsp?catId=1327&amp;langId=en</vt:lpwstr>
      </vt:variant>
      <vt:variant>
        <vt:lpwstr/>
      </vt:variant>
      <vt:variant>
        <vt:i4>65566</vt:i4>
      </vt:variant>
      <vt:variant>
        <vt:i4>0</vt:i4>
      </vt:variant>
      <vt:variant>
        <vt:i4>0</vt:i4>
      </vt:variant>
      <vt:variant>
        <vt:i4>5</vt:i4>
      </vt:variant>
      <vt:variant>
        <vt:lpwstr>http://www.europarl.europa.eu/sides/getDoc.do?type=REPORT&amp;mode=XML&amp;reference=A8-2017-0296&amp;language=EN</vt:lpwstr>
      </vt:variant>
      <vt:variant>
        <vt:lpwstr/>
      </vt:variant>
      <vt:variant>
        <vt:i4>5505098</vt:i4>
      </vt:variant>
      <vt:variant>
        <vt:i4>69</vt:i4>
      </vt:variant>
      <vt:variant>
        <vt:i4>0</vt:i4>
      </vt:variant>
      <vt:variant>
        <vt:i4>5</vt:i4>
      </vt:variant>
      <vt:variant>
        <vt:lpwstr>http://ec.europa.eu/social/main.jsp?catId=1246&amp;langId=en</vt:lpwstr>
      </vt:variant>
      <vt:variant>
        <vt:lpwstr/>
      </vt:variant>
      <vt:variant>
        <vt:i4>6225953</vt:i4>
      </vt:variant>
      <vt:variant>
        <vt:i4>66</vt:i4>
      </vt:variant>
      <vt:variant>
        <vt:i4>0</vt:i4>
      </vt:variant>
      <vt:variant>
        <vt:i4>5</vt:i4>
      </vt:variant>
      <vt:variant>
        <vt:lpwstr>https://ec.europa.eu/education/news/20171411-strengthening-european-identity-through-education-and-culture_en</vt:lpwstr>
      </vt:variant>
      <vt:variant>
        <vt:lpwstr/>
      </vt:variant>
      <vt:variant>
        <vt:i4>2424864</vt:i4>
      </vt:variant>
      <vt:variant>
        <vt:i4>63</vt:i4>
      </vt:variant>
      <vt:variant>
        <vt:i4>0</vt:i4>
      </vt:variant>
      <vt:variant>
        <vt:i4>5</vt:i4>
      </vt:variant>
      <vt:variant>
        <vt:lpwstr>https://ec.europa.eu/education/news/20171411-strengthening-european-identity-through-education-and-</vt:lpwstr>
      </vt:variant>
      <vt:variant>
        <vt:lpwstr/>
      </vt:variant>
      <vt:variant>
        <vt:i4>524370</vt:i4>
      </vt:variant>
      <vt:variant>
        <vt:i4>60</vt:i4>
      </vt:variant>
      <vt:variant>
        <vt:i4>0</vt:i4>
      </vt:variant>
      <vt:variant>
        <vt:i4>5</vt:i4>
      </vt:variant>
      <vt:variant>
        <vt:lpwstr>https://ec.europa.eu/info/sites/info/files/economy-finance/com_822_0.pdf</vt:lpwstr>
      </vt:variant>
      <vt:variant>
        <vt:lpwstr/>
      </vt:variant>
      <vt:variant>
        <vt:i4>3735553</vt:i4>
      </vt:variant>
      <vt:variant>
        <vt:i4>57</vt:i4>
      </vt:variant>
      <vt:variant>
        <vt:i4>0</vt:i4>
      </vt:variant>
      <vt:variant>
        <vt:i4>5</vt:i4>
      </vt:variant>
      <vt:variant>
        <vt:lpwstr>http://ec.europa.eu/regional_policy/sources/docgener/studies/pdf/value_added_exac_esif_en.pdf</vt:lpwstr>
      </vt:variant>
      <vt:variant>
        <vt:lpwstr/>
      </vt:variant>
      <vt:variant>
        <vt:i4>917605</vt:i4>
      </vt:variant>
      <vt:variant>
        <vt:i4>54</vt:i4>
      </vt:variant>
      <vt:variant>
        <vt:i4>0</vt:i4>
      </vt:variant>
      <vt:variant>
        <vt:i4>5</vt:i4>
      </vt:variant>
      <vt:variant>
        <vt:lpwstr>https://ec.europa.eu/commission/sites/beta-political/files/key-emu_en.pdf</vt:lpwstr>
      </vt:variant>
      <vt:variant>
        <vt:lpwstr/>
      </vt:variant>
      <vt:variant>
        <vt:i4>5177400</vt:i4>
      </vt:variant>
      <vt:variant>
        <vt:i4>51</vt:i4>
      </vt:variant>
      <vt:variant>
        <vt:i4>0</vt:i4>
      </vt:variant>
      <vt:variant>
        <vt:i4>5</vt:i4>
      </vt:variant>
      <vt:variant>
        <vt:lpwstr>http://ec.europa.eu/transparency/code/index_en.htm</vt:lpwstr>
      </vt:variant>
      <vt:variant>
        <vt:lpwstr/>
      </vt:variant>
      <vt:variant>
        <vt:i4>6094871</vt:i4>
      </vt:variant>
      <vt:variant>
        <vt:i4>48</vt:i4>
      </vt:variant>
      <vt:variant>
        <vt:i4>0</vt:i4>
      </vt:variant>
      <vt:variant>
        <vt:i4>5</vt:i4>
      </vt:variant>
      <vt:variant>
        <vt:lpwstr>http://ec.europa.eu/atwork/applying-eu-law/infringements proceedings/infringement_decisions/?lang_code=en</vt:lpwstr>
      </vt:variant>
      <vt:variant>
        <vt:lpwstr/>
      </vt:variant>
      <vt:variant>
        <vt:i4>3604577</vt:i4>
      </vt:variant>
      <vt:variant>
        <vt:i4>45</vt:i4>
      </vt:variant>
      <vt:variant>
        <vt:i4>0</vt:i4>
      </vt:variant>
      <vt:variant>
        <vt:i4>5</vt:i4>
      </vt:variant>
      <vt:variant>
        <vt:lpwstr>http://curia.europa.eu/juris/document/document.jsf;jsessionid=9ea7d2dc30d62e3c86c458eb4d7cad6ee702fcec1f2c.e34KaxiLc3qMb40Rch0SaxyMbhz0?text=&amp;docid=191243&amp;pageIndex=0&amp;doclang=en&amp;mode=lst&amp;dir=&amp;occ=first&amp;part=1&amp;cid=562288</vt:lpwstr>
      </vt:variant>
      <vt:variant>
        <vt:lpwstr/>
      </vt:variant>
      <vt:variant>
        <vt:i4>6750209</vt:i4>
      </vt:variant>
      <vt:variant>
        <vt:i4>42</vt:i4>
      </vt:variant>
      <vt:variant>
        <vt:i4>0</vt:i4>
      </vt:variant>
      <vt:variant>
        <vt:i4>5</vt:i4>
      </vt:variant>
      <vt:variant>
        <vt:lpwstr>http://ec.europa.eu/environment/legal/liability/pdf/BIO ELD Effectiveness_report.pdf</vt:lpwstr>
      </vt:variant>
      <vt:variant>
        <vt:lpwstr/>
      </vt:variant>
      <vt:variant>
        <vt:i4>6684779</vt:i4>
      </vt:variant>
      <vt:variant>
        <vt:i4>39</vt:i4>
      </vt:variant>
      <vt:variant>
        <vt:i4>0</vt:i4>
      </vt:variant>
      <vt:variant>
        <vt:i4>5</vt:i4>
      </vt:variant>
      <vt:variant>
        <vt:lpwstr>http://curia.europa.eu/juris/document/document.jsf;jsessionid=9ea7d2dc30d683c1cf9297ac4f9eb07acb9211b4cd9d.e34KaxiLc3qMb40Rch0SaxyMc3r0?text=&amp;docid=192696&amp;pageIndex=0&amp;doclang=en&amp;mode=lst&amp;dir=&amp;occ=first&amp;part=1&amp;cid=947657</vt:lpwstr>
      </vt:variant>
      <vt:variant>
        <vt:lpwstr/>
      </vt:variant>
      <vt:variant>
        <vt:i4>2162795</vt:i4>
      </vt:variant>
      <vt:variant>
        <vt:i4>36</vt:i4>
      </vt:variant>
      <vt:variant>
        <vt:i4>0</vt:i4>
      </vt:variant>
      <vt:variant>
        <vt:i4>5</vt:i4>
      </vt:variant>
      <vt:variant>
        <vt:lpwstr>http://eur-lex.europa.eu/legal-content/EN/TXT/?uri=SWD:2016:121:FIN</vt:lpwstr>
      </vt:variant>
      <vt:variant>
        <vt:lpwstr/>
      </vt:variant>
      <vt:variant>
        <vt:i4>3801205</vt:i4>
      </vt:variant>
      <vt:variant>
        <vt:i4>33</vt:i4>
      </vt:variant>
      <vt:variant>
        <vt:i4>0</vt:i4>
      </vt:variant>
      <vt:variant>
        <vt:i4>5</vt:i4>
      </vt:variant>
      <vt:variant>
        <vt:lpwstr>http://eur-lex.europa.eu/legal-content/EN/TXT/?uri=COM:2016:204:FIN</vt:lpwstr>
      </vt:variant>
      <vt:variant>
        <vt:lpwstr/>
      </vt:variant>
      <vt:variant>
        <vt:i4>4915313</vt:i4>
      </vt:variant>
      <vt:variant>
        <vt:i4>30</vt:i4>
      </vt:variant>
      <vt:variant>
        <vt:i4>0</vt:i4>
      </vt:variant>
      <vt:variant>
        <vt:i4>5</vt:i4>
      </vt:variant>
      <vt:variant>
        <vt:lpwstr>http://ec.europa.eu/justice/gender-equality/files/documents/151203_strategic_engagement_en.pdf</vt:lpwstr>
      </vt:variant>
      <vt:variant>
        <vt:lpwstr/>
      </vt:variant>
      <vt:variant>
        <vt:i4>917571</vt:i4>
      </vt:variant>
      <vt:variant>
        <vt:i4>27</vt:i4>
      </vt:variant>
      <vt:variant>
        <vt:i4>0</vt:i4>
      </vt:variant>
      <vt:variant>
        <vt:i4>5</vt:i4>
      </vt:variant>
      <vt:variant>
        <vt:lpwstr>http://ec.europa.eu/justice/saynostopvaw/</vt:lpwstr>
      </vt:variant>
      <vt:variant>
        <vt:lpwstr/>
      </vt:variant>
      <vt:variant>
        <vt:i4>3407954</vt:i4>
      </vt:variant>
      <vt:variant>
        <vt:i4>24</vt:i4>
      </vt:variant>
      <vt:variant>
        <vt:i4>0</vt:i4>
      </vt:variant>
      <vt:variant>
        <vt:i4>5</vt:i4>
      </vt:variant>
      <vt:variant>
        <vt:lpwstr>https://www.etuc.org/documents/safe-home-safe-work-final-report</vt:lpwstr>
      </vt:variant>
      <vt:variant>
        <vt:lpwstr>.Wg2kn_6otHg</vt:lpwstr>
      </vt:variant>
      <vt:variant>
        <vt:i4>655362</vt:i4>
      </vt:variant>
      <vt:variant>
        <vt:i4>21</vt:i4>
      </vt:variant>
      <vt:variant>
        <vt:i4>0</vt:i4>
      </vt:variant>
      <vt:variant>
        <vt:i4>5</vt:i4>
      </vt:variant>
      <vt:variant>
        <vt:lpwstr>http://carve-daphne.eu/carve/</vt:lpwstr>
      </vt:variant>
      <vt:variant>
        <vt:lpwstr/>
      </vt:variant>
      <vt:variant>
        <vt:i4>6619172</vt:i4>
      </vt:variant>
      <vt:variant>
        <vt:i4>18</vt:i4>
      </vt:variant>
      <vt:variant>
        <vt:i4>0</vt:i4>
      </vt:variant>
      <vt:variant>
        <vt:i4>5</vt:i4>
      </vt:variant>
      <vt:variant>
        <vt:lpwstr>http://emin-eu.net/</vt:lpwstr>
      </vt:variant>
      <vt:variant>
        <vt:lpwstr/>
      </vt:variant>
      <vt:variant>
        <vt:i4>4194398</vt:i4>
      </vt:variant>
      <vt:variant>
        <vt:i4>15</vt:i4>
      </vt:variant>
      <vt:variant>
        <vt:i4>0</vt:i4>
      </vt:variant>
      <vt:variant>
        <vt:i4>5</vt:i4>
      </vt:variant>
      <vt:variant>
        <vt:lpwstr>http://ec.europa.eu/social/BlobServlet?docId=18237&amp;langId=en</vt:lpwstr>
      </vt:variant>
      <vt:variant>
        <vt:lpwstr/>
      </vt:variant>
      <vt:variant>
        <vt:i4>5505101</vt:i4>
      </vt:variant>
      <vt:variant>
        <vt:i4>12</vt:i4>
      </vt:variant>
      <vt:variant>
        <vt:i4>0</vt:i4>
      </vt:variant>
      <vt:variant>
        <vt:i4>5</vt:i4>
      </vt:variant>
      <vt:variant>
        <vt:lpwstr>http://ec.europa.eu/social/main.jsp?catId=1135&amp;langId=en</vt:lpwstr>
      </vt:variant>
      <vt:variant>
        <vt:lpwstr/>
      </vt:variant>
      <vt:variant>
        <vt:i4>5505098</vt:i4>
      </vt:variant>
      <vt:variant>
        <vt:i4>9</vt:i4>
      </vt:variant>
      <vt:variant>
        <vt:i4>0</vt:i4>
      </vt:variant>
      <vt:variant>
        <vt:i4>5</vt:i4>
      </vt:variant>
      <vt:variant>
        <vt:lpwstr>http://ec.europa.eu/social/main.jsp?catId=1246&amp;langId=en</vt:lpwstr>
      </vt:variant>
      <vt:variant>
        <vt:lpwstr/>
      </vt:variant>
      <vt:variant>
        <vt:i4>786498</vt:i4>
      </vt:variant>
      <vt:variant>
        <vt:i4>6</vt:i4>
      </vt:variant>
      <vt:variant>
        <vt:i4>0</vt:i4>
      </vt:variant>
      <vt:variant>
        <vt:i4>5</vt:i4>
      </vt:variant>
      <vt:variant>
        <vt:lpwstr>https://composite-indicators.jrc.ec.europa.eu/social-scoreboard/</vt:lpwstr>
      </vt:variant>
      <vt:variant>
        <vt:lpwstr/>
      </vt:variant>
      <vt:variant>
        <vt:i4>2424892</vt:i4>
      </vt:variant>
      <vt:variant>
        <vt:i4>3</vt:i4>
      </vt:variant>
      <vt:variant>
        <vt:i4>0</vt:i4>
      </vt:variant>
      <vt:variant>
        <vt:i4>5</vt:i4>
      </vt:variant>
      <vt:variant>
        <vt:lpwstr>https://www.socialsummit17.se/</vt:lpwstr>
      </vt:variant>
      <vt:variant>
        <vt:lpwstr/>
      </vt:variant>
      <vt:variant>
        <vt:i4>4784200</vt:i4>
      </vt:variant>
      <vt:variant>
        <vt:i4>0</vt:i4>
      </vt:variant>
      <vt:variant>
        <vt:i4>0</vt:i4>
      </vt:variant>
      <vt:variant>
        <vt:i4>5</vt:i4>
      </vt:variant>
      <vt:variant>
        <vt:lpwstr>http://europa.eu/rapid/press-release_IP-16-3216_en.htm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WERKER</dc:creator>
  <cp:keywords>EL4</cp:keywords>
  <cp:lastModifiedBy>STEPIEN Beata (SG)</cp:lastModifiedBy>
  <cp:revision>4</cp:revision>
  <cp:lastPrinted>2017-06-30T09:36:00Z</cp:lastPrinted>
  <dcterms:created xsi:type="dcterms:W3CDTF">2018-03-08T06:37:00Z</dcterms:created>
  <dcterms:modified xsi:type="dcterms:W3CDTF">2018-03-08T07:56:00Z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ies>
</file>