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4F" w:rsidRDefault="0029784F" w:rsidP="0029784F">
      <w:pPr>
        <w:pStyle w:val="ListBullet2"/>
        <w:numPr>
          <w:ilvl w:val="0"/>
          <w:numId w:val="0"/>
        </w:numPr>
        <w:spacing w:after="600"/>
        <w:jc w:val="center"/>
        <w:rPr>
          <w:rFonts w:ascii="Times New Roman" w:hAnsi="Times New Roman"/>
          <w:b/>
          <w:bCs/>
          <w:szCs w:val="24"/>
        </w:rPr>
      </w:pPr>
      <w:r w:rsidRPr="00C33439">
        <w:rPr>
          <w:rFonts w:ascii="Times New Roman" w:hAnsi="Times New Roman"/>
          <w:b/>
          <w:szCs w:val="24"/>
        </w:rPr>
        <w:t xml:space="preserve">Follow-up to the European Parliament non-legislative resolution of </w:t>
      </w:r>
      <w:r>
        <w:rPr>
          <w:rFonts w:ascii="Times New Roman" w:hAnsi="Times New Roman"/>
          <w:b/>
          <w:szCs w:val="24"/>
        </w:rPr>
        <w:t>26 October</w:t>
      </w:r>
      <w:r w:rsidRPr="00C33439">
        <w:rPr>
          <w:rFonts w:ascii="Times New Roman" w:hAnsi="Times New Roman"/>
          <w:b/>
          <w:szCs w:val="24"/>
        </w:rPr>
        <w:t xml:space="preserve"> 201</w:t>
      </w:r>
      <w:r>
        <w:rPr>
          <w:rFonts w:ascii="Times New Roman" w:hAnsi="Times New Roman"/>
          <w:b/>
          <w:szCs w:val="24"/>
        </w:rPr>
        <w:t>7</w:t>
      </w:r>
      <w:r w:rsidRPr="00C33439">
        <w:rPr>
          <w:rFonts w:ascii="Times New Roman" w:hAnsi="Times New Roman"/>
          <w:b/>
          <w:szCs w:val="24"/>
        </w:rPr>
        <w:t xml:space="preserve"> </w:t>
      </w:r>
      <w:r w:rsidRPr="00C33439">
        <w:rPr>
          <w:rFonts w:ascii="Times New Roman" w:hAnsi="Times New Roman"/>
          <w:b/>
          <w:bCs/>
          <w:szCs w:val="24"/>
        </w:rPr>
        <w:t xml:space="preserve">on the </w:t>
      </w:r>
      <w:r w:rsidRPr="00357E33">
        <w:rPr>
          <w:rFonts w:ascii="Times New Roman" w:hAnsi="Times New Roman"/>
          <w:b/>
          <w:szCs w:val="24"/>
        </w:rPr>
        <w:t>recommendation to the Council on the proposed</w:t>
      </w:r>
      <w:r>
        <w:rPr>
          <w:rFonts w:ascii="Times New Roman" w:hAnsi="Times New Roman"/>
          <w:b/>
          <w:szCs w:val="24"/>
        </w:rPr>
        <w:t xml:space="preserve"> </w:t>
      </w:r>
      <w:r w:rsidRPr="00357E33">
        <w:rPr>
          <w:rFonts w:ascii="Times New Roman" w:hAnsi="Times New Roman"/>
          <w:b/>
          <w:szCs w:val="24"/>
        </w:rPr>
        <w:t>ne</w:t>
      </w:r>
      <w:r>
        <w:rPr>
          <w:rFonts w:ascii="Times New Roman" w:hAnsi="Times New Roman"/>
          <w:b/>
          <w:bCs/>
          <w:szCs w:val="24"/>
        </w:rPr>
        <w:t xml:space="preserve">gotiating mandate </w:t>
      </w:r>
      <w:r>
        <w:rPr>
          <w:rFonts w:ascii="Times New Roman" w:hAnsi="Times New Roman"/>
          <w:b/>
          <w:bCs/>
          <w:szCs w:val="24"/>
        </w:rPr>
        <w:br/>
        <w:t>for trade negotiations with New Zealand</w:t>
      </w:r>
    </w:p>
    <w:p w:rsidR="0029784F" w:rsidRPr="00935871" w:rsidRDefault="0029784F" w:rsidP="0029784F">
      <w:pPr>
        <w:spacing w:after="600"/>
        <w:ind w:right="-28"/>
        <w:jc w:val="center"/>
        <w:rPr>
          <w:rFonts w:ascii="Times New Roman" w:hAnsi="Times New Roman"/>
          <w:b/>
          <w:bCs/>
          <w:szCs w:val="24"/>
          <w:lang w:val="fr-BE"/>
        </w:rPr>
      </w:pPr>
      <w:r w:rsidRPr="00935871">
        <w:rPr>
          <w:rFonts w:ascii="Times New Roman" w:hAnsi="Times New Roman"/>
          <w:b/>
          <w:bCs/>
          <w:szCs w:val="24"/>
          <w:lang w:val="fr-BE"/>
        </w:rPr>
        <w:t>2017/2193</w:t>
      </w:r>
      <w:r w:rsidR="00CB02CD" w:rsidRPr="00935871">
        <w:rPr>
          <w:rFonts w:ascii="Times New Roman" w:hAnsi="Times New Roman"/>
          <w:b/>
          <w:bCs/>
          <w:szCs w:val="24"/>
          <w:lang w:val="fr-BE"/>
        </w:rPr>
        <w:t> </w:t>
      </w:r>
      <w:r w:rsidRPr="00935871">
        <w:rPr>
          <w:rFonts w:ascii="Times New Roman" w:hAnsi="Times New Roman"/>
          <w:b/>
          <w:bCs/>
          <w:szCs w:val="24"/>
          <w:lang w:val="fr-BE"/>
        </w:rPr>
        <w:t>(INI)</w:t>
      </w:r>
    </w:p>
    <w:p w:rsidR="0029784F" w:rsidRPr="00935871" w:rsidRDefault="008F53F2" w:rsidP="00935871">
      <w:pPr>
        <w:ind w:left="567" w:right="-28" w:hanging="567"/>
        <w:rPr>
          <w:rFonts w:ascii="Times New Roman" w:hAnsi="Times New Roman"/>
          <w:szCs w:val="24"/>
          <w:lang w:val="fr-BE"/>
        </w:rPr>
      </w:pPr>
      <w:r w:rsidRPr="00935871">
        <w:rPr>
          <w:rFonts w:ascii="Times New Roman" w:hAnsi="Times New Roman"/>
          <w:b/>
          <w:szCs w:val="24"/>
          <w:lang w:val="fr-BE"/>
        </w:rPr>
        <w:t>1.</w:t>
      </w:r>
      <w:r w:rsidRPr="00935871">
        <w:rPr>
          <w:rFonts w:ascii="Times New Roman" w:hAnsi="Times New Roman"/>
          <w:b/>
          <w:szCs w:val="24"/>
          <w:lang w:val="fr-BE"/>
        </w:rPr>
        <w:tab/>
      </w:r>
      <w:r w:rsidR="0029784F" w:rsidRPr="00935871">
        <w:rPr>
          <w:rFonts w:ascii="Times New Roman" w:hAnsi="Times New Roman"/>
          <w:b/>
          <w:szCs w:val="24"/>
          <w:lang w:val="fr-BE"/>
        </w:rPr>
        <w:t>Rapporteur:</w:t>
      </w:r>
      <w:r w:rsidR="0029784F" w:rsidRPr="00935871">
        <w:rPr>
          <w:rFonts w:ascii="Times New Roman" w:hAnsi="Times New Roman"/>
          <w:szCs w:val="24"/>
          <w:lang w:val="fr-BE"/>
        </w:rPr>
        <w:t xml:space="preserve"> Daniel CASPARY (EPP/DE)</w:t>
      </w:r>
    </w:p>
    <w:p w:rsidR="0029784F" w:rsidRPr="00DB3946" w:rsidRDefault="008F53F2" w:rsidP="00935871">
      <w:pPr>
        <w:pStyle w:val="Default"/>
        <w:spacing w:after="240"/>
        <w:ind w:left="567" w:right="-28" w:hanging="567"/>
        <w:rPr>
          <w:color w:val="auto"/>
          <w:lang w:val="en-GB"/>
        </w:rPr>
      </w:pPr>
      <w:r>
        <w:rPr>
          <w:b/>
          <w:color w:val="auto"/>
          <w:lang w:val="en-GB"/>
        </w:rPr>
        <w:t>2.</w:t>
      </w:r>
      <w:r>
        <w:rPr>
          <w:b/>
          <w:color w:val="auto"/>
          <w:lang w:val="en-GB"/>
        </w:rPr>
        <w:tab/>
      </w:r>
      <w:r w:rsidR="0029784F" w:rsidRPr="00DB3946">
        <w:rPr>
          <w:b/>
          <w:color w:val="auto"/>
          <w:lang w:val="en-GB"/>
        </w:rPr>
        <w:t>EP reference number</w:t>
      </w:r>
      <w:r w:rsidR="0029784F" w:rsidRPr="00935871">
        <w:rPr>
          <w:b/>
          <w:color w:val="auto"/>
          <w:lang w:val="en-GB" w:eastAsia="en-GB"/>
        </w:rPr>
        <w:t>:</w:t>
      </w:r>
      <w:r w:rsidR="0029784F" w:rsidRPr="00935871">
        <w:rPr>
          <w:color w:val="auto"/>
          <w:lang w:val="en-GB" w:eastAsia="en-GB"/>
        </w:rPr>
        <w:t xml:space="preserve"> </w:t>
      </w:r>
      <w:r w:rsidR="00E801C7" w:rsidRPr="00935871">
        <w:rPr>
          <w:color w:val="auto"/>
          <w:lang w:val="en-GB" w:eastAsia="en-GB"/>
        </w:rPr>
        <w:t>A8-0312/2017</w:t>
      </w:r>
      <w:r w:rsidR="0029784F" w:rsidRPr="00935871">
        <w:rPr>
          <w:color w:val="auto"/>
          <w:lang w:val="en-GB" w:eastAsia="en-GB"/>
        </w:rPr>
        <w:t xml:space="preserve"> / P8_TA-</w:t>
      </w:r>
      <w:proofErr w:type="gramStart"/>
      <w:r w:rsidR="0029784F" w:rsidRPr="00935871">
        <w:rPr>
          <w:color w:val="auto"/>
          <w:lang w:val="en-GB" w:eastAsia="en-GB"/>
        </w:rPr>
        <w:t>PROV</w:t>
      </w:r>
      <w:r w:rsidR="0029784F" w:rsidRPr="00DB3946">
        <w:rPr>
          <w:color w:val="auto"/>
          <w:lang w:val="en-GB"/>
        </w:rPr>
        <w:t>(</w:t>
      </w:r>
      <w:proofErr w:type="gramEnd"/>
      <w:r w:rsidR="0029784F" w:rsidRPr="00DB3946">
        <w:rPr>
          <w:color w:val="auto"/>
          <w:lang w:val="en-GB"/>
        </w:rPr>
        <w:t>2017)04</w:t>
      </w:r>
      <w:r w:rsidR="0029784F">
        <w:rPr>
          <w:color w:val="auto"/>
          <w:lang w:val="en-GB"/>
        </w:rPr>
        <w:t>20</w:t>
      </w:r>
    </w:p>
    <w:p w:rsidR="0029784F" w:rsidRPr="00C33439" w:rsidRDefault="008F53F2" w:rsidP="00935871">
      <w:pPr>
        <w:ind w:left="567" w:right="-28" w:hanging="567"/>
        <w:rPr>
          <w:rFonts w:ascii="Times New Roman" w:hAnsi="Times New Roman"/>
          <w:szCs w:val="24"/>
        </w:rPr>
      </w:pPr>
      <w:r>
        <w:rPr>
          <w:rFonts w:ascii="Times New Roman" w:hAnsi="Times New Roman"/>
          <w:b/>
          <w:szCs w:val="24"/>
        </w:rPr>
        <w:t>3.</w:t>
      </w:r>
      <w:r>
        <w:rPr>
          <w:rFonts w:ascii="Times New Roman" w:hAnsi="Times New Roman"/>
          <w:b/>
          <w:szCs w:val="24"/>
        </w:rPr>
        <w:tab/>
      </w:r>
      <w:r w:rsidR="0029784F" w:rsidRPr="00C33439">
        <w:rPr>
          <w:rFonts w:ascii="Times New Roman" w:hAnsi="Times New Roman"/>
          <w:b/>
          <w:szCs w:val="24"/>
        </w:rPr>
        <w:t>Date of adoption of the resolution:</w:t>
      </w:r>
      <w:r w:rsidR="0029784F" w:rsidRPr="00C33439">
        <w:rPr>
          <w:rFonts w:ascii="Times New Roman" w:hAnsi="Times New Roman"/>
          <w:szCs w:val="24"/>
        </w:rPr>
        <w:t xml:space="preserve"> </w:t>
      </w:r>
      <w:r w:rsidR="0029784F">
        <w:rPr>
          <w:rFonts w:ascii="Times New Roman" w:hAnsi="Times New Roman"/>
          <w:szCs w:val="24"/>
        </w:rPr>
        <w:t>26 October</w:t>
      </w:r>
      <w:r w:rsidR="0029784F" w:rsidRPr="00C33439">
        <w:rPr>
          <w:rFonts w:ascii="Times New Roman" w:hAnsi="Times New Roman"/>
          <w:szCs w:val="24"/>
        </w:rPr>
        <w:t xml:space="preserve"> 201</w:t>
      </w:r>
      <w:r w:rsidR="0029784F">
        <w:rPr>
          <w:rFonts w:ascii="Times New Roman" w:hAnsi="Times New Roman"/>
          <w:szCs w:val="24"/>
        </w:rPr>
        <w:t>7</w:t>
      </w:r>
    </w:p>
    <w:p w:rsidR="0029784F" w:rsidRPr="00C33439" w:rsidRDefault="008F53F2" w:rsidP="00935871">
      <w:pPr>
        <w:ind w:left="567" w:right="-28" w:hanging="567"/>
        <w:rPr>
          <w:rFonts w:ascii="Times New Roman" w:hAnsi="Times New Roman"/>
          <w:szCs w:val="24"/>
        </w:rPr>
      </w:pPr>
      <w:r>
        <w:rPr>
          <w:rFonts w:ascii="Times New Roman" w:hAnsi="Times New Roman"/>
          <w:b/>
          <w:szCs w:val="24"/>
        </w:rPr>
        <w:t>4.</w:t>
      </w:r>
      <w:r>
        <w:rPr>
          <w:rFonts w:ascii="Times New Roman" w:hAnsi="Times New Roman"/>
          <w:b/>
          <w:szCs w:val="24"/>
        </w:rPr>
        <w:tab/>
      </w:r>
      <w:r w:rsidR="0029784F" w:rsidRPr="00C33439">
        <w:rPr>
          <w:rFonts w:ascii="Times New Roman" w:hAnsi="Times New Roman"/>
          <w:b/>
          <w:szCs w:val="24"/>
        </w:rPr>
        <w:t>Subject:</w:t>
      </w:r>
      <w:r w:rsidR="0029784F" w:rsidRPr="00C33439">
        <w:rPr>
          <w:rFonts w:ascii="Times New Roman" w:hAnsi="Times New Roman"/>
          <w:szCs w:val="24"/>
        </w:rPr>
        <w:t xml:space="preserve"> </w:t>
      </w:r>
      <w:r w:rsidR="0029784F">
        <w:rPr>
          <w:rFonts w:ascii="Times New Roman" w:hAnsi="Times New Roman"/>
          <w:szCs w:val="24"/>
        </w:rPr>
        <w:t>the Parliament's recommendation to the Council on the proposed negotiating mandate for trade negotiations with New Zealand</w:t>
      </w:r>
    </w:p>
    <w:p w:rsidR="0029784F" w:rsidRPr="00C33439" w:rsidRDefault="008F53F2" w:rsidP="00935871">
      <w:pPr>
        <w:ind w:left="567" w:right="-28" w:hanging="567"/>
        <w:rPr>
          <w:rFonts w:ascii="Times New Roman" w:hAnsi="Times New Roman"/>
          <w:szCs w:val="24"/>
        </w:rPr>
      </w:pPr>
      <w:r>
        <w:rPr>
          <w:rFonts w:ascii="Times New Roman" w:hAnsi="Times New Roman"/>
          <w:b/>
          <w:szCs w:val="24"/>
        </w:rPr>
        <w:t>5.</w:t>
      </w:r>
      <w:r>
        <w:rPr>
          <w:rFonts w:ascii="Times New Roman" w:hAnsi="Times New Roman"/>
          <w:b/>
          <w:szCs w:val="24"/>
        </w:rPr>
        <w:tab/>
      </w:r>
      <w:r w:rsidR="0029784F" w:rsidRPr="00C33439">
        <w:rPr>
          <w:rFonts w:ascii="Times New Roman" w:hAnsi="Times New Roman"/>
          <w:b/>
          <w:szCs w:val="24"/>
        </w:rPr>
        <w:t>Competent Parliamentary Committee:</w:t>
      </w:r>
      <w:r w:rsidR="0029784F" w:rsidRPr="00C33439">
        <w:rPr>
          <w:rFonts w:ascii="Times New Roman" w:hAnsi="Times New Roman"/>
          <w:szCs w:val="24"/>
        </w:rPr>
        <w:t xml:space="preserve"> Committee on </w:t>
      </w:r>
      <w:r w:rsidR="0029784F">
        <w:rPr>
          <w:rFonts w:ascii="Times New Roman" w:hAnsi="Times New Roman"/>
          <w:szCs w:val="24"/>
        </w:rPr>
        <w:t>International Trade (INTA)</w:t>
      </w:r>
    </w:p>
    <w:p w:rsidR="0029784F" w:rsidRDefault="008F53F2" w:rsidP="00935871">
      <w:pPr>
        <w:widowControl w:val="0"/>
        <w:ind w:left="567" w:right="-28" w:hanging="567"/>
        <w:rPr>
          <w:rFonts w:ascii="Times New Roman" w:hAnsi="Times New Roman"/>
          <w:b/>
          <w:szCs w:val="24"/>
        </w:rPr>
      </w:pPr>
      <w:r>
        <w:rPr>
          <w:rFonts w:ascii="Times New Roman" w:hAnsi="Times New Roman"/>
          <w:b/>
          <w:szCs w:val="24"/>
        </w:rPr>
        <w:t>6.</w:t>
      </w:r>
      <w:r>
        <w:rPr>
          <w:rFonts w:ascii="Times New Roman" w:hAnsi="Times New Roman"/>
          <w:b/>
          <w:szCs w:val="24"/>
        </w:rPr>
        <w:tab/>
      </w:r>
      <w:r w:rsidR="0029784F" w:rsidRPr="00C33439">
        <w:rPr>
          <w:rFonts w:ascii="Times New Roman" w:hAnsi="Times New Roman"/>
          <w:b/>
          <w:szCs w:val="24"/>
        </w:rPr>
        <w:t>Brief analysis/ assessment of the resolution and requests made in it:</w:t>
      </w:r>
    </w:p>
    <w:p w:rsidR="0029784F" w:rsidRPr="00920EFC" w:rsidRDefault="0029784F" w:rsidP="0029784F">
      <w:pPr>
        <w:widowControl w:val="0"/>
        <w:spacing w:after="120"/>
        <w:ind w:right="-28"/>
        <w:rPr>
          <w:rFonts w:ascii="Times New Roman" w:hAnsi="Times New Roman"/>
          <w:szCs w:val="24"/>
        </w:rPr>
      </w:pPr>
      <w:r w:rsidRPr="00920EFC">
        <w:rPr>
          <w:rFonts w:ascii="Times New Roman" w:hAnsi="Times New Roman"/>
          <w:szCs w:val="24"/>
        </w:rPr>
        <w:t>The Commission welcomes the re</w:t>
      </w:r>
      <w:r>
        <w:rPr>
          <w:rFonts w:ascii="Times New Roman" w:hAnsi="Times New Roman"/>
          <w:szCs w:val="24"/>
        </w:rPr>
        <w:t xml:space="preserve">solution </w:t>
      </w:r>
      <w:r w:rsidRPr="00920EFC">
        <w:rPr>
          <w:rFonts w:ascii="Times New Roman" w:hAnsi="Times New Roman"/>
          <w:szCs w:val="24"/>
        </w:rPr>
        <w:t xml:space="preserve">of the European Parliament. It comes at a very </w:t>
      </w:r>
      <w:r>
        <w:rPr>
          <w:rFonts w:ascii="Times New Roman" w:hAnsi="Times New Roman"/>
          <w:szCs w:val="24"/>
        </w:rPr>
        <w:t>timely</w:t>
      </w:r>
      <w:r w:rsidRPr="00920EFC">
        <w:rPr>
          <w:rFonts w:ascii="Times New Roman" w:hAnsi="Times New Roman"/>
          <w:szCs w:val="24"/>
        </w:rPr>
        <w:t xml:space="preserve"> moment when the Commission and the </w:t>
      </w:r>
      <w:r>
        <w:rPr>
          <w:rFonts w:ascii="Times New Roman" w:hAnsi="Times New Roman"/>
          <w:szCs w:val="24"/>
        </w:rPr>
        <w:t>Council</w:t>
      </w:r>
      <w:r w:rsidRPr="00920EFC">
        <w:rPr>
          <w:rFonts w:ascii="Times New Roman" w:hAnsi="Times New Roman"/>
          <w:szCs w:val="24"/>
        </w:rPr>
        <w:t xml:space="preserve"> are discussing the Commission proposal of negotiating </w:t>
      </w:r>
      <w:r w:rsidR="005B5E17">
        <w:rPr>
          <w:rFonts w:ascii="Times New Roman" w:hAnsi="Times New Roman"/>
          <w:szCs w:val="24"/>
        </w:rPr>
        <w:t>D</w:t>
      </w:r>
      <w:r w:rsidRPr="00920EFC">
        <w:rPr>
          <w:rFonts w:ascii="Times New Roman" w:hAnsi="Times New Roman"/>
          <w:szCs w:val="24"/>
        </w:rPr>
        <w:t xml:space="preserve">irectives for the negotiations for a Free Trade Agreement </w:t>
      </w:r>
      <w:r>
        <w:rPr>
          <w:rFonts w:ascii="Times New Roman" w:hAnsi="Times New Roman"/>
          <w:szCs w:val="24"/>
        </w:rPr>
        <w:t xml:space="preserve">(FTA) </w:t>
      </w:r>
      <w:r w:rsidRPr="00920EFC">
        <w:rPr>
          <w:rFonts w:ascii="Times New Roman" w:hAnsi="Times New Roman"/>
          <w:szCs w:val="24"/>
        </w:rPr>
        <w:t xml:space="preserve">with </w:t>
      </w:r>
      <w:r>
        <w:rPr>
          <w:rFonts w:ascii="Times New Roman" w:hAnsi="Times New Roman"/>
          <w:szCs w:val="24"/>
        </w:rPr>
        <w:t>New Zealand.</w:t>
      </w:r>
    </w:p>
    <w:p w:rsidR="0029784F" w:rsidRPr="00212FE8" w:rsidRDefault="0029784F" w:rsidP="0029784F">
      <w:pPr>
        <w:widowControl w:val="0"/>
        <w:spacing w:after="120"/>
        <w:ind w:right="-28"/>
        <w:rPr>
          <w:rFonts w:ascii="Times New Roman" w:hAnsi="Times New Roman"/>
          <w:szCs w:val="24"/>
        </w:rPr>
      </w:pPr>
      <w:r w:rsidRPr="00212FE8">
        <w:rPr>
          <w:rFonts w:ascii="Times New Roman" w:hAnsi="Times New Roman"/>
          <w:szCs w:val="24"/>
        </w:rPr>
        <w:t>Overall, the Commission finds the positions detailed in this recommendation</w:t>
      </w:r>
      <w:r w:rsidR="00461890">
        <w:rPr>
          <w:rFonts w:ascii="Times New Roman" w:hAnsi="Times New Roman"/>
          <w:szCs w:val="24"/>
        </w:rPr>
        <w:t xml:space="preserve"> </w:t>
      </w:r>
      <w:r w:rsidR="00461890" w:rsidRPr="00212FE8">
        <w:rPr>
          <w:rFonts w:ascii="Times New Roman" w:hAnsi="Times New Roman"/>
          <w:szCs w:val="24"/>
        </w:rPr>
        <w:t>very useful</w:t>
      </w:r>
      <w:r w:rsidRPr="00212FE8">
        <w:rPr>
          <w:rFonts w:ascii="Times New Roman" w:hAnsi="Times New Roman"/>
          <w:szCs w:val="24"/>
        </w:rPr>
        <w:t xml:space="preserve">, which give a clear indication of what the European Parliament expects from the negotiation process. </w:t>
      </w:r>
      <w:r>
        <w:rPr>
          <w:rFonts w:ascii="Times New Roman" w:hAnsi="Times New Roman"/>
          <w:szCs w:val="24"/>
        </w:rPr>
        <w:t xml:space="preserve">Many requests coincide with what has been proposed in the Commission's draft negotiating </w:t>
      </w:r>
      <w:r w:rsidR="00461890">
        <w:rPr>
          <w:rFonts w:ascii="Times New Roman" w:hAnsi="Times New Roman"/>
          <w:szCs w:val="24"/>
        </w:rPr>
        <w:t>d</w:t>
      </w:r>
      <w:r>
        <w:rPr>
          <w:rFonts w:ascii="Times New Roman" w:hAnsi="Times New Roman"/>
          <w:szCs w:val="24"/>
        </w:rPr>
        <w:t>irectives.</w:t>
      </w:r>
    </w:p>
    <w:p w:rsidR="0029784F" w:rsidRPr="00212FE8" w:rsidRDefault="0029784F" w:rsidP="0029784F">
      <w:pPr>
        <w:widowControl w:val="0"/>
        <w:spacing w:after="120"/>
        <w:ind w:right="-28"/>
        <w:rPr>
          <w:rFonts w:ascii="Times New Roman" w:hAnsi="Times New Roman"/>
          <w:szCs w:val="24"/>
        </w:rPr>
      </w:pPr>
      <w:r w:rsidRPr="00212FE8">
        <w:rPr>
          <w:rFonts w:ascii="Times New Roman" w:hAnsi="Times New Roman"/>
          <w:szCs w:val="24"/>
        </w:rPr>
        <w:t>The resolution highlights the existing good relations and shared values of the E</w:t>
      </w:r>
      <w:r>
        <w:rPr>
          <w:rFonts w:ascii="Times New Roman" w:hAnsi="Times New Roman"/>
          <w:szCs w:val="24"/>
        </w:rPr>
        <w:t>uropean Union</w:t>
      </w:r>
      <w:r w:rsidRPr="00212FE8">
        <w:rPr>
          <w:rFonts w:ascii="Times New Roman" w:hAnsi="Times New Roman"/>
          <w:szCs w:val="24"/>
        </w:rPr>
        <w:t xml:space="preserve"> and </w:t>
      </w:r>
      <w:r>
        <w:rPr>
          <w:rFonts w:ascii="Times New Roman" w:hAnsi="Times New Roman"/>
          <w:szCs w:val="24"/>
        </w:rPr>
        <w:t>New Zealand</w:t>
      </w:r>
      <w:r w:rsidRPr="00212FE8">
        <w:rPr>
          <w:rFonts w:ascii="Times New Roman" w:hAnsi="Times New Roman"/>
          <w:szCs w:val="24"/>
        </w:rPr>
        <w:t>, refers to the Commission</w:t>
      </w:r>
      <w:r w:rsidR="00597A4A">
        <w:rPr>
          <w:rFonts w:ascii="Times New Roman" w:hAnsi="Times New Roman"/>
          <w:szCs w:val="24"/>
        </w:rPr>
        <w:t>'s</w:t>
      </w:r>
      <w:r w:rsidRPr="00212FE8">
        <w:rPr>
          <w:rFonts w:ascii="Times New Roman" w:hAnsi="Times New Roman"/>
          <w:szCs w:val="24"/>
        </w:rPr>
        <w:t xml:space="preserve"> </w:t>
      </w:r>
      <w:r w:rsidR="00461890">
        <w:rPr>
          <w:rFonts w:ascii="Times New Roman" w:hAnsi="Times New Roman"/>
          <w:szCs w:val="24"/>
        </w:rPr>
        <w:t>"</w:t>
      </w:r>
      <w:r w:rsidRPr="00212FE8">
        <w:rPr>
          <w:rFonts w:ascii="Times New Roman" w:hAnsi="Times New Roman"/>
          <w:szCs w:val="24"/>
        </w:rPr>
        <w:t>Trade for All</w:t>
      </w:r>
      <w:r w:rsidR="00461890">
        <w:rPr>
          <w:rFonts w:ascii="Times New Roman" w:hAnsi="Times New Roman"/>
          <w:szCs w:val="24"/>
        </w:rPr>
        <w:t>"</w:t>
      </w:r>
      <w:r w:rsidRPr="00212FE8">
        <w:rPr>
          <w:rFonts w:ascii="Times New Roman" w:hAnsi="Times New Roman"/>
          <w:szCs w:val="24"/>
        </w:rPr>
        <w:t xml:space="preserve"> Communication that set</w:t>
      </w:r>
      <w:r w:rsidR="00597A4A">
        <w:rPr>
          <w:rFonts w:ascii="Times New Roman" w:hAnsi="Times New Roman"/>
          <w:szCs w:val="24"/>
        </w:rPr>
        <w:t>s</w:t>
      </w:r>
      <w:r w:rsidRPr="00212FE8">
        <w:rPr>
          <w:rFonts w:ascii="Times New Roman" w:hAnsi="Times New Roman"/>
          <w:szCs w:val="24"/>
        </w:rPr>
        <w:t xml:space="preserve"> out to strengthen the trade and investment relationship with </w:t>
      </w:r>
      <w:r>
        <w:rPr>
          <w:rFonts w:ascii="Times New Roman" w:hAnsi="Times New Roman"/>
          <w:szCs w:val="24"/>
        </w:rPr>
        <w:t xml:space="preserve">New Zealand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w:t>
      </w:r>
      <w:r w:rsidR="008B56DC" w:rsidRPr="00935871">
        <w:rPr>
          <w:rFonts w:ascii="Times New Roman" w:hAnsi="Times New Roman"/>
          <w:b/>
          <w:szCs w:val="24"/>
        </w:rPr>
        <w:t>s</w:t>
      </w:r>
      <w:r w:rsidRPr="00935871">
        <w:rPr>
          <w:rFonts w:ascii="Times New Roman" w:hAnsi="Times New Roman"/>
          <w:b/>
          <w:szCs w:val="24"/>
        </w:rPr>
        <w:t xml:space="preserve"> 1 and 2</w:t>
      </w:r>
      <w:r w:rsidRPr="00935871">
        <w:rPr>
          <w:rFonts w:ascii="Times New Roman" w:hAnsi="Times New Roman"/>
          <w:szCs w:val="24"/>
        </w:rPr>
        <w:t>)</w:t>
      </w:r>
      <w:r>
        <w:rPr>
          <w:rFonts w:ascii="Times New Roman" w:hAnsi="Times New Roman"/>
          <w:szCs w:val="24"/>
        </w:rPr>
        <w:t xml:space="preserve"> as well as the scoping exercise undertaken by the Commission with New Zealand</w:t>
      </w:r>
      <w:r w:rsidR="00461890">
        <w:rPr>
          <w:rFonts w:ascii="Times New Roman" w:hAnsi="Times New Roman"/>
          <w:szCs w:val="24"/>
        </w:rPr>
        <w:t>,</w:t>
      </w:r>
      <w:r>
        <w:rPr>
          <w:rFonts w:ascii="Times New Roman" w:hAnsi="Times New Roman"/>
          <w:szCs w:val="24"/>
        </w:rPr>
        <w:t xml:space="preserve"> and welcomes the Commission's conclusion and publication of its impact assessment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aragraphs 5 and 6</w:t>
      </w:r>
      <w:r w:rsidRPr="00935871">
        <w:rPr>
          <w:rFonts w:ascii="Times New Roman" w:hAnsi="Times New Roman"/>
          <w:szCs w:val="24"/>
        </w:rPr>
        <w:t>)</w:t>
      </w:r>
      <w:r>
        <w:rPr>
          <w:rFonts w:ascii="Times New Roman" w:hAnsi="Times New Roman"/>
          <w:szCs w:val="24"/>
        </w:rPr>
        <w:t>.</w:t>
      </w:r>
    </w:p>
    <w:p w:rsidR="0029784F" w:rsidRDefault="0029784F" w:rsidP="0029784F">
      <w:pPr>
        <w:widowControl w:val="0"/>
        <w:spacing w:after="120"/>
        <w:ind w:right="-28"/>
        <w:rPr>
          <w:rFonts w:ascii="Times New Roman" w:hAnsi="Times New Roman"/>
          <w:szCs w:val="24"/>
        </w:rPr>
      </w:pPr>
      <w:r w:rsidRPr="00212FE8">
        <w:rPr>
          <w:rFonts w:ascii="Times New Roman" w:hAnsi="Times New Roman"/>
          <w:szCs w:val="24"/>
        </w:rPr>
        <w:t xml:space="preserve">The resolution supports the opening of the negotiations </w:t>
      </w:r>
      <w:r>
        <w:rPr>
          <w:rFonts w:ascii="Times New Roman" w:hAnsi="Times New Roman"/>
          <w:szCs w:val="24"/>
        </w:rPr>
        <w:t xml:space="preserve">for a "modern, deep, ambitious, balanced, fair and comprehensive </w:t>
      </w:r>
      <w:r w:rsidRPr="00212FE8">
        <w:rPr>
          <w:rFonts w:ascii="Times New Roman" w:hAnsi="Times New Roman"/>
          <w:szCs w:val="24"/>
        </w:rPr>
        <w:t>FTA</w:t>
      </w:r>
      <w:r>
        <w:rPr>
          <w:rFonts w:ascii="Times New Roman" w:hAnsi="Times New Roman"/>
          <w:szCs w:val="24"/>
        </w:rPr>
        <w:t>"</w:t>
      </w:r>
      <w:r w:rsidRPr="00212FE8">
        <w:rPr>
          <w:rFonts w:ascii="Times New Roman" w:hAnsi="Times New Roman"/>
          <w:szCs w:val="24"/>
        </w:rPr>
        <w:t xml:space="preserve"> with </w:t>
      </w:r>
      <w:r>
        <w:rPr>
          <w:rFonts w:ascii="Times New Roman" w:hAnsi="Times New Roman"/>
          <w:szCs w:val="24"/>
        </w:rPr>
        <w:t xml:space="preserve">New Zealand while not undermining progress at multilateral level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w:t>
      </w:r>
      <w:r w:rsidR="008B56DC" w:rsidRPr="00935871">
        <w:rPr>
          <w:rFonts w:ascii="Times New Roman" w:hAnsi="Times New Roman"/>
          <w:b/>
          <w:szCs w:val="24"/>
        </w:rPr>
        <w:t>s</w:t>
      </w:r>
      <w:r w:rsidRPr="00935871">
        <w:rPr>
          <w:rFonts w:ascii="Times New Roman" w:hAnsi="Times New Roman"/>
          <w:b/>
          <w:szCs w:val="24"/>
        </w:rPr>
        <w:t xml:space="preserve"> 3 and 4</w:t>
      </w:r>
      <w:r w:rsidRPr="00935871">
        <w:rPr>
          <w:rFonts w:ascii="Times New Roman" w:hAnsi="Times New Roman"/>
          <w:szCs w:val="24"/>
        </w:rPr>
        <w:t>)</w:t>
      </w:r>
      <w:r>
        <w:rPr>
          <w:rFonts w:ascii="Times New Roman" w:hAnsi="Times New Roman"/>
          <w:szCs w:val="24"/>
        </w:rPr>
        <w:t xml:space="preserve">. The resolution also notes the difference in size between the EU single market and the New Zealand market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 22</w:t>
      </w:r>
      <w:r w:rsidRPr="00935871">
        <w:rPr>
          <w:rFonts w:ascii="Times New Roman" w:hAnsi="Times New Roman"/>
          <w:szCs w:val="24"/>
        </w:rPr>
        <w:t>)</w:t>
      </w:r>
      <w:r>
        <w:rPr>
          <w:rFonts w:ascii="Times New Roman" w:hAnsi="Times New Roman"/>
          <w:szCs w:val="24"/>
        </w:rPr>
        <w:t>.</w:t>
      </w:r>
    </w:p>
    <w:p w:rsidR="0029784F" w:rsidRPr="00212FE8" w:rsidRDefault="0029784F" w:rsidP="0029784F">
      <w:pPr>
        <w:widowControl w:val="0"/>
        <w:spacing w:after="120"/>
        <w:ind w:right="-28"/>
        <w:rPr>
          <w:rFonts w:ascii="Times New Roman" w:hAnsi="Times New Roman"/>
          <w:szCs w:val="24"/>
        </w:rPr>
      </w:pPr>
      <w:r>
        <w:rPr>
          <w:rFonts w:ascii="Times New Roman" w:hAnsi="Times New Roman"/>
          <w:szCs w:val="24"/>
        </w:rPr>
        <w:t xml:space="preserve">The resolution </w:t>
      </w:r>
      <w:r w:rsidRPr="00212FE8">
        <w:rPr>
          <w:rFonts w:ascii="Times New Roman" w:hAnsi="Times New Roman"/>
          <w:szCs w:val="24"/>
        </w:rPr>
        <w:t xml:space="preserve">identifies various issues that such negotiations should encompass, such as trade in goods, services, </w:t>
      </w:r>
      <w:r>
        <w:rPr>
          <w:rFonts w:ascii="Times New Roman" w:hAnsi="Times New Roman"/>
          <w:szCs w:val="24"/>
        </w:rPr>
        <w:t xml:space="preserve">investment liberalisation, </w:t>
      </w:r>
      <w:r w:rsidRPr="00212FE8">
        <w:rPr>
          <w:rFonts w:ascii="Times New Roman" w:hAnsi="Times New Roman"/>
          <w:szCs w:val="24"/>
        </w:rPr>
        <w:t xml:space="preserve">public procurement, </w:t>
      </w:r>
      <w:r>
        <w:rPr>
          <w:rFonts w:ascii="Times New Roman" w:hAnsi="Times New Roman"/>
          <w:szCs w:val="24"/>
        </w:rPr>
        <w:t xml:space="preserve">trade defence, </w:t>
      </w:r>
      <w:r w:rsidRPr="00212FE8">
        <w:rPr>
          <w:rFonts w:ascii="Times New Roman" w:hAnsi="Times New Roman"/>
          <w:szCs w:val="24"/>
        </w:rPr>
        <w:t xml:space="preserve">state owned enterprises, </w:t>
      </w:r>
      <w:r>
        <w:rPr>
          <w:rFonts w:ascii="Times New Roman" w:hAnsi="Times New Roman"/>
          <w:szCs w:val="24"/>
        </w:rPr>
        <w:t>digital ecosystem, and cross-border data flows</w:t>
      </w:r>
      <w:r w:rsidRPr="00212FE8">
        <w:rPr>
          <w:rFonts w:ascii="Times New Roman" w:hAnsi="Times New Roman"/>
          <w:szCs w:val="24"/>
        </w:rPr>
        <w:t xml:space="preserve">, </w:t>
      </w:r>
      <w:r>
        <w:rPr>
          <w:rFonts w:ascii="Times New Roman" w:hAnsi="Times New Roman"/>
          <w:szCs w:val="24"/>
        </w:rPr>
        <w:t xml:space="preserve">non-tariff barriers, </w:t>
      </w:r>
      <w:r w:rsidRPr="00212FE8">
        <w:rPr>
          <w:rFonts w:ascii="Times New Roman" w:hAnsi="Times New Roman"/>
          <w:szCs w:val="24"/>
        </w:rPr>
        <w:t xml:space="preserve">regulatory issues, intellectual property rights, including geographical indications, </w:t>
      </w:r>
      <w:r w:rsidR="005E2AB0">
        <w:rPr>
          <w:rFonts w:ascii="Times New Roman" w:hAnsi="Times New Roman"/>
          <w:szCs w:val="24"/>
        </w:rPr>
        <w:t xml:space="preserve">and </w:t>
      </w:r>
      <w:r w:rsidRPr="00212FE8">
        <w:rPr>
          <w:rFonts w:ascii="Times New Roman" w:hAnsi="Times New Roman"/>
          <w:szCs w:val="24"/>
        </w:rPr>
        <w:t xml:space="preserve">Small and Medium Size Enterprises (SMEs), while highlighting that agriculture is a sensitive sector and due consideration of all stakeholders </w:t>
      </w:r>
      <w:r>
        <w:rPr>
          <w:rFonts w:ascii="Times New Roman" w:hAnsi="Times New Roman"/>
          <w:szCs w:val="24"/>
        </w:rPr>
        <w:t xml:space="preserve">and cumulative impact of trade agreements </w:t>
      </w:r>
      <w:r w:rsidRPr="00212FE8">
        <w:rPr>
          <w:rFonts w:ascii="Times New Roman" w:hAnsi="Times New Roman"/>
          <w:szCs w:val="24"/>
        </w:rPr>
        <w:t xml:space="preserve">must be taken into account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aragraphs 8, 15, 17, 18, 19, 20 (a)</w:t>
      </w:r>
      <w:r w:rsidR="005E2AB0">
        <w:rPr>
          <w:rFonts w:ascii="Times New Roman" w:hAnsi="Times New Roman"/>
          <w:b/>
          <w:szCs w:val="24"/>
        </w:rPr>
        <w:t>-</w:t>
      </w:r>
      <w:r w:rsidRPr="00935871">
        <w:rPr>
          <w:rFonts w:ascii="Times New Roman" w:hAnsi="Times New Roman"/>
          <w:b/>
          <w:szCs w:val="24"/>
        </w:rPr>
        <w:t xml:space="preserve">(f) </w:t>
      </w:r>
      <w:r w:rsidR="005E2AB0">
        <w:rPr>
          <w:rFonts w:ascii="Times New Roman" w:hAnsi="Times New Roman"/>
          <w:b/>
          <w:szCs w:val="24"/>
        </w:rPr>
        <w:t xml:space="preserve">20 </w:t>
      </w:r>
      <w:r w:rsidRPr="00935871">
        <w:rPr>
          <w:rFonts w:ascii="Times New Roman" w:hAnsi="Times New Roman"/>
          <w:b/>
          <w:szCs w:val="24"/>
        </w:rPr>
        <w:t>(i)</w:t>
      </w:r>
      <w:r w:rsidR="005E2AB0">
        <w:rPr>
          <w:rFonts w:ascii="Times New Roman" w:hAnsi="Times New Roman"/>
          <w:b/>
          <w:szCs w:val="24"/>
        </w:rPr>
        <w:t>-</w:t>
      </w:r>
      <w:r w:rsidRPr="00935871">
        <w:rPr>
          <w:rFonts w:ascii="Times New Roman" w:hAnsi="Times New Roman"/>
          <w:b/>
          <w:szCs w:val="24"/>
        </w:rPr>
        <w:t>(m)</w:t>
      </w:r>
      <w:r w:rsidR="00D3402A">
        <w:rPr>
          <w:rFonts w:ascii="Times New Roman" w:hAnsi="Times New Roman"/>
          <w:b/>
          <w:szCs w:val="24"/>
        </w:rPr>
        <w:t>,</w:t>
      </w:r>
      <w:r w:rsidRPr="00935871">
        <w:rPr>
          <w:rFonts w:ascii="Times New Roman" w:hAnsi="Times New Roman"/>
          <w:b/>
          <w:szCs w:val="24"/>
        </w:rPr>
        <w:t xml:space="preserve"> and 21</w:t>
      </w:r>
      <w:r w:rsidRPr="00935871">
        <w:rPr>
          <w:rFonts w:ascii="Times New Roman" w:hAnsi="Times New Roman"/>
          <w:szCs w:val="24"/>
        </w:rPr>
        <w:t>)</w:t>
      </w:r>
      <w:r w:rsidRPr="00212FE8">
        <w:rPr>
          <w:rFonts w:ascii="Times New Roman" w:hAnsi="Times New Roman"/>
          <w:szCs w:val="24"/>
        </w:rPr>
        <w:t>.</w:t>
      </w:r>
    </w:p>
    <w:p w:rsidR="0029784F" w:rsidRDefault="0029784F" w:rsidP="0029784F">
      <w:pPr>
        <w:widowControl w:val="0"/>
        <w:spacing w:after="120"/>
        <w:ind w:right="-28"/>
        <w:rPr>
          <w:rFonts w:ascii="Times New Roman" w:hAnsi="Times New Roman"/>
          <w:szCs w:val="24"/>
        </w:rPr>
      </w:pPr>
      <w:r w:rsidRPr="00212FE8">
        <w:rPr>
          <w:rFonts w:ascii="Times New Roman" w:hAnsi="Times New Roman"/>
          <w:szCs w:val="24"/>
        </w:rPr>
        <w:t xml:space="preserve">The resolution considers that a robust </w:t>
      </w:r>
      <w:r>
        <w:rPr>
          <w:rFonts w:ascii="Times New Roman" w:hAnsi="Times New Roman"/>
          <w:szCs w:val="24"/>
        </w:rPr>
        <w:t xml:space="preserve">and ambitious </w:t>
      </w:r>
      <w:r w:rsidRPr="00212FE8">
        <w:rPr>
          <w:rFonts w:ascii="Times New Roman" w:hAnsi="Times New Roman"/>
          <w:szCs w:val="24"/>
        </w:rPr>
        <w:t xml:space="preserve">trade and sustainable development chapter is an indispensable part of the FTA, </w:t>
      </w:r>
      <w:r>
        <w:rPr>
          <w:rFonts w:ascii="Times New Roman" w:hAnsi="Times New Roman"/>
          <w:szCs w:val="24"/>
        </w:rPr>
        <w:t>that</w:t>
      </w:r>
      <w:r w:rsidRPr="00212FE8">
        <w:rPr>
          <w:rFonts w:ascii="Times New Roman" w:hAnsi="Times New Roman"/>
          <w:szCs w:val="24"/>
        </w:rPr>
        <w:t xml:space="preserve"> the FTA</w:t>
      </w:r>
      <w:r>
        <w:rPr>
          <w:rFonts w:ascii="Times New Roman" w:hAnsi="Times New Roman"/>
          <w:szCs w:val="24"/>
        </w:rPr>
        <w:t xml:space="preserve"> should enable appropriate participation</w:t>
      </w:r>
      <w:r w:rsidRPr="00212FE8">
        <w:rPr>
          <w:rFonts w:ascii="Times New Roman" w:hAnsi="Times New Roman"/>
          <w:szCs w:val="24"/>
        </w:rPr>
        <w:t xml:space="preserve"> </w:t>
      </w:r>
      <w:r>
        <w:rPr>
          <w:rFonts w:ascii="Times New Roman" w:hAnsi="Times New Roman"/>
          <w:szCs w:val="24"/>
        </w:rPr>
        <w:t xml:space="preserve">of social partners and civil society, and that it should also promote corporate social responsibility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 xml:space="preserve">aragraphs15, 18, 19, 20 (g) and </w:t>
      </w:r>
      <w:r w:rsidR="005E2AB0">
        <w:rPr>
          <w:rFonts w:ascii="Times New Roman" w:hAnsi="Times New Roman"/>
          <w:b/>
          <w:szCs w:val="24"/>
        </w:rPr>
        <w:t xml:space="preserve">20 </w:t>
      </w:r>
      <w:r w:rsidRPr="00935871">
        <w:rPr>
          <w:rFonts w:ascii="Times New Roman" w:hAnsi="Times New Roman"/>
          <w:b/>
          <w:szCs w:val="24"/>
        </w:rPr>
        <w:t>(h)</w:t>
      </w:r>
      <w:r w:rsidRPr="00935871">
        <w:rPr>
          <w:rFonts w:ascii="Times New Roman" w:hAnsi="Times New Roman"/>
          <w:szCs w:val="24"/>
        </w:rPr>
        <w:t>)</w:t>
      </w:r>
      <w:r w:rsidRPr="00212FE8">
        <w:rPr>
          <w:rFonts w:ascii="Times New Roman" w:hAnsi="Times New Roman"/>
          <w:szCs w:val="24"/>
        </w:rPr>
        <w:t>.</w:t>
      </w:r>
      <w:r w:rsidRPr="0036467C">
        <w:rPr>
          <w:rFonts w:ascii="Times New Roman" w:hAnsi="Times New Roman"/>
          <w:szCs w:val="24"/>
        </w:rPr>
        <w:t xml:space="preserve"> </w:t>
      </w:r>
      <w:r>
        <w:rPr>
          <w:rFonts w:ascii="Times New Roman" w:hAnsi="Times New Roman"/>
          <w:szCs w:val="24"/>
        </w:rPr>
        <w:t xml:space="preserve">The resolution also considers that the FTA is to address gender issues, the fight against tax avoidance and </w:t>
      </w:r>
      <w:r>
        <w:rPr>
          <w:rFonts w:ascii="Times New Roman" w:hAnsi="Times New Roman"/>
          <w:szCs w:val="24"/>
        </w:rPr>
        <w:lastRenderedPageBreak/>
        <w:t xml:space="preserve">corruption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aragraphs 14 and 15</w:t>
      </w:r>
      <w:r w:rsidRPr="00935871">
        <w:rPr>
          <w:rFonts w:ascii="Times New Roman" w:hAnsi="Times New Roman"/>
          <w:szCs w:val="24"/>
        </w:rPr>
        <w:t>)</w:t>
      </w:r>
      <w:r>
        <w:rPr>
          <w:rFonts w:ascii="Times New Roman" w:hAnsi="Times New Roman"/>
          <w:szCs w:val="24"/>
        </w:rPr>
        <w:t>.</w:t>
      </w:r>
    </w:p>
    <w:p w:rsidR="0029784F" w:rsidRPr="00212FE8" w:rsidRDefault="0029784F" w:rsidP="0029784F">
      <w:pPr>
        <w:widowControl w:val="0"/>
        <w:spacing w:after="120"/>
        <w:ind w:right="-28"/>
        <w:rPr>
          <w:rFonts w:ascii="Times New Roman" w:hAnsi="Times New Roman"/>
          <w:szCs w:val="24"/>
        </w:rPr>
      </w:pPr>
      <w:r>
        <w:rPr>
          <w:rFonts w:ascii="Times New Roman" w:hAnsi="Times New Roman"/>
          <w:szCs w:val="24"/>
        </w:rPr>
        <w:t>The resolution refers to the Opinion of the Court of Justice of the EU (CJEU) 2/15 of 16</w:t>
      </w:r>
      <w:r w:rsidR="005E2AB0">
        <w:rPr>
          <w:rFonts w:ascii="Times New Roman" w:hAnsi="Times New Roman"/>
          <w:szCs w:val="24"/>
        </w:rPr>
        <w:t> </w:t>
      </w:r>
      <w:r>
        <w:rPr>
          <w:rFonts w:ascii="Times New Roman" w:hAnsi="Times New Roman"/>
          <w:szCs w:val="24"/>
        </w:rPr>
        <w:t>May</w:t>
      </w:r>
      <w:r w:rsidR="005E2AB0">
        <w:rPr>
          <w:rFonts w:ascii="Times New Roman" w:hAnsi="Times New Roman"/>
          <w:szCs w:val="24"/>
        </w:rPr>
        <w:t> </w:t>
      </w:r>
      <w:r>
        <w:rPr>
          <w:rFonts w:ascii="Times New Roman" w:hAnsi="Times New Roman"/>
          <w:szCs w:val="24"/>
        </w:rPr>
        <w:t>2017 on the EU-Singapore FTA and distribution of competences, and calls for clearly distinguishing between an FTA,</w:t>
      </w:r>
      <w:r w:rsidRPr="00877C0B">
        <w:rPr>
          <w:rFonts w:ascii="Times New Roman" w:hAnsi="Times New Roman"/>
          <w:szCs w:val="24"/>
        </w:rPr>
        <w:t xml:space="preserve"> </w:t>
      </w:r>
      <w:r>
        <w:rPr>
          <w:rFonts w:ascii="Times New Roman" w:hAnsi="Times New Roman"/>
          <w:szCs w:val="24"/>
        </w:rPr>
        <w:t xml:space="preserve">which is the EU's exclusive competence including trade and liberalisation of foreign direct investment, and a potential second agreement which covers subjects whose competence are shared with Member States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aragraphs 10 and 11</w:t>
      </w:r>
      <w:r w:rsidRPr="00935871">
        <w:rPr>
          <w:rFonts w:ascii="Times New Roman" w:hAnsi="Times New Roman"/>
          <w:szCs w:val="24"/>
        </w:rPr>
        <w:t>)</w:t>
      </w:r>
      <w:r>
        <w:rPr>
          <w:rFonts w:ascii="Times New Roman" w:hAnsi="Times New Roman"/>
          <w:szCs w:val="24"/>
        </w:rPr>
        <w:t>.</w:t>
      </w:r>
    </w:p>
    <w:p w:rsidR="0029784F" w:rsidRDefault="0029784F" w:rsidP="0029784F">
      <w:pPr>
        <w:widowControl w:val="0"/>
        <w:spacing w:after="120"/>
        <w:ind w:right="-28"/>
        <w:rPr>
          <w:rFonts w:ascii="Times New Roman" w:hAnsi="Times New Roman"/>
          <w:szCs w:val="24"/>
        </w:rPr>
      </w:pPr>
      <w:r w:rsidRPr="00491F8A">
        <w:rPr>
          <w:rFonts w:ascii="Times New Roman" w:hAnsi="Times New Roman"/>
          <w:szCs w:val="24"/>
        </w:rPr>
        <w:t>The Commission take</w:t>
      </w:r>
      <w:r w:rsidR="005E2AB0">
        <w:rPr>
          <w:rFonts w:ascii="Times New Roman" w:hAnsi="Times New Roman"/>
          <w:szCs w:val="24"/>
        </w:rPr>
        <w:t>s</w:t>
      </w:r>
      <w:r w:rsidRPr="00491F8A">
        <w:rPr>
          <w:rFonts w:ascii="Times New Roman" w:hAnsi="Times New Roman"/>
          <w:szCs w:val="24"/>
        </w:rPr>
        <w:t xml:space="preserve"> note of the European Parliament</w:t>
      </w:r>
      <w:r>
        <w:rPr>
          <w:rFonts w:ascii="Times New Roman" w:hAnsi="Times New Roman"/>
          <w:szCs w:val="24"/>
        </w:rPr>
        <w:t xml:space="preserve">'s view regarding its role in the FTA process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aragraphs 23, 24 and 25</w:t>
      </w:r>
      <w:r w:rsidRPr="00935871">
        <w:rPr>
          <w:rFonts w:ascii="Times New Roman" w:hAnsi="Times New Roman"/>
          <w:szCs w:val="24"/>
        </w:rPr>
        <w:t>)</w:t>
      </w:r>
      <w:r>
        <w:rPr>
          <w:rFonts w:ascii="Times New Roman" w:hAnsi="Times New Roman"/>
          <w:szCs w:val="24"/>
        </w:rPr>
        <w:t xml:space="preserve"> as well as its request to conduct the negotiations transparently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 12</w:t>
      </w:r>
      <w:r w:rsidRPr="00935871">
        <w:rPr>
          <w:rFonts w:ascii="Times New Roman" w:hAnsi="Times New Roman"/>
          <w:szCs w:val="24"/>
        </w:rPr>
        <w:t>).</w:t>
      </w:r>
    </w:p>
    <w:p w:rsidR="0029784F" w:rsidRDefault="0029784F" w:rsidP="00935871">
      <w:pPr>
        <w:widowControl w:val="0"/>
        <w:spacing w:before="240"/>
        <w:ind w:left="567" w:right="-28" w:hanging="567"/>
        <w:rPr>
          <w:rFonts w:ascii="Times New Roman" w:hAnsi="Times New Roman"/>
          <w:b/>
          <w:szCs w:val="24"/>
        </w:rPr>
      </w:pPr>
      <w:r w:rsidRPr="00C33439">
        <w:rPr>
          <w:rFonts w:ascii="Times New Roman" w:hAnsi="Times New Roman"/>
          <w:b/>
          <w:szCs w:val="24"/>
        </w:rPr>
        <w:t>7.</w:t>
      </w:r>
      <w:r w:rsidRPr="00C33439">
        <w:rPr>
          <w:rFonts w:ascii="Times New Roman" w:hAnsi="Times New Roman"/>
          <w:b/>
          <w:szCs w:val="24"/>
        </w:rPr>
        <w:tab/>
        <w:t>Response to requests and overview of action taken, or intended to be taken, by the Commission:</w:t>
      </w:r>
    </w:p>
    <w:p w:rsidR="0029784F" w:rsidRDefault="0029784F" w:rsidP="0029784F">
      <w:pPr>
        <w:widowControl w:val="0"/>
        <w:spacing w:after="120"/>
        <w:rPr>
          <w:rFonts w:ascii="Times New Roman" w:hAnsi="Times New Roman"/>
          <w:szCs w:val="24"/>
        </w:rPr>
      </w:pPr>
      <w:r w:rsidRPr="0010641F">
        <w:rPr>
          <w:rFonts w:ascii="Times New Roman" w:hAnsi="Times New Roman"/>
          <w:szCs w:val="24"/>
        </w:rPr>
        <w:t>The</w:t>
      </w:r>
      <w:r>
        <w:rPr>
          <w:rFonts w:ascii="Times New Roman" w:hAnsi="Times New Roman"/>
          <w:szCs w:val="24"/>
        </w:rPr>
        <w:t xml:space="preserve"> Commission notes that </w:t>
      </w:r>
      <w:r w:rsidRPr="0010641F">
        <w:rPr>
          <w:rFonts w:ascii="Times New Roman" w:hAnsi="Times New Roman"/>
          <w:szCs w:val="24"/>
        </w:rPr>
        <w:t xml:space="preserve">following the Opinion of the Court of Justice on the </w:t>
      </w:r>
      <w:r>
        <w:rPr>
          <w:rFonts w:ascii="Times New Roman" w:hAnsi="Times New Roman"/>
          <w:szCs w:val="24"/>
        </w:rPr>
        <w:t>EU-</w:t>
      </w:r>
      <w:r w:rsidRPr="0010641F">
        <w:rPr>
          <w:rFonts w:ascii="Times New Roman" w:hAnsi="Times New Roman"/>
          <w:szCs w:val="24"/>
        </w:rPr>
        <w:t xml:space="preserve">Singapore FTA, </w:t>
      </w:r>
      <w:r>
        <w:rPr>
          <w:rFonts w:ascii="Times New Roman" w:hAnsi="Times New Roman"/>
          <w:szCs w:val="24"/>
        </w:rPr>
        <w:t xml:space="preserve">the Commission and the Council </w:t>
      </w:r>
      <w:r w:rsidRPr="0010641F">
        <w:rPr>
          <w:rFonts w:ascii="Times New Roman" w:hAnsi="Times New Roman"/>
          <w:szCs w:val="24"/>
        </w:rPr>
        <w:t>are engaged in a comprehensive discussion on the future architecture of EU trade and investment agreements</w:t>
      </w:r>
      <w:r>
        <w:rPr>
          <w:rFonts w:ascii="Times New Roman" w:hAnsi="Times New Roman"/>
          <w:szCs w:val="24"/>
        </w:rPr>
        <w:t xml:space="preserve">. </w:t>
      </w:r>
      <w:r w:rsidRPr="00FF539D">
        <w:rPr>
          <w:rFonts w:ascii="Times New Roman" w:hAnsi="Times New Roman"/>
          <w:szCs w:val="24"/>
        </w:rPr>
        <w:t>The Commission welcomes and shares the Parliament</w:t>
      </w:r>
      <w:r w:rsidR="005E2AB0">
        <w:rPr>
          <w:rFonts w:ascii="Times New Roman" w:hAnsi="Times New Roman"/>
          <w:szCs w:val="24"/>
        </w:rPr>
        <w:t>'</w:t>
      </w:r>
      <w:r w:rsidRPr="00FF539D">
        <w:rPr>
          <w:rFonts w:ascii="Times New Roman" w:hAnsi="Times New Roman"/>
          <w:szCs w:val="24"/>
        </w:rPr>
        <w:t xml:space="preserve">s view </w:t>
      </w:r>
      <w:r>
        <w:rPr>
          <w:rFonts w:ascii="Times New Roman" w:hAnsi="Times New Roman"/>
          <w:szCs w:val="24"/>
        </w:rPr>
        <w:t xml:space="preserve">that there should be a </w:t>
      </w:r>
      <w:r w:rsidRPr="00FF539D">
        <w:rPr>
          <w:rFonts w:ascii="Times New Roman" w:hAnsi="Times New Roman"/>
          <w:szCs w:val="24"/>
        </w:rPr>
        <w:t>clear distin</w:t>
      </w:r>
      <w:r>
        <w:rPr>
          <w:rFonts w:ascii="Times New Roman" w:hAnsi="Times New Roman"/>
          <w:szCs w:val="24"/>
        </w:rPr>
        <w:t>ction</w:t>
      </w:r>
      <w:r w:rsidRPr="00FF539D">
        <w:rPr>
          <w:rFonts w:ascii="Times New Roman" w:hAnsi="Times New Roman"/>
          <w:szCs w:val="24"/>
        </w:rPr>
        <w:t xml:space="preserve"> between two agreements: </w:t>
      </w:r>
      <w:r w:rsidRPr="00034990">
        <w:rPr>
          <w:rFonts w:ascii="Times New Roman" w:hAnsi="Times New Roman"/>
          <w:szCs w:val="24"/>
        </w:rPr>
        <w:t>an FTA covering trade and foreign direct investment liberalisation, and</w:t>
      </w:r>
      <w:r>
        <w:rPr>
          <w:rFonts w:ascii="Times New Roman" w:hAnsi="Times New Roman"/>
          <w:szCs w:val="24"/>
        </w:rPr>
        <w:t xml:space="preserve"> potentially </w:t>
      </w:r>
      <w:r w:rsidRPr="00034990">
        <w:rPr>
          <w:rFonts w:ascii="Times New Roman" w:hAnsi="Times New Roman"/>
          <w:szCs w:val="24"/>
        </w:rPr>
        <w:t>a</w:t>
      </w:r>
      <w:r>
        <w:rPr>
          <w:rFonts w:ascii="Times New Roman" w:hAnsi="Times New Roman"/>
          <w:szCs w:val="24"/>
        </w:rPr>
        <w:t>n</w:t>
      </w:r>
      <w:r w:rsidRPr="00034990">
        <w:rPr>
          <w:rFonts w:ascii="Times New Roman" w:hAnsi="Times New Roman"/>
          <w:szCs w:val="24"/>
        </w:rPr>
        <w:t xml:space="preserve"> </w:t>
      </w:r>
      <w:r>
        <w:rPr>
          <w:rFonts w:ascii="Times New Roman" w:hAnsi="Times New Roman"/>
          <w:szCs w:val="24"/>
        </w:rPr>
        <w:t>investment agreement</w:t>
      </w:r>
      <w:r w:rsidRPr="00034990">
        <w:rPr>
          <w:rFonts w:ascii="Times New Roman" w:hAnsi="Times New Roman"/>
          <w:szCs w:val="24"/>
        </w:rPr>
        <w:t xml:space="preserve"> covering investment protection and its related enforcement tools, including the Investment Court System (ICS)</w:t>
      </w:r>
      <w:r>
        <w:rPr>
          <w:rFonts w:ascii="Times New Roman" w:hAnsi="Times New Roman"/>
          <w:szCs w:val="24"/>
        </w:rPr>
        <w:t xml:space="preserve">. The Commission recommendation to the Council for the negotiating </w:t>
      </w:r>
      <w:r w:rsidR="005B5E17">
        <w:rPr>
          <w:rFonts w:ascii="Times New Roman" w:hAnsi="Times New Roman"/>
          <w:szCs w:val="24"/>
        </w:rPr>
        <w:t>D</w:t>
      </w:r>
      <w:r>
        <w:rPr>
          <w:rFonts w:ascii="Times New Roman" w:hAnsi="Times New Roman"/>
          <w:szCs w:val="24"/>
        </w:rPr>
        <w:t>irectives for an FTA with New Zealand (</w:t>
      </w:r>
      <w:proofErr w:type="gramStart"/>
      <w:r>
        <w:rPr>
          <w:rFonts w:ascii="Times New Roman" w:hAnsi="Times New Roman"/>
          <w:szCs w:val="24"/>
        </w:rPr>
        <w:t>COM(</w:t>
      </w:r>
      <w:proofErr w:type="gramEnd"/>
      <w:r>
        <w:rPr>
          <w:rFonts w:ascii="Times New Roman" w:hAnsi="Times New Roman"/>
          <w:szCs w:val="24"/>
        </w:rPr>
        <w:t xml:space="preserve">2017) 469 final of 13.9.2017) covers the trade and foreign direct investment liberalisation elements. The Commission </w:t>
      </w:r>
      <w:r w:rsidRPr="000D27E1">
        <w:rPr>
          <w:rFonts w:ascii="Times New Roman" w:hAnsi="Times New Roman"/>
          <w:szCs w:val="24"/>
        </w:rPr>
        <w:t xml:space="preserve">may </w:t>
      </w:r>
      <w:r>
        <w:rPr>
          <w:rFonts w:ascii="Times New Roman" w:hAnsi="Times New Roman"/>
          <w:szCs w:val="24"/>
        </w:rPr>
        <w:t>make a</w:t>
      </w:r>
      <w:r w:rsidRPr="000D27E1">
        <w:rPr>
          <w:rFonts w:ascii="Times New Roman" w:hAnsi="Times New Roman"/>
          <w:szCs w:val="24"/>
        </w:rPr>
        <w:t xml:space="preserve"> new recommendation for </w:t>
      </w:r>
      <w:r>
        <w:rPr>
          <w:rFonts w:ascii="Times New Roman" w:hAnsi="Times New Roman"/>
          <w:szCs w:val="24"/>
        </w:rPr>
        <w:t xml:space="preserve">an agreement on investment protection </w:t>
      </w:r>
      <w:r w:rsidRPr="000D27E1">
        <w:rPr>
          <w:rFonts w:ascii="Times New Roman" w:hAnsi="Times New Roman"/>
          <w:szCs w:val="24"/>
        </w:rPr>
        <w:t xml:space="preserve">with </w:t>
      </w:r>
      <w:r>
        <w:rPr>
          <w:rFonts w:ascii="Times New Roman" w:hAnsi="Times New Roman"/>
          <w:szCs w:val="24"/>
        </w:rPr>
        <w:t>New Zealand</w:t>
      </w:r>
      <w:r w:rsidRPr="000D27E1">
        <w:rPr>
          <w:rFonts w:ascii="Times New Roman" w:hAnsi="Times New Roman"/>
          <w:szCs w:val="24"/>
        </w:rPr>
        <w:t xml:space="preserve"> once there is a greater co</w:t>
      </w:r>
      <w:r>
        <w:rPr>
          <w:rFonts w:ascii="Times New Roman" w:hAnsi="Times New Roman"/>
          <w:szCs w:val="24"/>
        </w:rPr>
        <w:t xml:space="preserve">nsensus on the new architecture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 11</w:t>
      </w:r>
      <w:r w:rsidRPr="00935871">
        <w:rPr>
          <w:rFonts w:ascii="Times New Roman" w:hAnsi="Times New Roman"/>
          <w:szCs w:val="24"/>
        </w:rPr>
        <w:t>).</w:t>
      </w:r>
      <w:r>
        <w:rPr>
          <w:rFonts w:ascii="Times New Roman" w:hAnsi="Times New Roman"/>
          <w:szCs w:val="24"/>
        </w:rPr>
        <w:t xml:space="preserve"> The Commission will fully respect the distribution of competences between the EU and its Member States </w:t>
      </w:r>
      <w:r w:rsidRPr="00935871">
        <w:rPr>
          <w:rFonts w:ascii="Times New Roman" w:hAnsi="Times New Roman"/>
          <w:szCs w:val="24"/>
        </w:rPr>
        <w:t>(</w:t>
      </w:r>
      <w:r w:rsidR="003D3828" w:rsidRPr="00935871">
        <w:rPr>
          <w:rFonts w:ascii="Times New Roman" w:hAnsi="Times New Roman"/>
          <w:b/>
          <w:szCs w:val="24"/>
        </w:rPr>
        <w:t>P</w:t>
      </w:r>
      <w:r w:rsidRPr="00935871">
        <w:rPr>
          <w:rFonts w:ascii="Times New Roman" w:hAnsi="Times New Roman"/>
          <w:b/>
          <w:szCs w:val="24"/>
        </w:rPr>
        <w:t>aragraph 12</w:t>
      </w:r>
      <w:r w:rsidRPr="00935871">
        <w:rPr>
          <w:rFonts w:ascii="Times New Roman" w:hAnsi="Times New Roman"/>
          <w:szCs w:val="24"/>
        </w:rPr>
        <w:t>)</w:t>
      </w:r>
      <w:r>
        <w:rPr>
          <w:rFonts w:ascii="Times New Roman" w:hAnsi="Times New Roman"/>
          <w:szCs w:val="24"/>
        </w:rPr>
        <w:t>.</w:t>
      </w:r>
    </w:p>
    <w:p w:rsidR="0029784F" w:rsidRDefault="0029784F" w:rsidP="0029784F">
      <w:pPr>
        <w:widowControl w:val="0"/>
        <w:spacing w:after="120"/>
        <w:rPr>
          <w:rFonts w:ascii="Times New Roman" w:eastAsia="Calibri" w:hAnsi="Times New Roman"/>
          <w:szCs w:val="24"/>
          <w:lang w:eastAsia="en-US"/>
        </w:rPr>
      </w:pPr>
      <w:r w:rsidRPr="000D27E1">
        <w:rPr>
          <w:rFonts w:ascii="Times New Roman" w:hAnsi="Times New Roman"/>
          <w:szCs w:val="24"/>
        </w:rPr>
        <w:t xml:space="preserve">The Commission </w:t>
      </w:r>
      <w:r w:rsidRPr="00DB3946">
        <w:rPr>
          <w:rFonts w:ascii="Times New Roman" w:eastAsia="Calibri" w:hAnsi="Times New Roman"/>
          <w:szCs w:val="24"/>
          <w:lang w:eastAsia="en-US"/>
        </w:rPr>
        <w:t xml:space="preserve">fully shares the recommendation of the European Parliament to ensure the transparency of the negotiations. Member States and the European Parliament will be </w:t>
      </w:r>
      <w:r>
        <w:rPr>
          <w:rFonts w:ascii="Times New Roman" w:eastAsia="Calibri" w:hAnsi="Times New Roman"/>
          <w:szCs w:val="24"/>
          <w:lang w:eastAsia="en-US"/>
        </w:rPr>
        <w:t xml:space="preserve">regularly </w:t>
      </w:r>
      <w:r w:rsidRPr="00DB3946">
        <w:rPr>
          <w:rFonts w:ascii="Times New Roman" w:eastAsia="Calibri" w:hAnsi="Times New Roman"/>
          <w:szCs w:val="24"/>
          <w:lang w:eastAsia="en-US"/>
        </w:rPr>
        <w:t xml:space="preserve">informed. Meetings to discuss the negotiations will </w:t>
      </w:r>
      <w:r w:rsidRPr="000D27E1">
        <w:rPr>
          <w:rFonts w:ascii="Times New Roman" w:eastAsia="Calibri" w:hAnsi="Times New Roman"/>
          <w:szCs w:val="24"/>
          <w:lang w:eastAsia="en-US"/>
        </w:rPr>
        <w:t>be held with main stakeholders</w:t>
      </w:r>
      <w:r w:rsidRPr="00DB3946">
        <w:rPr>
          <w:rFonts w:ascii="Times New Roman" w:eastAsia="Calibri" w:hAnsi="Times New Roman"/>
          <w:szCs w:val="24"/>
          <w:lang w:eastAsia="en-US"/>
        </w:rPr>
        <w:t xml:space="preserve">. The Commission </w:t>
      </w:r>
      <w:r>
        <w:rPr>
          <w:rFonts w:ascii="Times New Roman" w:eastAsia="Calibri" w:hAnsi="Times New Roman"/>
          <w:szCs w:val="24"/>
          <w:lang w:eastAsia="en-US"/>
        </w:rPr>
        <w:t xml:space="preserve">has published its recommendation and draft negotiating </w:t>
      </w:r>
      <w:r w:rsidR="005B5E17">
        <w:rPr>
          <w:rFonts w:ascii="Times New Roman" w:eastAsia="Calibri" w:hAnsi="Times New Roman"/>
          <w:szCs w:val="24"/>
          <w:lang w:eastAsia="en-US"/>
        </w:rPr>
        <w:t>D</w:t>
      </w:r>
      <w:r>
        <w:rPr>
          <w:rFonts w:ascii="Times New Roman" w:eastAsia="Calibri" w:hAnsi="Times New Roman"/>
          <w:szCs w:val="24"/>
          <w:lang w:eastAsia="en-US"/>
        </w:rPr>
        <w:t xml:space="preserve">irectives and invited the Council to do the same once they are adopted. The Commission </w:t>
      </w:r>
      <w:r w:rsidRPr="00DB3946">
        <w:rPr>
          <w:rFonts w:ascii="Times New Roman" w:eastAsia="Calibri" w:hAnsi="Times New Roman"/>
          <w:szCs w:val="24"/>
          <w:lang w:eastAsia="en-US"/>
        </w:rPr>
        <w:t xml:space="preserve">will make, as in other negotiations, </w:t>
      </w:r>
      <w:hyperlink r:id="rId8" w:history="1">
        <w:r w:rsidRPr="00DB3946">
          <w:rPr>
            <w:rFonts w:ascii="Times New Roman" w:eastAsia="Calibri" w:hAnsi="Times New Roman"/>
            <w:szCs w:val="24"/>
            <w:lang w:eastAsia="en-US"/>
          </w:rPr>
          <w:t>negotiating documents and reports of the negotiating rounds</w:t>
        </w:r>
      </w:hyperlink>
      <w:r w:rsidRPr="00DB3946">
        <w:rPr>
          <w:rFonts w:ascii="Times New Roman" w:eastAsia="Calibri" w:hAnsi="Times New Roman"/>
          <w:szCs w:val="24"/>
          <w:lang w:eastAsia="en-US"/>
        </w:rPr>
        <w:t xml:space="preserve"> available online. The Commission is and will remain committed to achieving as much transparency as possible</w:t>
      </w:r>
      <w:r>
        <w:rPr>
          <w:rFonts w:ascii="Times New Roman" w:eastAsia="Calibri" w:hAnsi="Times New Roman"/>
          <w:szCs w:val="24"/>
          <w:lang w:eastAsia="en-US"/>
        </w:rPr>
        <w:t xml:space="preserve">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aragraphs 13 and 23</w:t>
      </w:r>
      <w:r w:rsidRPr="00935871">
        <w:rPr>
          <w:rFonts w:ascii="Times New Roman" w:eastAsia="Calibri" w:hAnsi="Times New Roman"/>
          <w:szCs w:val="24"/>
          <w:lang w:eastAsia="en-US"/>
        </w:rPr>
        <w:t>)</w:t>
      </w:r>
      <w:r>
        <w:rPr>
          <w:rFonts w:ascii="Times New Roman" w:eastAsia="Calibri" w:hAnsi="Times New Roman"/>
          <w:szCs w:val="24"/>
          <w:lang w:eastAsia="en-US"/>
        </w:rPr>
        <w:t>.</w:t>
      </w:r>
    </w:p>
    <w:p w:rsidR="0029784F" w:rsidRDefault="0029784F" w:rsidP="0029784F">
      <w:pPr>
        <w:widowControl w:val="0"/>
        <w:spacing w:after="120"/>
        <w:rPr>
          <w:rFonts w:ascii="Times New Roman" w:eastAsia="Calibri" w:hAnsi="Times New Roman"/>
          <w:szCs w:val="24"/>
          <w:lang w:eastAsia="en-US"/>
        </w:rPr>
      </w:pPr>
      <w:r>
        <w:rPr>
          <w:rFonts w:ascii="Times New Roman" w:eastAsia="Calibri" w:hAnsi="Times New Roman"/>
          <w:szCs w:val="24"/>
          <w:lang w:eastAsia="en-US"/>
        </w:rPr>
        <w:t xml:space="preserve">The Commission will follow the interinstitutional agreement and, as relevant, </w:t>
      </w:r>
      <w:proofErr w:type="gramStart"/>
      <w:r>
        <w:rPr>
          <w:rFonts w:ascii="Times New Roman" w:eastAsia="Calibri" w:hAnsi="Times New Roman"/>
          <w:szCs w:val="24"/>
          <w:lang w:eastAsia="en-US"/>
        </w:rPr>
        <w:t>its</w:t>
      </w:r>
      <w:proofErr w:type="gramEnd"/>
      <w:r>
        <w:rPr>
          <w:rFonts w:ascii="Times New Roman" w:eastAsia="Calibri" w:hAnsi="Times New Roman"/>
          <w:szCs w:val="24"/>
          <w:lang w:eastAsia="en-US"/>
        </w:rPr>
        <w:t xml:space="preserve"> past practice regarding seeking the Parliament</w:t>
      </w:r>
      <w:r w:rsidR="00C473CE">
        <w:rPr>
          <w:rFonts w:ascii="Times New Roman" w:eastAsia="Calibri" w:hAnsi="Times New Roman"/>
          <w:szCs w:val="24"/>
          <w:lang w:eastAsia="en-US"/>
        </w:rPr>
        <w:t>'</w:t>
      </w:r>
      <w:r>
        <w:rPr>
          <w:rFonts w:ascii="Times New Roman" w:eastAsia="Calibri" w:hAnsi="Times New Roman"/>
          <w:szCs w:val="24"/>
          <w:lang w:eastAsia="en-US"/>
        </w:rPr>
        <w:t>s consent/</w:t>
      </w:r>
      <w:r w:rsidR="00151EAC">
        <w:rPr>
          <w:rFonts w:ascii="Times New Roman" w:eastAsia="Calibri" w:hAnsi="Times New Roman"/>
          <w:szCs w:val="24"/>
          <w:lang w:eastAsia="en-US"/>
        </w:rPr>
        <w:t xml:space="preserve"> </w:t>
      </w:r>
      <w:r>
        <w:rPr>
          <w:rFonts w:ascii="Times New Roman" w:eastAsia="Calibri" w:hAnsi="Times New Roman"/>
          <w:szCs w:val="24"/>
          <w:lang w:eastAsia="en-US"/>
        </w:rPr>
        <w:t xml:space="preserve">position before the application of the FTA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24</w:t>
      </w:r>
      <w:r w:rsidRPr="00935871">
        <w:rPr>
          <w:rFonts w:ascii="Times New Roman" w:eastAsia="Calibri" w:hAnsi="Times New Roman"/>
          <w:szCs w:val="24"/>
          <w:lang w:eastAsia="en-US"/>
        </w:rPr>
        <w:t>)</w:t>
      </w:r>
      <w:r>
        <w:rPr>
          <w:rFonts w:ascii="Times New Roman" w:eastAsia="Calibri" w:hAnsi="Times New Roman"/>
          <w:szCs w:val="24"/>
          <w:lang w:eastAsia="en-US"/>
        </w:rPr>
        <w:t>.</w:t>
      </w:r>
    </w:p>
    <w:p w:rsidR="0029784F" w:rsidRDefault="0029784F" w:rsidP="0029784F">
      <w:pPr>
        <w:widowControl w:val="0"/>
        <w:spacing w:after="120"/>
        <w:rPr>
          <w:rFonts w:ascii="Times New Roman" w:eastAsia="Calibri" w:hAnsi="Times New Roman"/>
          <w:szCs w:val="24"/>
          <w:lang w:eastAsia="en-US"/>
        </w:rPr>
      </w:pPr>
      <w:r w:rsidRPr="00A21435">
        <w:rPr>
          <w:rFonts w:ascii="Times New Roman" w:eastAsia="Calibri" w:hAnsi="Times New Roman"/>
          <w:szCs w:val="24"/>
          <w:lang w:eastAsia="en-US"/>
        </w:rPr>
        <w:t xml:space="preserve">The Commission has taken note of the detailed recommendations by the European Parliament which in their great majority refer to EU trade policy areas which are already subject to continuous constructive discussions and exchanges with the European Parliament. </w:t>
      </w:r>
      <w:r>
        <w:rPr>
          <w:rFonts w:ascii="Times New Roman" w:eastAsia="Calibri" w:hAnsi="Times New Roman"/>
          <w:szCs w:val="24"/>
          <w:lang w:eastAsia="en-US"/>
        </w:rPr>
        <w:t xml:space="preserve">The Commission agrees and is confident that the FTA with New Zealand will be truly advantageous to the EU's economy and that real, new market access opportunities should be provided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aragraphs 20 and 20 (a)</w:t>
      </w:r>
      <w:r w:rsidRPr="00935871">
        <w:rPr>
          <w:rFonts w:ascii="Times New Roman" w:eastAsia="Calibri" w:hAnsi="Times New Roman"/>
          <w:szCs w:val="24"/>
          <w:lang w:eastAsia="en-US"/>
        </w:rPr>
        <w:t>)</w:t>
      </w:r>
      <w:r>
        <w:rPr>
          <w:rFonts w:ascii="Times New Roman" w:eastAsia="Calibri" w:hAnsi="Times New Roman"/>
          <w:szCs w:val="24"/>
          <w:lang w:eastAsia="en-US"/>
        </w:rPr>
        <w:t>. In particular:</w:t>
      </w:r>
    </w:p>
    <w:p w:rsidR="0029784F" w:rsidRDefault="0029784F" w:rsidP="0029784F">
      <w:pPr>
        <w:widowControl w:val="0"/>
        <w:spacing w:after="120"/>
        <w:rPr>
          <w:rFonts w:ascii="Times New Roman" w:eastAsia="Calibri" w:hAnsi="Times New Roman"/>
          <w:szCs w:val="24"/>
          <w:lang w:eastAsia="en-US"/>
        </w:rPr>
      </w:pPr>
      <w:r w:rsidRPr="00F62E9B">
        <w:rPr>
          <w:rFonts w:ascii="Times New Roman" w:eastAsia="Calibri" w:hAnsi="Times New Roman"/>
          <w:szCs w:val="24"/>
          <w:lang w:eastAsia="en-US"/>
        </w:rPr>
        <w:t xml:space="preserve">The Commission's impact assessment paid particular attention to sectors in European </w:t>
      </w:r>
      <w:r w:rsidRPr="00F62E9B">
        <w:rPr>
          <w:rFonts w:ascii="Times New Roman" w:eastAsia="Calibri" w:hAnsi="Times New Roman"/>
          <w:b/>
          <w:szCs w:val="24"/>
          <w:lang w:eastAsia="en-US"/>
        </w:rPr>
        <w:t xml:space="preserve">agriculture </w:t>
      </w:r>
      <w:r w:rsidRPr="00F62E9B">
        <w:rPr>
          <w:rFonts w:ascii="Times New Roman" w:eastAsia="Calibri" w:hAnsi="Times New Roman"/>
          <w:szCs w:val="24"/>
          <w:lang w:eastAsia="en-US"/>
        </w:rPr>
        <w:t xml:space="preserve">such </w:t>
      </w:r>
      <w:r w:rsidRPr="00524F46">
        <w:rPr>
          <w:rFonts w:ascii="Times New Roman" w:eastAsia="Calibri" w:hAnsi="Times New Roman"/>
          <w:szCs w:val="24"/>
          <w:lang w:eastAsia="en-US"/>
        </w:rPr>
        <w:t>as beef, sheep</w:t>
      </w:r>
      <w:r w:rsidR="006E203F">
        <w:rPr>
          <w:rFonts w:ascii="Times New Roman" w:eastAsia="Calibri" w:hAnsi="Times New Roman"/>
          <w:szCs w:val="24"/>
          <w:lang w:eastAsia="en-US"/>
        </w:rPr>
        <w:t xml:space="preserve"> </w:t>
      </w:r>
      <w:r w:rsidRPr="00524F46">
        <w:rPr>
          <w:rFonts w:ascii="Times New Roman" w:eastAsia="Calibri" w:hAnsi="Times New Roman"/>
          <w:szCs w:val="24"/>
          <w:lang w:eastAsia="en-US"/>
        </w:rPr>
        <w:t xml:space="preserve">meat </w:t>
      </w:r>
      <w:r w:rsidRPr="00374C1D">
        <w:rPr>
          <w:rFonts w:ascii="Times New Roman" w:eastAsia="Calibri" w:hAnsi="Times New Roman"/>
          <w:szCs w:val="24"/>
          <w:lang w:eastAsia="en-US"/>
        </w:rPr>
        <w:t xml:space="preserve">or </w:t>
      </w:r>
      <w:r>
        <w:rPr>
          <w:rFonts w:ascii="Times New Roman" w:eastAsia="Calibri" w:hAnsi="Times New Roman"/>
          <w:szCs w:val="24"/>
          <w:lang w:eastAsia="en-US"/>
        </w:rPr>
        <w:t>dairy</w:t>
      </w:r>
      <w:r w:rsidRPr="00F62E9B">
        <w:rPr>
          <w:rFonts w:ascii="Times New Roman" w:eastAsia="Calibri" w:hAnsi="Times New Roman"/>
          <w:szCs w:val="24"/>
          <w:lang w:eastAsia="en-US"/>
        </w:rPr>
        <w:t xml:space="preserve"> </w:t>
      </w:r>
      <w:proofErr w:type="gramStart"/>
      <w:r>
        <w:rPr>
          <w:rFonts w:ascii="Times New Roman" w:eastAsia="Calibri" w:hAnsi="Times New Roman"/>
          <w:szCs w:val="24"/>
          <w:lang w:eastAsia="en-US"/>
        </w:rPr>
        <w:t>that are</w:t>
      </w:r>
      <w:proofErr w:type="gramEnd"/>
      <w:r>
        <w:rPr>
          <w:rFonts w:ascii="Times New Roman" w:eastAsia="Calibri" w:hAnsi="Times New Roman"/>
          <w:szCs w:val="24"/>
          <w:lang w:eastAsia="en-US"/>
        </w:rPr>
        <w:t xml:space="preserve"> sensitive in the context of these FTA negotiations</w:t>
      </w:r>
      <w:r w:rsidRPr="00F62E9B">
        <w:rPr>
          <w:rFonts w:ascii="Times New Roman" w:eastAsia="Calibri" w:hAnsi="Times New Roman"/>
          <w:szCs w:val="24"/>
          <w:lang w:eastAsia="en-US"/>
        </w:rPr>
        <w:t xml:space="preserve">. The Commission </w:t>
      </w:r>
      <w:r>
        <w:rPr>
          <w:rFonts w:ascii="Times New Roman" w:eastAsia="Calibri" w:hAnsi="Times New Roman"/>
          <w:szCs w:val="24"/>
          <w:lang w:eastAsia="en-US"/>
        </w:rPr>
        <w:t xml:space="preserve">fully agrees </w:t>
      </w:r>
      <w:r w:rsidRPr="00F62E9B">
        <w:rPr>
          <w:rFonts w:ascii="Times New Roman" w:eastAsia="Calibri" w:hAnsi="Times New Roman"/>
          <w:szCs w:val="24"/>
          <w:lang w:eastAsia="en-US"/>
        </w:rPr>
        <w:t xml:space="preserve">that agricultural sensitivities must be taken into account, and </w:t>
      </w:r>
      <w:r>
        <w:rPr>
          <w:rFonts w:ascii="Times New Roman" w:eastAsia="Calibri" w:hAnsi="Times New Roman"/>
          <w:szCs w:val="24"/>
          <w:lang w:eastAsia="en-US"/>
        </w:rPr>
        <w:t xml:space="preserve">special treatment must be applied where appropriate. The specific treatment will be subject to negotiations, along with any possible bilateral safeguard mechanism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20 (k)</w:t>
      </w:r>
      <w:r w:rsidRPr="00935871">
        <w:rPr>
          <w:rFonts w:ascii="Times New Roman" w:eastAsia="Calibri" w:hAnsi="Times New Roman"/>
          <w:szCs w:val="24"/>
          <w:lang w:eastAsia="en-US"/>
        </w:rPr>
        <w:t>)</w:t>
      </w:r>
      <w:r>
        <w:rPr>
          <w:rFonts w:ascii="Times New Roman" w:eastAsia="Calibri" w:hAnsi="Times New Roman"/>
          <w:szCs w:val="24"/>
          <w:lang w:eastAsia="en-US"/>
        </w:rPr>
        <w:t>.</w:t>
      </w:r>
    </w:p>
    <w:p w:rsidR="0029784F" w:rsidRPr="00F62E9B" w:rsidRDefault="0029784F" w:rsidP="0029784F">
      <w:pPr>
        <w:widowControl w:val="0"/>
        <w:spacing w:after="120"/>
        <w:rPr>
          <w:rFonts w:ascii="Times New Roman" w:eastAsia="Calibri" w:hAnsi="Times New Roman"/>
          <w:szCs w:val="24"/>
          <w:lang w:eastAsia="en-US"/>
        </w:rPr>
      </w:pPr>
      <w:r w:rsidRPr="00F62E9B">
        <w:rPr>
          <w:rFonts w:ascii="Times New Roman" w:eastAsia="Calibri" w:hAnsi="Times New Roman"/>
          <w:szCs w:val="24"/>
          <w:lang w:eastAsia="en-US"/>
        </w:rPr>
        <w:t xml:space="preserve">The Commission has been promoting </w:t>
      </w:r>
      <w:r w:rsidRPr="001C6D07">
        <w:rPr>
          <w:rFonts w:ascii="Times New Roman" w:eastAsia="Calibri" w:hAnsi="Times New Roman"/>
          <w:b/>
          <w:szCs w:val="24"/>
          <w:lang w:eastAsia="en-US"/>
        </w:rPr>
        <w:t>animal welfare</w:t>
      </w:r>
      <w:r w:rsidRPr="00F62E9B">
        <w:rPr>
          <w:rFonts w:ascii="Times New Roman" w:eastAsia="Calibri" w:hAnsi="Times New Roman"/>
          <w:szCs w:val="24"/>
          <w:lang w:eastAsia="en-US"/>
        </w:rPr>
        <w:t xml:space="preserve"> issues at international level, seeking </w:t>
      </w:r>
      <w:r w:rsidRPr="00F62E9B">
        <w:rPr>
          <w:rFonts w:ascii="Times New Roman" w:eastAsia="Calibri" w:hAnsi="Times New Roman"/>
          <w:szCs w:val="24"/>
          <w:lang w:eastAsia="en-US"/>
        </w:rPr>
        <w:lastRenderedPageBreak/>
        <w:t xml:space="preserve">animal welfare standards and their implementation by all third countries. The Commission </w:t>
      </w:r>
      <w:r>
        <w:rPr>
          <w:rFonts w:ascii="Times New Roman" w:eastAsia="Calibri" w:hAnsi="Times New Roman"/>
          <w:szCs w:val="24"/>
          <w:lang w:eastAsia="en-US"/>
        </w:rPr>
        <w:t xml:space="preserve">intends to </w:t>
      </w:r>
      <w:r w:rsidRPr="00F62E9B">
        <w:rPr>
          <w:rFonts w:ascii="Times New Roman" w:eastAsia="Calibri" w:hAnsi="Times New Roman"/>
          <w:szCs w:val="24"/>
          <w:lang w:eastAsia="en-US"/>
        </w:rPr>
        <w:t xml:space="preserve">address cooperation as well as possible commitments on equivalence on animal welfare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17</w:t>
      </w:r>
      <w:r w:rsidRPr="00935871">
        <w:rPr>
          <w:rFonts w:ascii="Times New Roman" w:eastAsia="Calibri" w:hAnsi="Times New Roman"/>
          <w:szCs w:val="24"/>
          <w:lang w:eastAsia="en-US"/>
        </w:rPr>
        <w:t>)</w:t>
      </w:r>
      <w:r w:rsidRPr="00F62E9B">
        <w:rPr>
          <w:rFonts w:ascii="Times New Roman" w:eastAsia="Calibri" w:hAnsi="Times New Roman"/>
          <w:szCs w:val="24"/>
          <w:lang w:eastAsia="en-US"/>
        </w:rPr>
        <w:t>.</w:t>
      </w:r>
    </w:p>
    <w:p w:rsidR="0029784F" w:rsidRPr="009655BB" w:rsidRDefault="0029784F" w:rsidP="0029784F">
      <w:pPr>
        <w:widowControl w:val="0"/>
        <w:spacing w:after="120"/>
        <w:rPr>
          <w:rFonts w:ascii="Times New Roman" w:eastAsia="Calibri" w:hAnsi="Times New Roman"/>
          <w:szCs w:val="24"/>
          <w:lang w:eastAsia="en-US"/>
        </w:rPr>
      </w:pPr>
      <w:r w:rsidRPr="00F62E9B">
        <w:rPr>
          <w:rFonts w:ascii="Times New Roman" w:eastAsia="Calibri" w:hAnsi="Times New Roman"/>
          <w:szCs w:val="24"/>
          <w:lang w:eastAsia="en-US"/>
        </w:rPr>
        <w:t xml:space="preserve">The Commission will aim for simplified </w:t>
      </w:r>
      <w:r w:rsidRPr="00F62E9B">
        <w:rPr>
          <w:rFonts w:ascii="Times New Roman" w:eastAsia="Calibri" w:hAnsi="Times New Roman"/>
          <w:b/>
          <w:szCs w:val="24"/>
          <w:lang w:eastAsia="en-US"/>
        </w:rPr>
        <w:t>rules of origin</w:t>
      </w:r>
      <w:r w:rsidRPr="00F62E9B">
        <w:rPr>
          <w:rFonts w:ascii="Times New Roman" w:eastAsia="Calibri" w:hAnsi="Times New Roman"/>
          <w:szCs w:val="24"/>
          <w:lang w:eastAsia="en-US"/>
        </w:rPr>
        <w:t xml:space="preserve"> that reflect </w:t>
      </w:r>
      <w:r>
        <w:rPr>
          <w:rFonts w:ascii="Times New Roman" w:eastAsia="Calibri" w:hAnsi="Times New Roman"/>
          <w:szCs w:val="24"/>
          <w:lang w:eastAsia="en-US"/>
        </w:rPr>
        <w:t xml:space="preserve">the </w:t>
      </w:r>
      <w:r w:rsidRPr="00F62E9B">
        <w:rPr>
          <w:rFonts w:ascii="Times New Roman" w:eastAsia="Calibri" w:hAnsi="Times New Roman"/>
          <w:szCs w:val="24"/>
          <w:lang w:eastAsia="en-US"/>
        </w:rPr>
        <w:t>EU's interests while taking into account global value chains</w:t>
      </w:r>
      <w:r>
        <w:rPr>
          <w:rFonts w:ascii="Times New Roman" w:eastAsia="Calibri" w:hAnsi="Times New Roman"/>
          <w:szCs w:val="24"/>
          <w:lang w:eastAsia="en-US"/>
        </w:rPr>
        <w:t>, and user-</w:t>
      </w:r>
      <w:r w:rsidRPr="00F62E9B">
        <w:rPr>
          <w:rFonts w:ascii="Times New Roman" w:eastAsia="Calibri" w:hAnsi="Times New Roman"/>
          <w:szCs w:val="24"/>
          <w:lang w:eastAsia="en-US"/>
        </w:rPr>
        <w:t xml:space="preserve">friendly and transparent procedural </w:t>
      </w:r>
      <w:r w:rsidRPr="009655BB">
        <w:rPr>
          <w:rFonts w:ascii="Times New Roman" w:eastAsia="Calibri" w:hAnsi="Times New Roman"/>
          <w:szCs w:val="24"/>
          <w:lang w:eastAsia="en-US"/>
        </w:rPr>
        <w:t xml:space="preserve">requirements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20</w:t>
      </w:r>
      <w:r w:rsidR="00597A4A">
        <w:rPr>
          <w:rFonts w:ascii="Times New Roman" w:eastAsia="Calibri" w:hAnsi="Times New Roman"/>
          <w:b/>
          <w:szCs w:val="24"/>
          <w:lang w:eastAsia="en-US"/>
        </w:rPr>
        <w:t xml:space="preserve"> </w:t>
      </w:r>
      <w:r w:rsidRPr="00935871">
        <w:rPr>
          <w:rFonts w:ascii="Times New Roman" w:eastAsia="Calibri" w:hAnsi="Times New Roman"/>
          <w:b/>
          <w:szCs w:val="24"/>
          <w:lang w:eastAsia="en-US"/>
        </w:rPr>
        <w:t>(j)</w:t>
      </w:r>
      <w:r w:rsidRPr="00935871">
        <w:rPr>
          <w:rFonts w:ascii="Times New Roman" w:eastAsia="Calibri" w:hAnsi="Times New Roman"/>
          <w:szCs w:val="24"/>
          <w:lang w:eastAsia="en-US"/>
        </w:rPr>
        <w:t>)</w:t>
      </w:r>
      <w:r>
        <w:rPr>
          <w:rFonts w:ascii="Times New Roman" w:eastAsia="Calibri" w:hAnsi="Times New Roman"/>
          <w:szCs w:val="24"/>
          <w:lang w:eastAsia="en-US"/>
        </w:rPr>
        <w:t>.</w:t>
      </w:r>
    </w:p>
    <w:p w:rsidR="0029784F" w:rsidRPr="009655BB" w:rsidRDefault="0029784F" w:rsidP="0029784F">
      <w:pPr>
        <w:widowControl w:val="0"/>
        <w:spacing w:after="120"/>
        <w:rPr>
          <w:rFonts w:ascii="Times New Roman" w:eastAsia="Calibri" w:hAnsi="Times New Roman"/>
          <w:szCs w:val="24"/>
          <w:lang w:eastAsia="en-US"/>
        </w:rPr>
      </w:pPr>
      <w:r w:rsidRPr="009655BB">
        <w:rPr>
          <w:rFonts w:ascii="Times New Roman" w:eastAsia="Calibri" w:hAnsi="Times New Roman"/>
          <w:szCs w:val="24"/>
          <w:lang w:eastAsia="en-US"/>
        </w:rPr>
        <w:t xml:space="preserve">The Commission confirms that the FTA should reduce unnecessary </w:t>
      </w:r>
      <w:r w:rsidRPr="009655BB">
        <w:rPr>
          <w:rFonts w:ascii="Times New Roman" w:eastAsia="Calibri" w:hAnsi="Times New Roman"/>
          <w:b/>
          <w:szCs w:val="24"/>
          <w:lang w:eastAsia="en-US"/>
        </w:rPr>
        <w:t>non-tariff barriers</w:t>
      </w:r>
      <w:r w:rsidRPr="009655BB">
        <w:rPr>
          <w:rFonts w:ascii="Times New Roman" w:eastAsia="Calibri" w:hAnsi="Times New Roman"/>
          <w:szCs w:val="24"/>
          <w:lang w:eastAsia="en-US"/>
        </w:rPr>
        <w:t xml:space="preserve"> and strengthen </w:t>
      </w:r>
      <w:r w:rsidRPr="009655BB">
        <w:rPr>
          <w:rFonts w:ascii="Times New Roman" w:eastAsia="Calibri" w:hAnsi="Times New Roman"/>
          <w:b/>
          <w:szCs w:val="24"/>
          <w:lang w:eastAsia="en-US"/>
        </w:rPr>
        <w:t>regulatory cooperation</w:t>
      </w:r>
      <w:r w:rsidRPr="009655BB">
        <w:rPr>
          <w:rFonts w:ascii="Times New Roman" w:eastAsia="Calibri" w:hAnsi="Times New Roman"/>
          <w:szCs w:val="24"/>
          <w:lang w:eastAsia="en-US"/>
        </w:rPr>
        <w:t xml:space="preserve"> on a voluntary basis, while ensuring the </w:t>
      </w:r>
      <w:r w:rsidRPr="009655BB">
        <w:rPr>
          <w:rFonts w:ascii="Times New Roman" w:eastAsia="Calibri" w:hAnsi="Times New Roman"/>
          <w:b/>
          <w:szCs w:val="24"/>
          <w:lang w:eastAsia="en-US"/>
        </w:rPr>
        <w:t>right to regulate</w:t>
      </w:r>
      <w:r w:rsidRPr="009655BB">
        <w:rPr>
          <w:rFonts w:ascii="Times New Roman" w:eastAsia="Calibri" w:hAnsi="Times New Roman"/>
          <w:szCs w:val="24"/>
          <w:lang w:eastAsia="en-US"/>
        </w:rPr>
        <w:t xml:space="preserve"> economic activity in the public interest, </w:t>
      </w:r>
      <w:r>
        <w:rPr>
          <w:rFonts w:ascii="Times New Roman" w:eastAsia="Calibri" w:hAnsi="Times New Roman"/>
          <w:szCs w:val="24"/>
          <w:lang w:eastAsia="en-US"/>
        </w:rPr>
        <w:t xml:space="preserve">in order </w:t>
      </w:r>
      <w:r w:rsidRPr="009655BB">
        <w:rPr>
          <w:rFonts w:ascii="Times New Roman" w:eastAsia="Calibri" w:hAnsi="Times New Roman"/>
          <w:szCs w:val="24"/>
          <w:lang w:eastAsia="en-US"/>
        </w:rPr>
        <w:t xml:space="preserve">to achieve legitimate public policy objectives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aragraphs 20 (d) and 21</w:t>
      </w:r>
      <w:r w:rsidRPr="00935871">
        <w:rPr>
          <w:rFonts w:ascii="Times New Roman" w:eastAsia="Calibri" w:hAnsi="Times New Roman"/>
          <w:szCs w:val="24"/>
          <w:lang w:eastAsia="en-US"/>
        </w:rPr>
        <w:t>)</w:t>
      </w:r>
      <w:r w:rsidRPr="009655BB">
        <w:rPr>
          <w:rFonts w:ascii="Times New Roman" w:eastAsia="Calibri" w:hAnsi="Times New Roman"/>
          <w:szCs w:val="24"/>
          <w:lang w:eastAsia="en-US"/>
        </w:rPr>
        <w:t>.</w:t>
      </w:r>
    </w:p>
    <w:p w:rsidR="0029784F" w:rsidRDefault="0029784F" w:rsidP="0029784F">
      <w:pPr>
        <w:widowControl w:val="0"/>
        <w:spacing w:after="120"/>
        <w:rPr>
          <w:rFonts w:ascii="Times New Roman" w:eastAsia="Calibri" w:hAnsi="Times New Roman"/>
          <w:szCs w:val="24"/>
          <w:lang w:eastAsia="en-US"/>
        </w:rPr>
      </w:pPr>
      <w:r>
        <w:rPr>
          <w:rFonts w:ascii="Times New Roman" w:eastAsia="Calibri" w:hAnsi="Times New Roman"/>
          <w:szCs w:val="24"/>
          <w:lang w:eastAsia="en-US"/>
        </w:rPr>
        <w:t>T</w:t>
      </w:r>
      <w:r w:rsidRPr="001C6D07">
        <w:rPr>
          <w:rFonts w:ascii="Times New Roman" w:eastAsia="Calibri" w:hAnsi="Times New Roman"/>
          <w:szCs w:val="24"/>
          <w:lang w:eastAsia="en-US"/>
        </w:rPr>
        <w:t xml:space="preserve">he Commission confirms that the negotiations should aim at </w:t>
      </w:r>
      <w:r>
        <w:rPr>
          <w:rFonts w:ascii="Times New Roman" w:eastAsia="Calibri" w:hAnsi="Times New Roman"/>
          <w:szCs w:val="24"/>
          <w:lang w:eastAsia="en-US"/>
        </w:rPr>
        <w:t xml:space="preserve">(i) </w:t>
      </w:r>
      <w:r w:rsidRPr="001C6D07">
        <w:rPr>
          <w:rFonts w:ascii="Times New Roman" w:eastAsia="Calibri" w:hAnsi="Times New Roman"/>
          <w:szCs w:val="24"/>
          <w:lang w:eastAsia="en-US"/>
        </w:rPr>
        <w:t xml:space="preserve">the progressive and reciprocal liberalisation of </w:t>
      </w:r>
      <w:r w:rsidRPr="001C6D07">
        <w:rPr>
          <w:rFonts w:ascii="Times New Roman" w:eastAsia="Calibri" w:hAnsi="Times New Roman"/>
          <w:b/>
          <w:szCs w:val="24"/>
          <w:lang w:eastAsia="en-US"/>
        </w:rPr>
        <w:t>trade in services</w:t>
      </w:r>
      <w:r w:rsidRPr="001C6D07">
        <w:rPr>
          <w:rFonts w:ascii="Times New Roman" w:eastAsia="Calibri" w:hAnsi="Times New Roman"/>
          <w:szCs w:val="24"/>
          <w:lang w:eastAsia="en-US"/>
        </w:rPr>
        <w:t xml:space="preserve">, by eliminating restrictions to market access and national treatment beyond the current level of commitments between the two Parties, and at </w:t>
      </w:r>
      <w:r>
        <w:rPr>
          <w:rFonts w:ascii="Times New Roman" w:eastAsia="Calibri" w:hAnsi="Times New Roman"/>
          <w:szCs w:val="24"/>
          <w:lang w:eastAsia="en-US"/>
        </w:rPr>
        <w:t xml:space="preserve">(ii) </w:t>
      </w:r>
      <w:r w:rsidRPr="001C6D07">
        <w:rPr>
          <w:rFonts w:ascii="Times New Roman" w:eastAsia="Calibri" w:hAnsi="Times New Roman"/>
          <w:szCs w:val="24"/>
          <w:lang w:eastAsia="en-US"/>
        </w:rPr>
        <w:t xml:space="preserve">the update of rules, taking into account inter alia </w:t>
      </w:r>
      <w:r>
        <w:rPr>
          <w:rFonts w:ascii="Times New Roman" w:eastAsia="Calibri" w:hAnsi="Times New Roman"/>
          <w:szCs w:val="24"/>
          <w:lang w:eastAsia="en-US"/>
        </w:rPr>
        <w:t>any possible</w:t>
      </w:r>
      <w:r w:rsidRPr="001C6D07">
        <w:rPr>
          <w:rFonts w:ascii="Times New Roman" w:eastAsia="Calibri" w:hAnsi="Times New Roman"/>
          <w:szCs w:val="24"/>
          <w:lang w:eastAsia="en-US"/>
        </w:rPr>
        <w:t xml:space="preserve"> results of </w:t>
      </w:r>
      <w:r w:rsidR="00C473CE">
        <w:rPr>
          <w:rFonts w:ascii="Times New Roman" w:eastAsia="Calibri" w:hAnsi="Times New Roman"/>
          <w:szCs w:val="24"/>
          <w:lang w:eastAsia="en-US"/>
        </w:rPr>
        <w:t>Trade in Services Agreement (</w:t>
      </w:r>
      <w:r w:rsidRPr="001C6D07">
        <w:rPr>
          <w:rFonts w:ascii="Times New Roman" w:eastAsia="Calibri" w:hAnsi="Times New Roman"/>
          <w:szCs w:val="24"/>
          <w:lang w:eastAsia="en-US"/>
        </w:rPr>
        <w:t>TiSA</w:t>
      </w:r>
      <w:r w:rsidR="00C473CE">
        <w:rPr>
          <w:rFonts w:ascii="Times New Roman" w:eastAsia="Calibri" w:hAnsi="Times New Roman"/>
          <w:szCs w:val="24"/>
          <w:lang w:eastAsia="en-US"/>
        </w:rPr>
        <w:t>)</w:t>
      </w:r>
      <w:r w:rsidRPr="001C6D07">
        <w:rPr>
          <w:rFonts w:ascii="Times New Roman" w:eastAsia="Calibri" w:hAnsi="Times New Roman"/>
          <w:szCs w:val="24"/>
          <w:lang w:eastAsia="en-US"/>
        </w:rPr>
        <w:t xml:space="preserve"> negotiations. </w:t>
      </w:r>
      <w:r w:rsidRPr="00FF539D">
        <w:rPr>
          <w:rFonts w:ascii="Times New Roman" w:eastAsia="Calibri" w:hAnsi="Times New Roman"/>
          <w:szCs w:val="24"/>
          <w:lang w:eastAsia="en-US"/>
        </w:rPr>
        <w:t xml:space="preserve">Moreover, </w:t>
      </w:r>
      <w:r w:rsidR="00C473CE">
        <w:rPr>
          <w:rFonts w:ascii="Times New Roman" w:eastAsia="Calibri" w:hAnsi="Times New Roman"/>
          <w:szCs w:val="24"/>
          <w:lang w:eastAsia="en-US"/>
        </w:rPr>
        <w:t xml:space="preserve">the </w:t>
      </w:r>
      <w:r>
        <w:rPr>
          <w:rFonts w:ascii="Times New Roman" w:eastAsia="Calibri" w:hAnsi="Times New Roman"/>
          <w:szCs w:val="24"/>
          <w:lang w:eastAsia="en-US"/>
        </w:rPr>
        <w:t xml:space="preserve">liberalisation of </w:t>
      </w:r>
      <w:r w:rsidRPr="00FF539D">
        <w:rPr>
          <w:rFonts w:ascii="Times New Roman" w:eastAsia="Calibri" w:hAnsi="Times New Roman"/>
          <w:szCs w:val="24"/>
          <w:lang w:eastAsia="en-US"/>
        </w:rPr>
        <w:t>audio-visual services should not be covered in these negotiations</w:t>
      </w:r>
      <w:r w:rsidRPr="001C6D07">
        <w:rPr>
          <w:rFonts w:ascii="Times New Roman" w:eastAsia="Calibri" w:hAnsi="Times New Roman"/>
          <w:szCs w:val="24"/>
          <w:lang w:eastAsia="en-US"/>
        </w:rPr>
        <w:t>, and public services will continue to be protected according to the EU's long-standing approach in its various trade agreements</w:t>
      </w:r>
      <w:r>
        <w:rPr>
          <w:rFonts w:ascii="Times New Roman" w:eastAsia="Calibri" w:hAnsi="Times New Roman"/>
          <w:szCs w:val="24"/>
          <w:lang w:eastAsia="en-US"/>
        </w:rPr>
        <w:t xml:space="preserve">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20 (a)</w:t>
      </w:r>
      <w:r w:rsidRPr="00935871">
        <w:rPr>
          <w:rFonts w:ascii="Times New Roman" w:eastAsia="Calibri" w:hAnsi="Times New Roman"/>
          <w:szCs w:val="24"/>
          <w:lang w:eastAsia="en-US"/>
        </w:rPr>
        <w:t>)</w:t>
      </w:r>
      <w:r w:rsidRPr="001C6D07">
        <w:rPr>
          <w:rFonts w:ascii="Times New Roman" w:eastAsia="Calibri" w:hAnsi="Times New Roman"/>
          <w:szCs w:val="24"/>
          <w:lang w:eastAsia="en-US"/>
        </w:rPr>
        <w:t>.</w:t>
      </w:r>
      <w:r>
        <w:rPr>
          <w:rFonts w:ascii="Times New Roman" w:eastAsia="Calibri" w:hAnsi="Times New Roman"/>
          <w:szCs w:val="24"/>
          <w:lang w:eastAsia="en-US"/>
        </w:rPr>
        <w:t xml:space="preserve"> </w:t>
      </w:r>
      <w:r w:rsidRPr="009655BB">
        <w:rPr>
          <w:rFonts w:ascii="Times New Roman" w:eastAsia="Calibri" w:hAnsi="Times New Roman"/>
          <w:szCs w:val="24"/>
          <w:lang w:eastAsia="en-US"/>
        </w:rPr>
        <w:t>In the context of the increasing digitalisation of trade</w:t>
      </w:r>
      <w:r>
        <w:rPr>
          <w:rFonts w:ascii="Times New Roman" w:eastAsia="Calibri" w:hAnsi="Times New Roman"/>
          <w:szCs w:val="24"/>
          <w:lang w:eastAsia="en-US"/>
        </w:rPr>
        <w:t xml:space="preserve">, </w:t>
      </w:r>
      <w:r w:rsidRPr="00BB6E6A">
        <w:rPr>
          <w:rFonts w:ascii="Times New Roman" w:eastAsia="Calibri" w:hAnsi="Times New Roman"/>
          <w:szCs w:val="24"/>
          <w:lang w:eastAsia="en-US"/>
        </w:rPr>
        <w:t xml:space="preserve">the negotiations should result in rules covering </w:t>
      </w:r>
      <w:r w:rsidRPr="009655BB">
        <w:rPr>
          <w:rFonts w:ascii="Times New Roman" w:eastAsia="Calibri" w:hAnsi="Times New Roman"/>
          <w:b/>
          <w:szCs w:val="24"/>
          <w:lang w:eastAsia="en-US"/>
        </w:rPr>
        <w:t>digital trade</w:t>
      </w:r>
      <w:r w:rsidRPr="009655BB">
        <w:rPr>
          <w:rFonts w:ascii="Times New Roman" w:eastAsia="Calibri" w:hAnsi="Times New Roman"/>
          <w:szCs w:val="24"/>
          <w:lang w:eastAsia="en-US"/>
        </w:rPr>
        <w:t xml:space="preserve"> and cross-border data flows</w:t>
      </w:r>
      <w:r>
        <w:rPr>
          <w:rFonts w:ascii="Times New Roman" w:eastAsia="Calibri" w:hAnsi="Times New Roman"/>
          <w:szCs w:val="24"/>
          <w:lang w:eastAsia="en-US"/>
        </w:rPr>
        <w:t xml:space="preserve"> in the FTA, </w:t>
      </w:r>
      <w:r w:rsidRPr="009655BB">
        <w:rPr>
          <w:rFonts w:ascii="Times New Roman" w:eastAsia="Calibri" w:hAnsi="Times New Roman"/>
          <w:szCs w:val="24"/>
          <w:lang w:eastAsia="en-US"/>
        </w:rPr>
        <w:t>while neither negotiating nor affecting the EU’s personal data protection rules</w:t>
      </w:r>
      <w:r>
        <w:rPr>
          <w:rFonts w:ascii="Times New Roman" w:eastAsia="Calibri" w:hAnsi="Times New Roman"/>
          <w:szCs w:val="24"/>
          <w:lang w:eastAsia="en-US"/>
        </w:rPr>
        <w:t xml:space="preserve">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20</w:t>
      </w:r>
      <w:r w:rsidR="00C473CE">
        <w:rPr>
          <w:rFonts w:ascii="Times New Roman" w:eastAsia="Calibri" w:hAnsi="Times New Roman"/>
          <w:b/>
          <w:szCs w:val="24"/>
          <w:lang w:eastAsia="en-US"/>
        </w:rPr>
        <w:t> </w:t>
      </w:r>
      <w:r w:rsidRPr="00935871">
        <w:rPr>
          <w:rFonts w:ascii="Times New Roman" w:eastAsia="Calibri" w:hAnsi="Times New Roman"/>
          <w:b/>
          <w:szCs w:val="24"/>
          <w:lang w:eastAsia="en-US"/>
        </w:rPr>
        <w:t>(l)</w:t>
      </w:r>
      <w:r w:rsidRPr="00935871">
        <w:rPr>
          <w:rFonts w:ascii="Times New Roman" w:eastAsia="Calibri" w:hAnsi="Times New Roman"/>
          <w:szCs w:val="24"/>
          <w:lang w:eastAsia="en-US"/>
        </w:rPr>
        <w:t>)</w:t>
      </w:r>
      <w:r>
        <w:rPr>
          <w:rFonts w:ascii="Times New Roman" w:eastAsia="Calibri" w:hAnsi="Times New Roman"/>
          <w:szCs w:val="24"/>
          <w:lang w:eastAsia="en-US"/>
        </w:rPr>
        <w:t>.</w:t>
      </w:r>
    </w:p>
    <w:p w:rsidR="0029784F" w:rsidRPr="00F62E9B" w:rsidRDefault="0029784F" w:rsidP="0029784F">
      <w:pPr>
        <w:widowControl w:val="0"/>
        <w:spacing w:after="120"/>
        <w:rPr>
          <w:rFonts w:ascii="Times New Roman" w:eastAsia="Calibri" w:hAnsi="Times New Roman"/>
          <w:szCs w:val="24"/>
          <w:highlight w:val="yellow"/>
          <w:lang w:eastAsia="en-US"/>
        </w:rPr>
      </w:pPr>
      <w:r w:rsidRPr="009655BB">
        <w:rPr>
          <w:rFonts w:ascii="Times New Roman" w:eastAsia="Calibri" w:hAnsi="Times New Roman"/>
          <w:szCs w:val="24"/>
          <w:lang w:eastAsia="en-US"/>
        </w:rPr>
        <w:t xml:space="preserve">The Commission intends to achieve comprehensive provisions on </w:t>
      </w:r>
      <w:r w:rsidRPr="009655BB">
        <w:rPr>
          <w:rFonts w:ascii="Times New Roman" w:eastAsia="Calibri" w:hAnsi="Times New Roman"/>
          <w:b/>
          <w:szCs w:val="24"/>
          <w:lang w:eastAsia="en-US"/>
        </w:rPr>
        <w:t>liberalisation of foreign direct investment</w:t>
      </w:r>
      <w:r w:rsidRPr="009655BB">
        <w:rPr>
          <w:rFonts w:ascii="Times New Roman" w:eastAsia="Calibri" w:hAnsi="Times New Roman"/>
          <w:szCs w:val="24"/>
          <w:lang w:eastAsia="en-US"/>
        </w:rPr>
        <w:t xml:space="preserve"> taking into account the CJEU Opinion 2/15 </w:t>
      </w:r>
      <w:r w:rsidRPr="00597A4A">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20 (i)</w:t>
      </w:r>
      <w:r w:rsidRPr="00935871">
        <w:rPr>
          <w:rFonts w:ascii="Times New Roman" w:eastAsia="Calibri" w:hAnsi="Times New Roman"/>
          <w:szCs w:val="24"/>
          <w:lang w:eastAsia="en-US"/>
        </w:rPr>
        <w:t>)</w:t>
      </w:r>
      <w:r w:rsidRPr="009655BB">
        <w:rPr>
          <w:rFonts w:ascii="Times New Roman" w:eastAsia="Calibri" w:hAnsi="Times New Roman"/>
          <w:szCs w:val="24"/>
          <w:lang w:eastAsia="en-US"/>
        </w:rPr>
        <w:t>.</w:t>
      </w:r>
    </w:p>
    <w:p w:rsidR="0029784F" w:rsidRDefault="0029784F" w:rsidP="0029784F">
      <w:pPr>
        <w:widowControl w:val="0"/>
        <w:spacing w:after="120"/>
        <w:rPr>
          <w:rFonts w:ascii="Times New Roman" w:eastAsia="Calibri" w:hAnsi="Times New Roman"/>
          <w:szCs w:val="24"/>
          <w:lang w:eastAsia="en-US"/>
        </w:rPr>
      </w:pPr>
      <w:r>
        <w:rPr>
          <w:rFonts w:ascii="Times New Roman" w:eastAsia="Calibri" w:hAnsi="Times New Roman"/>
          <w:szCs w:val="24"/>
          <w:lang w:eastAsia="en-US"/>
        </w:rPr>
        <w:t>T</w:t>
      </w:r>
      <w:r w:rsidRPr="008C6353">
        <w:rPr>
          <w:rFonts w:ascii="Times New Roman" w:eastAsia="Calibri" w:hAnsi="Times New Roman"/>
          <w:szCs w:val="24"/>
          <w:lang w:eastAsia="en-US"/>
        </w:rPr>
        <w:t xml:space="preserve">he Commission confirms that the further opening in </w:t>
      </w:r>
      <w:r w:rsidRPr="008C6353">
        <w:rPr>
          <w:rFonts w:ascii="Times New Roman" w:eastAsia="Calibri" w:hAnsi="Times New Roman"/>
          <w:b/>
          <w:szCs w:val="24"/>
          <w:lang w:eastAsia="en-US"/>
        </w:rPr>
        <w:t>public procurement</w:t>
      </w:r>
      <w:r w:rsidRPr="008C6353">
        <w:rPr>
          <w:rFonts w:ascii="Times New Roman" w:eastAsia="Calibri" w:hAnsi="Times New Roman"/>
          <w:szCs w:val="24"/>
          <w:lang w:eastAsia="en-US"/>
        </w:rPr>
        <w:t xml:space="preserve"> is a</w:t>
      </w:r>
      <w:r>
        <w:rPr>
          <w:rFonts w:ascii="Times New Roman" w:eastAsia="Calibri" w:hAnsi="Times New Roman"/>
          <w:szCs w:val="24"/>
          <w:lang w:eastAsia="en-US"/>
        </w:rPr>
        <w:t>n</w:t>
      </w:r>
      <w:r w:rsidRPr="008C6353">
        <w:rPr>
          <w:rFonts w:ascii="Times New Roman" w:eastAsia="Calibri" w:hAnsi="Times New Roman"/>
          <w:szCs w:val="24"/>
          <w:lang w:eastAsia="en-US"/>
        </w:rPr>
        <w:t xml:space="preserve"> offensive </w:t>
      </w:r>
      <w:r>
        <w:rPr>
          <w:rFonts w:ascii="Times New Roman" w:eastAsia="Calibri" w:hAnsi="Times New Roman"/>
          <w:szCs w:val="24"/>
          <w:lang w:eastAsia="en-US"/>
        </w:rPr>
        <w:t xml:space="preserve">interest </w:t>
      </w:r>
      <w:r w:rsidRPr="008C6353">
        <w:rPr>
          <w:rFonts w:ascii="Times New Roman" w:eastAsia="Calibri" w:hAnsi="Times New Roman"/>
          <w:szCs w:val="24"/>
          <w:lang w:eastAsia="en-US"/>
        </w:rPr>
        <w:t xml:space="preserve">in these negotiations. The </w:t>
      </w:r>
      <w:r>
        <w:rPr>
          <w:rFonts w:ascii="Times New Roman" w:eastAsia="Calibri" w:hAnsi="Times New Roman"/>
          <w:szCs w:val="24"/>
          <w:lang w:eastAsia="en-US"/>
        </w:rPr>
        <w:t>FTA</w:t>
      </w:r>
      <w:r w:rsidRPr="008C6353">
        <w:rPr>
          <w:rFonts w:ascii="Times New Roman" w:eastAsia="Calibri" w:hAnsi="Times New Roman"/>
          <w:szCs w:val="24"/>
          <w:lang w:eastAsia="en-US"/>
        </w:rPr>
        <w:t xml:space="preserve"> with </w:t>
      </w:r>
      <w:r>
        <w:rPr>
          <w:rFonts w:ascii="Times New Roman" w:eastAsia="Calibri" w:hAnsi="Times New Roman"/>
          <w:szCs w:val="24"/>
          <w:lang w:eastAsia="en-US"/>
        </w:rPr>
        <w:t>New Zealand</w:t>
      </w:r>
      <w:r w:rsidRPr="008C6353">
        <w:rPr>
          <w:rFonts w:ascii="Times New Roman" w:eastAsia="Calibri" w:hAnsi="Times New Roman"/>
          <w:szCs w:val="24"/>
          <w:lang w:eastAsia="en-US"/>
        </w:rPr>
        <w:t xml:space="preserve"> should substantially improve access to public procurement markets in all sectors </w:t>
      </w:r>
      <w:r>
        <w:rPr>
          <w:rFonts w:ascii="Times New Roman" w:eastAsia="Calibri" w:hAnsi="Times New Roman"/>
          <w:szCs w:val="24"/>
          <w:lang w:eastAsia="en-US"/>
        </w:rPr>
        <w:t xml:space="preserve">and </w:t>
      </w:r>
      <w:r w:rsidRPr="008C6353">
        <w:rPr>
          <w:rFonts w:ascii="Times New Roman" w:eastAsia="Calibri" w:hAnsi="Times New Roman"/>
          <w:szCs w:val="24"/>
          <w:lang w:eastAsia="en-US"/>
        </w:rPr>
        <w:t>at all levels of government. Furthermore, th</w:t>
      </w:r>
      <w:r>
        <w:rPr>
          <w:rFonts w:ascii="Times New Roman" w:eastAsia="Calibri" w:hAnsi="Times New Roman"/>
          <w:szCs w:val="24"/>
          <w:lang w:eastAsia="en-US"/>
        </w:rPr>
        <w:t xml:space="preserve">e FTA with New Zealand </w:t>
      </w:r>
      <w:r w:rsidRPr="008C6353">
        <w:rPr>
          <w:rFonts w:ascii="Times New Roman" w:eastAsia="Calibri" w:hAnsi="Times New Roman"/>
          <w:szCs w:val="24"/>
          <w:lang w:eastAsia="en-US"/>
        </w:rPr>
        <w:t xml:space="preserve">should establish </w:t>
      </w:r>
      <w:r>
        <w:rPr>
          <w:rFonts w:ascii="Times New Roman" w:eastAsia="Calibri" w:hAnsi="Times New Roman"/>
          <w:szCs w:val="24"/>
          <w:lang w:eastAsia="en-US"/>
        </w:rPr>
        <w:t xml:space="preserve">procedural </w:t>
      </w:r>
      <w:r w:rsidRPr="008C6353">
        <w:rPr>
          <w:rFonts w:ascii="Times New Roman" w:eastAsia="Calibri" w:hAnsi="Times New Roman"/>
          <w:szCs w:val="24"/>
          <w:lang w:eastAsia="en-US"/>
        </w:rPr>
        <w:t>rules</w:t>
      </w:r>
      <w:r>
        <w:rPr>
          <w:rFonts w:ascii="Times New Roman" w:eastAsia="Calibri" w:hAnsi="Times New Roman"/>
          <w:szCs w:val="24"/>
          <w:lang w:eastAsia="en-US"/>
        </w:rPr>
        <w:t xml:space="preserve"> which build on the WTO Agreement on Government Procurement and which include </w:t>
      </w:r>
      <w:r w:rsidRPr="008C6353">
        <w:rPr>
          <w:rFonts w:ascii="Times New Roman" w:eastAsia="Calibri" w:hAnsi="Times New Roman"/>
          <w:szCs w:val="24"/>
          <w:lang w:eastAsia="en-US"/>
        </w:rPr>
        <w:t>new generation disciplines</w:t>
      </w:r>
      <w:r>
        <w:rPr>
          <w:rFonts w:ascii="Times New Roman" w:eastAsia="Calibri" w:hAnsi="Times New Roman"/>
          <w:szCs w:val="24"/>
          <w:lang w:eastAsia="en-US"/>
        </w:rPr>
        <w:t xml:space="preserve"> </w:t>
      </w:r>
      <w:r w:rsidRPr="008C6353">
        <w:rPr>
          <w:rFonts w:ascii="Times New Roman" w:eastAsia="Calibri" w:hAnsi="Times New Roman"/>
          <w:szCs w:val="24"/>
          <w:lang w:eastAsia="en-US"/>
        </w:rPr>
        <w:t>aiming at enhancing transparency and ensuring non-discrimination</w:t>
      </w:r>
      <w:r>
        <w:rPr>
          <w:rFonts w:ascii="Times New Roman" w:eastAsia="Calibri" w:hAnsi="Times New Roman"/>
          <w:szCs w:val="24"/>
          <w:lang w:eastAsia="en-US"/>
        </w:rPr>
        <w:t xml:space="preserve">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20 (e)</w:t>
      </w:r>
      <w:r w:rsidRPr="00935871">
        <w:rPr>
          <w:rFonts w:ascii="Times New Roman" w:eastAsia="Calibri" w:hAnsi="Times New Roman"/>
          <w:szCs w:val="24"/>
          <w:lang w:eastAsia="en-US"/>
        </w:rPr>
        <w:t>)</w:t>
      </w:r>
      <w:r w:rsidRPr="008C6353">
        <w:rPr>
          <w:rFonts w:ascii="Times New Roman" w:eastAsia="Calibri" w:hAnsi="Times New Roman"/>
          <w:szCs w:val="24"/>
          <w:lang w:eastAsia="en-US"/>
        </w:rPr>
        <w:t>.</w:t>
      </w:r>
    </w:p>
    <w:p w:rsidR="0029784F" w:rsidRDefault="0029784F" w:rsidP="0029784F">
      <w:pPr>
        <w:widowControl w:val="0"/>
        <w:spacing w:after="120"/>
        <w:rPr>
          <w:rFonts w:ascii="Times New Roman" w:eastAsia="Calibri" w:hAnsi="Times New Roman"/>
          <w:szCs w:val="24"/>
          <w:lang w:eastAsia="en-US"/>
        </w:rPr>
      </w:pPr>
      <w:r w:rsidRPr="006E203F">
        <w:rPr>
          <w:rFonts w:ascii="Times New Roman" w:eastAsia="Calibri" w:hAnsi="Times New Roman"/>
          <w:szCs w:val="24"/>
          <w:lang w:eastAsia="en-US"/>
        </w:rPr>
        <w:t xml:space="preserve">The Commission confirms that the FTA should include a dedicated chapter to assist </w:t>
      </w:r>
      <w:r w:rsidR="007C43E6" w:rsidRPr="00935871">
        <w:rPr>
          <w:rStyle w:val="st1"/>
          <w:rFonts w:ascii="Times New Roman" w:eastAsia="Calibri" w:hAnsi="Times New Roman"/>
          <w:color w:val="545454"/>
        </w:rPr>
        <w:t>Small and medium-sized enterprises</w:t>
      </w:r>
      <w:r w:rsidR="007C43E6">
        <w:rPr>
          <w:rStyle w:val="st1"/>
          <w:rFonts w:ascii="Arial" w:eastAsia="Calibri" w:hAnsi="Arial" w:cs="Arial"/>
          <w:color w:val="545454"/>
        </w:rPr>
        <w:t xml:space="preserve"> (</w:t>
      </w:r>
      <w:r w:rsidRPr="006E203F">
        <w:rPr>
          <w:rFonts w:ascii="Times New Roman" w:eastAsia="Calibri" w:hAnsi="Times New Roman"/>
          <w:b/>
          <w:szCs w:val="24"/>
          <w:lang w:eastAsia="en-US"/>
        </w:rPr>
        <w:t>SMEs</w:t>
      </w:r>
      <w:r w:rsidR="007C43E6">
        <w:rPr>
          <w:rFonts w:ascii="Times New Roman" w:eastAsia="Calibri" w:hAnsi="Times New Roman"/>
          <w:b/>
          <w:szCs w:val="24"/>
          <w:lang w:eastAsia="en-US"/>
        </w:rPr>
        <w:t>)</w:t>
      </w:r>
      <w:r w:rsidRPr="006E203F">
        <w:rPr>
          <w:rFonts w:ascii="Times New Roman" w:eastAsia="Calibri" w:hAnsi="Times New Roman"/>
          <w:szCs w:val="24"/>
          <w:lang w:eastAsia="en-US"/>
        </w:rPr>
        <w:t xml:space="preserve"> to fully benefit from</w:t>
      </w:r>
      <w:r w:rsidRPr="006D63BC">
        <w:rPr>
          <w:rFonts w:ascii="Times New Roman" w:eastAsia="Calibri" w:hAnsi="Times New Roman"/>
          <w:szCs w:val="24"/>
          <w:lang w:eastAsia="en-US"/>
        </w:rPr>
        <w:t xml:space="preserve"> the opportunities offered by t</w:t>
      </w:r>
      <w:r>
        <w:rPr>
          <w:rFonts w:ascii="Times New Roman" w:eastAsia="Calibri" w:hAnsi="Times New Roman"/>
          <w:szCs w:val="24"/>
          <w:lang w:eastAsia="en-US"/>
        </w:rPr>
        <w:t xml:space="preserve">his agreement and foster their internationalisation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20 (f)</w:t>
      </w:r>
      <w:r w:rsidRPr="00935871">
        <w:rPr>
          <w:rFonts w:ascii="Times New Roman" w:eastAsia="Calibri" w:hAnsi="Times New Roman"/>
          <w:szCs w:val="24"/>
          <w:lang w:eastAsia="en-US"/>
        </w:rPr>
        <w:t>)</w:t>
      </w:r>
      <w:r>
        <w:rPr>
          <w:rFonts w:ascii="Times New Roman" w:eastAsia="Calibri" w:hAnsi="Times New Roman"/>
          <w:szCs w:val="24"/>
          <w:lang w:eastAsia="en-US"/>
        </w:rPr>
        <w:t>.</w:t>
      </w:r>
    </w:p>
    <w:p w:rsidR="0029784F" w:rsidRDefault="0029784F" w:rsidP="0029784F">
      <w:pPr>
        <w:widowControl w:val="0"/>
        <w:spacing w:after="120"/>
        <w:rPr>
          <w:rFonts w:ascii="Times New Roman" w:eastAsia="Calibri" w:hAnsi="Times New Roman"/>
          <w:szCs w:val="24"/>
          <w:lang w:eastAsia="en-US"/>
        </w:rPr>
      </w:pPr>
      <w:r>
        <w:rPr>
          <w:rFonts w:ascii="Times New Roman" w:eastAsia="Calibri" w:hAnsi="Times New Roman"/>
          <w:szCs w:val="24"/>
          <w:lang w:eastAsia="en-US"/>
        </w:rPr>
        <w:t>T</w:t>
      </w:r>
      <w:r w:rsidRPr="008C6353">
        <w:rPr>
          <w:rFonts w:ascii="Times New Roman" w:eastAsia="Calibri" w:hAnsi="Times New Roman"/>
          <w:szCs w:val="24"/>
          <w:lang w:eastAsia="en-US"/>
        </w:rPr>
        <w:t>he Commission</w:t>
      </w:r>
      <w:r>
        <w:rPr>
          <w:rFonts w:ascii="Times New Roman" w:eastAsia="Calibri" w:hAnsi="Times New Roman"/>
          <w:szCs w:val="24"/>
          <w:lang w:eastAsia="en-US"/>
        </w:rPr>
        <w:t xml:space="preserve">, </w:t>
      </w:r>
      <w:r w:rsidRPr="00634E0F">
        <w:rPr>
          <w:rFonts w:ascii="Times New Roman" w:eastAsia="Calibri" w:hAnsi="Times New Roman"/>
          <w:szCs w:val="24"/>
          <w:lang w:eastAsia="en-US"/>
        </w:rPr>
        <w:t xml:space="preserve">as in all recent and ongoing </w:t>
      </w:r>
      <w:r w:rsidR="00187EB3">
        <w:rPr>
          <w:rFonts w:ascii="Times New Roman" w:eastAsia="Calibri" w:hAnsi="Times New Roman"/>
          <w:szCs w:val="24"/>
          <w:lang w:eastAsia="en-US"/>
        </w:rPr>
        <w:t xml:space="preserve">EU </w:t>
      </w:r>
      <w:r w:rsidRPr="00634E0F">
        <w:rPr>
          <w:rFonts w:ascii="Times New Roman" w:eastAsia="Calibri" w:hAnsi="Times New Roman"/>
          <w:szCs w:val="24"/>
          <w:lang w:eastAsia="en-US"/>
        </w:rPr>
        <w:t>FTA negotiations, includes</w:t>
      </w:r>
      <w:r w:rsidRPr="008C6353">
        <w:rPr>
          <w:rFonts w:ascii="Times New Roman" w:eastAsia="Calibri" w:hAnsi="Times New Roman"/>
          <w:szCs w:val="24"/>
          <w:lang w:eastAsia="en-US"/>
        </w:rPr>
        <w:t xml:space="preserve"> binding provisions </w:t>
      </w:r>
      <w:r>
        <w:rPr>
          <w:rFonts w:ascii="Times New Roman" w:eastAsia="Calibri" w:hAnsi="Times New Roman"/>
          <w:szCs w:val="24"/>
          <w:lang w:eastAsia="en-US"/>
        </w:rPr>
        <w:t>on</w:t>
      </w:r>
      <w:r w:rsidRPr="008C6353">
        <w:rPr>
          <w:rFonts w:ascii="Times New Roman" w:eastAsia="Calibri" w:hAnsi="Times New Roman"/>
          <w:szCs w:val="24"/>
          <w:lang w:eastAsia="en-US"/>
        </w:rPr>
        <w:t xml:space="preserve"> </w:t>
      </w:r>
      <w:r w:rsidR="008E76F7" w:rsidRPr="00935871">
        <w:rPr>
          <w:rFonts w:ascii="Times New Roman" w:eastAsia="Calibri" w:hAnsi="Times New Roman"/>
          <w:b/>
          <w:szCs w:val="24"/>
          <w:lang w:eastAsia="en-US"/>
        </w:rPr>
        <w:t>T</w:t>
      </w:r>
      <w:r w:rsidRPr="00935871">
        <w:rPr>
          <w:rFonts w:ascii="Times New Roman" w:eastAsia="Calibri" w:hAnsi="Times New Roman"/>
          <w:b/>
          <w:szCs w:val="24"/>
          <w:lang w:eastAsia="en-US"/>
        </w:rPr>
        <w:t>rade and</w:t>
      </w:r>
      <w:r w:rsidRPr="008C6353">
        <w:rPr>
          <w:rFonts w:ascii="Times New Roman" w:eastAsia="Calibri" w:hAnsi="Times New Roman"/>
          <w:szCs w:val="24"/>
          <w:lang w:eastAsia="en-US"/>
        </w:rPr>
        <w:t xml:space="preserve"> </w:t>
      </w:r>
      <w:r w:rsidR="008E76F7">
        <w:rPr>
          <w:rFonts w:ascii="Times New Roman" w:eastAsia="Calibri" w:hAnsi="Times New Roman"/>
          <w:b/>
          <w:szCs w:val="24"/>
          <w:lang w:eastAsia="en-US"/>
        </w:rPr>
        <w:t>S</w:t>
      </w:r>
      <w:r w:rsidRPr="006D63BC">
        <w:rPr>
          <w:rFonts w:ascii="Times New Roman" w:eastAsia="Calibri" w:hAnsi="Times New Roman"/>
          <w:b/>
          <w:szCs w:val="24"/>
          <w:lang w:eastAsia="en-US"/>
        </w:rPr>
        <w:t xml:space="preserve">ustainable </w:t>
      </w:r>
      <w:r w:rsidR="008E76F7">
        <w:rPr>
          <w:rFonts w:ascii="Times New Roman" w:eastAsia="Calibri" w:hAnsi="Times New Roman"/>
          <w:b/>
          <w:szCs w:val="24"/>
          <w:lang w:eastAsia="en-US"/>
        </w:rPr>
        <w:t>D</w:t>
      </w:r>
      <w:r w:rsidRPr="006D63BC">
        <w:rPr>
          <w:rFonts w:ascii="Times New Roman" w:eastAsia="Calibri" w:hAnsi="Times New Roman"/>
          <w:b/>
          <w:szCs w:val="24"/>
          <w:lang w:eastAsia="en-US"/>
        </w:rPr>
        <w:t>evelopment</w:t>
      </w:r>
      <w:r w:rsidRPr="008C6353">
        <w:rPr>
          <w:rFonts w:ascii="Times New Roman" w:eastAsia="Calibri" w:hAnsi="Times New Roman"/>
          <w:szCs w:val="24"/>
          <w:lang w:eastAsia="en-US"/>
        </w:rPr>
        <w:t xml:space="preserve"> (TSD) </w:t>
      </w:r>
      <w:r>
        <w:rPr>
          <w:rFonts w:ascii="Times New Roman" w:eastAsia="Calibri" w:hAnsi="Times New Roman"/>
          <w:szCs w:val="24"/>
          <w:lang w:eastAsia="en-US"/>
        </w:rPr>
        <w:t>in</w:t>
      </w:r>
      <w:r w:rsidRPr="008C6353">
        <w:rPr>
          <w:rFonts w:ascii="Times New Roman" w:eastAsia="Calibri" w:hAnsi="Times New Roman"/>
          <w:szCs w:val="24"/>
          <w:lang w:eastAsia="en-US"/>
        </w:rPr>
        <w:t xml:space="preserve"> the future </w:t>
      </w:r>
      <w:r>
        <w:rPr>
          <w:rFonts w:ascii="Times New Roman" w:eastAsia="Calibri" w:hAnsi="Times New Roman"/>
          <w:szCs w:val="24"/>
          <w:lang w:eastAsia="en-US"/>
        </w:rPr>
        <w:t>FTA</w:t>
      </w:r>
      <w:r w:rsidRPr="008C6353">
        <w:rPr>
          <w:rFonts w:ascii="Times New Roman" w:eastAsia="Calibri" w:hAnsi="Times New Roman"/>
          <w:szCs w:val="24"/>
          <w:lang w:eastAsia="en-US"/>
        </w:rPr>
        <w:t xml:space="preserve"> which </w:t>
      </w:r>
      <w:proofErr w:type="gramStart"/>
      <w:r w:rsidRPr="008C6353">
        <w:rPr>
          <w:rFonts w:ascii="Times New Roman" w:eastAsia="Calibri" w:hAnsi="Times New Roman"/>
          <w:szCs w:val="24"/>
          <w:lang w:eastAsia="en-US"/>
        </w:rPr>
        <w:t>are</w:t>
      </w:r>
      <w:proofErr w:type="gramEnd"/>
      <w:r w:rsidRPr="008C6353">
        <w:rPr>
          <w:rFonts w:ascii="Times New Roman" w:eastAsia="Calibri" w:hAnsi="Times New Roman"/>
          <w:szCs w:val="24"/>
          <w:lang w:eastAsia="en-US"/>
        </w:rPr>
        <w:t xml:space="preserve"> enforceable via a dispute settlement mechanism and appropriate institutional structures. The Commission has launched a debate on the effective implementation </w:t>
      </w:r>
      <w:r>
        <w:rPr>
          <w:rFonts w:ascii="Times New Roman" w:eastAsia="Calibri" w:hAnsi="Times New Roman"/>
          <w:szCs w:val="24"/>
          <w:lang w:eastAsia="en-US"/>
        </w:rPr>
        <w:t xml:space="preserve">and enforcement </w:t>
      </w:r>
      <w:r w:rsidRPr="008C6353">
        <w:rPr>
          <w:rFonts w:ascii="Times New Roman" w:eastAsia="Calibri" w:hAnsi="Times New Roman"/>
          <w:szCs w:val="24"/>
          <w:lang w:eastAsia="en-US"/>
        </w:rPr>
        <w:t xml:space="preserve">of TSD chapters. The Commission welcomes Parliament's views and inputs on this issue. On the recommendation for effective implementation of a number of international conventions, the Commission reiterates its determination to include commitments on </w:t>
      </w:r>
      <w:r>
        <w:rPr>
          <w:rFonts w:ascii="Times New Roman" w:eastAsia="Calibri" w:hAnsi="Times New Roman"/>
          <w:szCs w:val="24"/>
          <w:lang w:eastAsia="en-US"/>
        </w:rPr>
        <w:t xml:space="preserve">the key international agreements on </w:t>
      </w:r>
      <w:r w:rsidRPr="008C6353">
        <w:rPr>
          <w:rFonts w:ascii="Times New Roman" w:eastAsia="Calibri" w:hAnsi="Times New Roman"/>
          <w:szCs w:val="24"/>
          <w:lang w:eastAsia="en-US"/>
        </w:rPr>
        <w:t>labour and environmental</w:t>
      </w:r>
      <w:r>
        <w:rPr>
          <w:rFonts w:ascii="Times New Roman" w:eastAsia="Calibri" w:hAnsi="Times New Roman"/>
          <w:szCs w:val="24"/>
          <w:lang w:eastAsia="en-US"/>
        </w:rPr>
        <w:t xml:space="preserve"> issues</w:t>
      </w:r>
      <w:r w:rsidRPr="008C6353">
        <w:rPr>
          <w:rFonts w:ascii="Times New Roman" w:eastAsia="Calibri" w:hAnsi="Times New Roman"/>
          <w:szCs w:val="24"/>
          <w:lang w:eastAsia="en-US"/>
        </w:rPr>
        <w:t xml:space="preserve"> </w:t>
      </w:r>
      <w:r>
        <w:rPr>
          <w:rFonts w:ascii="Times New Roman" w:eastAsia="Calibri" w:hAnsi="Times New Roman"/>
          <w:szCs w:val="24"/>
          <w:lang w:eastAsia="en-US"/>
        </w:rPr>
        <w:t xml:space="preserve">and to promote corporate social responsibility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aragraphs 20 (g) and (h)</w:t>
      </w:r>
      <w:r w:rsidRPr="00935871">
        <w:rPr>
          <w:rFonts w:ascii="Times New Roman" w:eastAsia="Calibri" w:hAnsi="Times New Roman"/>
          <w:szCs w:val="24"/>
          <w:lang w:eastAsia="en-US"/>
        </w:rPr>
        <w:t>)</w:t>
      </w:r>
      <w:r w:rsidRPr="006D63BC">
        <w:rPr>
          <w:rFonts w:ascii="Times New Roman" w:eastAsia="Calibri" w:hAnsi="Times New Roman"/>
          <w:szCs w:val="24"/>
          <w:lang w:eastAsia="en-US"/>
        </w:rPr>
        <w:t>.</w:t>
      </w:r>
    </w:p>
    <w:p w:rsidR="0029784F" w:rsidRDefault="0029784F" w:rsidP="0029784F">
      <w:pPr>
        <w:widowControl w:val="0"/>
        <w:spacing w:after="120"/>
        <w:rPr>
          <w:rFonts w:ascii="Times New Roman" w:eastAsia="Calibri" w:hAnsi="Times New Roman"/>
          <w:szCs w:val="24"/>
          <w:lang w:eastAsia="en-US"/>
        </w:rPr>
      </w:pPr>
      <w:r>
        <w:rPr>
          <w:rFonts w:ascii="Times New Roman" w:eastAsia="Calibri" w:hAnsi="Times New Roman"/>
          <w:szCs w:val="24"/>
          <w:lang w:eastAsia="en-US"/>
        </w:rPr>
        <w:t xml:space="preserve">The Commission will seek commitments promoting trade in legally obtained and sustainably managed natural resources, including </w:t>
      </w:r>
      <w:r w:rsidRPr="00F62E9B">
        <w:rPr>
          <w:rFonts w:ascii="Times New Roman" w:eastAsia="Calibri" w:hAnsi="Times New Roman"/>
          <w:szCs w:val="24"/>
          <w:lang w:eastAsia="en-US"/>
        </w:rPr>
        <w:t>fisheries</w:t>
      </w:r>
      <w:r>
        <w:rPr>
          <w:rFonts w:ascii="Times New Roman" w:eastAsia="Calibri" w:hAnsi="Times New Roman"/>
          <w:szCs w:val="24"/>
          <w:lang w:eastAsia="en-US"/>
        </w:rPr>
        <w:t xml:space="preserve">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18 and 19</w:t>
      </w:r>
      <w:r w:rsidRPr="00935871">
        <w:rPr>
          <w:rFonts w:ascii="Times New Roman" w:eastAsia="Calibri" w:hAnsi="Times New Roman"/>
          <w:szCs w:val="24"/>
          <w:lang w:eastAsia="en-US"/>
        </w:rPr>
        <w:t>)</w:t>
      </w:r>
      <w:r>
        <w:rPr>
          <w:rFonts w:ascii="Times New Roman" w:eastAsia="Calibri" w:hAnsi="Times New Roman"/>
          <w:szCs w:val="24"/>
          <w:lang w:eastAsia="en-US"/>
        </w:rPr>
        <w:t>.</w:t>
      </w:r>
    </w:p>
    <w:p w:rsidR="0029784F" w:rsidRDefault="0029784F" w:rsidP="0029784F">
      <w:pPr>
        <w:widowControl w:val="0"/>
        <w:spacing w:after="120"/>
        <w:rPr>
          <w:rFonts w:ascii="Times New Roman" w:eastAsia="Calibri" w:hAnsi="Times New Roman"/>
          <w:szCs w:val="24"/>
          <w:lang w:eastAsia="en-US"/>
        </w:rPr>
      </w:pPr>
      <w:r w:rsidRPr="009655BB">
        <w:rPr>
          <w:rFonts w:ascii="Times New Roman" w:eastAsia="Calibri" w:hAnsi="Times New Roman"/>
          <w:szCs w:val="24"/>
          <w:lang w:eastAsia="en-US"/>
        </w:rPr>
        <w:t xml:space="preserve">The Commission notes that cooperation with </w:t>
      </w:r>
      <w:r>
        <w:rPr>
          <w:rFonts w:ascii="Times New Roman" w:eastAsia="Calibri" w:hAnsi="Times New Roman"/>
          <w:szCs w:val="24"/>
          <w:lang w:eastAsia="en-US"/>
        </w:rPr>
        <w:t>New Zealand</w:t>
      </w:r>
      <w:r w:rsidRPr="009655BB">
        <w:rPr>
          <w:rFonts w:ascii="Times New Roman" w:eastAsia="Calibri" w:hAnsi="Times New Roman"/>
          <w:szCs w:val="24"/>
          <w:lang w:eastAsia="en-US"/>
        </w:rPr>
        <w:t xml:space="preserve"> on </w:t>
      </w:r>
      <w:r w:rsidRPr="009655BB">
        <w:rPr>
          <w:rFonts w:ascii="Times New Roman" w:eastAsia="Calibri" w:hAnsi="Times New Roman"/>
          <w:b/>
          <w:szCs w:val="24"/>
          <w:lang w:eastAsia="en-US"/>
        </w:rPr>
        <w:t>gender equality, good governance</w:t>
      </w:r>
      <w:r>
        <w:rPr>
          <w:rFonts w:ascii="Times New Roman" w:eastAsia="Calibri" w:hAnsi="Times New Roman"/>
          <w:b/>
          <w:szCs w:val="24"/>
          <w:lang w:eastAsia="en-US"/>
        </w:rPr>
        <w:t xml:space="preserve"> on tax issues</w:t>
      </w:r>
      <w:r w:rsidRPr="009655BB">
        <w:rPr>
          <w:rFonts w:ascii="Times New Roman" w:eastAsia="Calibri" w:hAnsi="Times New Roman"/>
          <w:b/>
          <w:szCs w:val="24"/>
          <w:lang w:eastAsia="en-US"/>
        </w:rPr>
        <w:t xml:space="preserve"> and anti-corruption</w:t>
      </w:r>
      <w:r w:rsidRPr="009655BB">
        <w:rPr>
          <w:rFonts w:ascii="Times New Roman" w:eastAsia="Calibri" w:hAnsi="Times New Roman"/>
          <w:szCs w:val="24"/>
          <w:lang w:eastAsia="en-US"/>
        </w:rPr>
        <w:t xml:space="preserve"> is already addressed in the EU-</w:t>
      </w:r>
      <w:r>
        <w:rPr>
          <w:rFonts w:ascii="Times New Roman" w:eastAsia="Calibri" w:hAnsi="Times New Roman"/>
          <w:szCs w:val="24"/>
          <w:lang w:eastAsia="en-US"/>
        </w:rPr>
        <w:t>New Zealand</w:t>
      </w:r>
      <w:r w:rsidRPr="009655BB">
        <w:rPr>
          <w:rFonts w:ascii="Times New Roman" w:eastAsia="Calibri" w:hAnsi="Times New Roman"/>
          <w:szCs w:val="24"/>
          <w:lang w:eastAsia="en-US"/>
        </w:rPr>
        <w:t xml:space="preserve"> Framework Agreement</w:t>
      </w:r>
      <w:r w:rsidR="00187EB3">
        <w:rPr>
          <w:rFonts w:ascii="Times New Roman" w:eastAsia="Calibri" w:hAnsi="Times New Roman"/>
          <w:szCs w:val="24"/>
          <w:lang w:eastAsia="en-US"/>
        </w:rPr>
        <w:t>;</w:t>
      </w:r>
      <w:r w:rsidRPr="009655BB">
        <w:rPr>
          <w:rFonts w:ascii="Times New Roman" w:eastAsia="Calibri" w:hAnsi="Times New Roman"/>
          <w:szCs w:val="24"/>
          <w:lang w:eastAsia="en-US"/>
        </w:rPr>
        <w:t xml:space="preserve"> therefore</w:t>
      </w:r>
      <w:r w:rsidR="00187EB3">
        <w:rPr>
          <w:rFonts w:ascii="Times New Roman" w:eastAsia="Calibri" w:hAnsi="Times New Roman"/>
          <w:szCs w:val="24"/>
          <w:lang w:eastAsia="en-US"/>
        </w:rPr>
        <w:t>,</w:t>
      </w:r>
      <w:r w:rsidRPr="009655BB">
        <w:rPr>
          <w:rFonts w:ascii="Times New Roman" w:eastAsia="Calibri" w:hAnsi="Times New Roman"/>
          <w:szCs w:val="24"/>
          <w:lang w:eastAsia="en-US"/>
        </w:rPr>
        <w:t xml:space="preserve"> these issues were not included in the Commission recommendation for an FTA with </w:t>
      </w:r>
      <w:r>
        <w:rPr>
          <w:rFonts w:ascii="Times New Roman" w:eastAsia="Calibri" w:hAnsi="Times New Roman"/>
          <w:szCs w:val="24"/>
          <w:lang w:eastAsia="en-US"/>
        </w:rPr>
        <w:t>New Zealand</w:t>
      </w:r>
      <w:r w:rsidRPr="009655BB">
        <w:rPr>
          <w:rFonts w:ascii="Times New Roman" w:eastAsia="Calibri" w:hAnsi="Times New Roman"/>
          <w:szCs w:val="24"/>
          <w:lang w:eastAsia="en-US"/>
        </w:rPr>
        <w:t xml:space="preserve">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aragraphs 14 and 15</w:t>
      </w:r>
      <w:r w:rsidRPr="00935871">
        <w:rPr>
          <w:rFonts w:ascii="Times New Roman" w:eastAsia="Calibri" w:hAnsi="Times New Roman"/>
          <w:szCs w:val="24"/>
          <w:lang w:eastAsia="en-US"/>
        </w:rPr>
        <w:t>)</w:t>
      </w:r>
      <w:r w:rsidRPr="009655BB">
        <w:rPr>
          <w:rFonts w:ascii="Times New Roman" w:eastAsia="Calibri" w:hAnsi="Times New Roman"/>
          <w:szCs w:val="24"/>
          <w:lang w:eastAsia="en-US"/>
        </w:rPr>
        <w:t>.</w:t>
      </w:r>
    </w:p>
    <w:p w:rsidR="0029784F" w:rsidRDefault="0029784F" w:rsidP="0029784F">
      <w:pPr>
        <w:widowControl w:val="0"/>
        <w:spacing w:after="120"/>
        <w:rPr>
          <w:rFonts w:ascii="Times New Roman" w:eastAsia="Calibri" w:hAnsi="Times New Roman"/>
          <w:szCs w:val="24"/>
          <w:lang w:eastAsia="en-US"/>
        </w:rPr>
      </w:pPr>
      <w:r>
        <w:rPr>
          <w:rFonts w:ascii="Times New Roman" w:eastAsia="Calibri" w:hAnsi="Times New Roman"/>
          <w:szCs w:val="24"/>
          <w:lang w:eastAsia="en-US"/>
        </w:rPr>
        <w:t>T</w:t>
      </w:r>
      <w:r w:rsidRPr="00F62E9B">
        <w:rPr>
          <w:rFonts w:ascii="Times New Roman" w:eastAsia="Calibri" w:hAnsi="Times New Roman"/>
          <w:szCs w:val="24"/>
          <w:lang w:eastAsia="en-US"/>
        </w:rPr>
        <w:t xml:space="preserve">he Commission fully agrees </w:t>
      </w:r>
      <w:r>
        <w:rPr>
          <w:rFonts w:ascii="Times New Roman" w:eastAsia="Calibri" w:hAnsi="Times New Roman"/>
          <w:szCs w:val="24"/>
          <w:lang w:eastAsia="en-US"/>
        </w:rPr>
        <w:t xml:space="preserve">that the FTA should include strong and enforceable measures </w:t>
      </w:r>
      <w:r>
        <w:rPr>
          <w:rFonts w:ascii="Times New Roman" w:eastAsia="Calibri" w:hAnsi="Times New Roman"/>
          <w:szCs w:val="24"/>
          <w:lang w:eastAsia="en-US"/>
        </w:rPr>
        <w:lastRenderedPageBreak/>
        <w:t xml:space="preserve">regarding the recognition and protection of </w:t>
      </w:r>
      <w:r w:rsidRPr="00F62E9B">
        <w:rPr>
          <w:rFonts w:ascii="Times New Roman" w:eastAsia="Calibri" w:hAnsi="Times New Roman"/>
          <w:b/>
          <w:szCs w:val="24"/>
          <w:lang w:eastAsia="en-US"/>
        </w:rPr>
        <w:t>intellectual property rights</w:t>
      </w:r>
      <w:r>
        <w:rPr>
          <w:rFonts w:ascii="Times New Roman" w:eastAsia="Calibri" w:hAnsi="Times New Roman"/>
          <w:szCs w:val="24"/>
          <w:lang w:eastAsia="en-US"/>
        </w:rPr>
        <w:t xml:space="preserve">, including geographical indications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 20 (j)</w:t>
      </w:r>
      <w:r w:rsidRPr="00935871">
        <w:rPr>
          <w:rFonts w:ascii="Times New Roman" w:eastAsia="Calibri" w:hAnsi="Times New Roman"/>
          <w:szCs w:val="24"/>
          <w:lang w:eastAsia="en-US"/>
        </w:rPr>
        <w:t>)</w:t>
      </w:r>
      <w:r>
        <w:rPr>
          <w:rFonts w:ascii="Times New Roman" w:eastAsia="Calibri" w:hAnsi="Times New Roman"/>
          <w:szCs w:val="24"/>
          <w:lang w:eastAsia="en-US"/>
        </w:rPr>
        <w:t>.</w:t>
      </w:r>
    </w:p>
    <w:p w:rsidR="0029784F" w:rsidRDefault="0029784F" w:rsidP="0029784F">
      <w:pPr>
        <w:pStyle w:val="ListBullet2"/>
        <w:numPr>
          <w:ilvl w:val="0"/>
          <w:numId w:val="0"/>
        </w:numPr>
        <w:spacing w:after="120"/>
        <w:rPr>
          <w:rFonts w:ascii="Times New Roman" w:hAnsi="Times New Roman"/>
          <w:bCs/>
          <w:szCs w:val="24"/>
          <w:lang w:val="en-US"/>
        </w:rPr>
      </w:pPr>
      <w:r>
        <w:rPr>
          <w:rFonts w:ascii="Times New Roman" w:eastAsia="Calibri" w:hAnsi="Times New Roman"/>
          <w:szCs w:val="24"/>
          <w:lang w:eastAsia="en-US"/>
        </w:rPr>
        <w:t xml:space="preserve">The Commission carried out an impact assessment that also covered the EU's </w:t>
      </w:r>
      <w:r w:rsidRPr="008C6353">
        <w:rPr>
          <w:rFonts w:ascii="Times New Roman" w:eastAsia="Calibri" w:hAnsi="Times New Roman"/>
          <w:b/>
          <w:szCs w:val="24"/>
          <w:lang w:eastAsia="en-US"/>
        </w:rPr>
        <w:t>outermost regions</w:t>
      </w:r>
      <w:r>
        <w:rPr>
          <w:rFonts w:ascii="Times New Roman" w:eastAsia="Calibri" w:hAnsi="Times New Roman"/>
          <w:b/>
          <w:szCs w:val="24"/>
          <w:lang w:eastAsia="en-US"/>
        </w:rPr>
        <w:t xml:space="preserve">, </w:t>
      </w:r>
      <w:r w:rsidRPr="008C6353">
        <w:rPr>
          <w:rFonts w:ascii="Times New Roman" w:eastAsia="Calibri" w:hAnsi="Times New Roman"/>
          <w:szCs w:val="24"/>
          <w:lang w:eastAsia="en-US"/>
        </w:rPr>
        <w:t>and least developed countries</w:t>
      </w:r>
      <w:r w:rsidRPr="00935871">
        <w:rPr>
          <w:rFonts w:ascii="Times New Roman" w:eastAsia="Calibri" w:hAnsi="Times New Roman"/>
          <w:szCs w:val="24"/>
          <w:lang w:eastAsia="en-US"/>
        </w:rPr>
        <w:t>.</w:t>
      </w:r>
      <w:r>
        <w:rPr>
          <w:rFonts w:ascii="Times New Roman" w:eastAsia="Calibri" w:hAnsi="Times New Roman"/>
          <w:szCs w:val="24"/>
          <w:lang w:eastAsia="en-US"/>
        </w:rPr>
        <w:t xml:space="preserve"> </w:t>
      </w:r>
      <w:r w:rsidRPr="008C6353">
        <w:rPr>
          <w:rFonts w:ascii="Times New Roman" w:eastAsia="Calibri" w:hAnsi="Times New Roman"/>
          <w:szCs w:val="24"/>
          <w:lang w:eastAsia="en-US"/>
        </w:rPr>
        <w:t xml:space="preserve">In its </w:t>
      </w:r>
      <w:r>
        <w:rPr>
          <w:rFonts w:ascii="Times New Roman" w:eastAsia="Calibri" w:hAnsi="Times New Roman"/>
          <w:szCs w:val="24"/>
          <w:lang w:eastAsia="en-US"/>
        </w:rPr>
        <w:t>C</w:t>
      </w:r>
      <w:r w:rsidRPr="008C6353">
        <w:rPr>
          <w:rFonts w:ascii="Times New Roman" w:eastAsia="Calibri" w:hAnsi="Times New Roman"/>
          <w:szCs w:val="24"/>
          <w:lang w:eastAsia="en-US"/>
        </w:rPr>
        <w:t xml:space="preserve">ommunication on </w:t>
      </w:r>
      <w:r w:rsidR="00C473CE">
        <w:rPr>
          <w:rFonts w:ascii="Times New Roman" w:eastAsia="Calibri" w:hAnsi="Times New Roman"/>
          <w:szCs w:val="24"/>
          <w:lang w:eastAsia="en-US"/>
        </w:rPr>
        <w:t>"</w:t>
      </w:r>
      <w:r>
        <w:rPr>
          <w:rFonts w:ascii="Times New Roman" w:eastAsia="Calibri" w:hAnsi="Times New Roman"/>
          <w:szCs w:val="24"/>
          <w:lang w:eastAsia="en-US"/>
        </w:rPr>
        <w:t xml:space="preserve">A stronger and renewed strategic partnership with the EU's </w:t>
      </w:r>
      <w:r w:rsidRPr="008C6353">
        <w:rPr>
          <w:rFonts w:ascii="Times New Roman" w:eastAsia="Calibri" w:hAnsi="Times New Roman"/>
          <w:szCs w:val="24"/>
          <w:lang w:eastAsia="en-US"/>
        </w:rPr>
        <w:t>outermost regions</w:t>
      </w:r>
      <w:r w:rsidR="00C473CE">
        <w:rPr>
          <w:rFonts w:ascii="Times New Roman" w:eastAsia="Calibri" w:hAnsi="Times New Roman"/>
          <w:szCs w:val="24"/>
          <w:lang w:eastAsia="en-US"/>
        </w:rPr>
        <w:t>"</w:t>
      </w:r>
      <w:r>
        <w:rPr>
          <w:rFonts w:ascii="Times New Roman" w:eastAsia="Calibri" w:hAnsi="Times New Roman"/>
          <w:szCs w:val="24"/>
          <w:lang w:eastAsia="en-US"/>
        </w:rPr>
        <w:t xml:space="preserve"> (</w:t>
      </w:r>
      <w:proofErr w:type="gramStart"/>
      <w:r w:rsidRPr="006C6E80">
        <w:rPr>
          <w:rFonts w:ascii="Times New Roman" w:eastAsia="Calibri" w:hAnsi="Times New Roman"/>
          <w:szCs w:val="24"/>
          <w:lang w:eastAsia="en-US"/>
        </w:rPr>
        <w:t>COM(</w:t>
      </w:r>
      <w:proofErr w:type="gramEnd"/>
      <w:r w:rsidRPr="006C6E80">
        <w:rPr>
          <w:rFonts w:ascii="Times New Roman" w:eastAsia="Calibri" w:hAnsi="Times New Roman"/>
          <w:szCs w:val="24"/>
          <w:lang w:eastAsia="en-US"/>
        </w:rPr>
        <w:t>2017)</w:t>
      </w:r>
      <w:r w:rsidR="00C473CE">
        <w:rPr>
          <w:rFonts w:ascii="Times New Roman" w:eastAsia="Calibri" w:hAnsi="Times New Roman"/>
          <w:szCs w:val="24"/>
          <w:lang w:eastAsia="en-US"/>
        </w:rPr>
        <w:t> </w:t>
      </w:r>
      <w:r w:rsidRPr="006C6E80">
        <w:rPr>
          <w:rFonts w:ascii="Times New Roman" w:eastAsia="Calibri" w:hAnsi="Times New Roman"/>
          <w:szCs w:val="24"/>
          <w:lang w:eastAsia="en-US"/>
        </w:rPr>
        <w:t>623</w:t>
      </w:r>
      <w:r>
        <w:rPr>
          <w:rFonts w:ascii="Times New Roman" w:eastAsia="Calibri" w:hAnsi="Times New Roman"/>
          <w:szCs w:val="24"/>
          <w:lang w:eastAsia="en-US"/>
        </w:rPr>
        <w:t xml:space="preserve"> of 24.10.2017)</w:t>
      </w:r>
      <w:r w:rsidRPr="008C6353">
        <w:rPr>
          <w:rFonts w:ascii="Times New Roman" w:eastAsia="Calibri" w:hAnsi="Times New Roman"/>
          <w:szCs w:val="24"/>
          <w:lang w:eastAsia="en-US"/>
        </w:rPr>
        <w:t xml:space="preserve">, the Commission committed to reinforcing the attention paid to the outermost regions at all stages of the life of </w:t>
      </w:r>
      <w:r>
        <w:rPr>
          <w:rFonts w:ascii="Times New Roman" w:eastAsia="Calibri" w:hAnsi="Times New Roman"/>
          <w:szCs w:val="24"/>
          <w:lang w:eastAsia="en-US"/>
        </w:rPr>
        <w:t>EU</w:t>
      </w:r>
      <w:r w:rsidRPr="008C6353">
        <w:rPr>
          <w:rFonts w:ascii="Times New Roman" w:eastAsia="Calibri" w:hAnsi="Times New Roman"/>
          <w:szCs w:val="24"/>
          <w:lang w:eastAsia="en-US"/>
        </w:rPr>
        <w:t xml:space="preserve"> trade agreements.</w:t>
      </w:r>
      <w:r>
        <w:rPr>
          <w:rFonts w:ascii="Times New Roman" w:eastAsia="Calibri" w:hAnsi="Times New Roman"/>
          <w:szCs w:val="24"/>
          <w:lang w:eastAsia="en-US"/>
        </w:rPr>
        <w:t xml:space="preserve"> The Commission notes that </w:t>
      </w:r>
      <w:r w:rsidRPr="008C6353">
        <w:rPr>
          <w:rFonts w:ascii="Times New Roman" w:eastAsia="Calibri" w:hAnsi="Times New Roman"/>
          <w:b/>
          <w:szCs w:val="24"/>
          <w:lang w:eastAsia="en-US"/>
        </w:rPr>
        <w:t>overseas countries and territories</w:t>
      </w:r>
      <w:r>
        <w:rPr>
          <w:rFonts w:ascii="Times New Roman" w:eastAsia="Calibri" w:hAnsi="Times New Roman"/>
          <w:szCs w:val="24"/>
          <w:lang w:eastAsia="en-US"/>
        </w:rPr>
        <w:t xml:space="preserve"> are not part of the EU's customs territory or the EU's single market </w:t>
      </w:r>
      <w:r w:rsidRPr="00935871">
        <w:rPr>
          <w:rFonts w:ascii="Times New Roman" w:eastAsia="Calibri" w:hAnsi="Times New Roman"/>
          <w:szCs w:val="24"/>
          <w:lang w:eastAsia="en-US"/>
        </w:rPr>
        <w:t>(</w:t>
      </w:r>
      <w:r w:rsidR="003D3828" w:rsidRPr="00935871">
        <w:rPr>
          <w:rFonts w:ascii="Times New Roman" w:eastAsia="Calibri" w:hAnsi="Times New Roman"/>
          <w:b/>
          <w:szCs w:val="24"/>
          <w:lang w:eastAsia="en-US"/>
        </w:rPr>
        <w:t>P</w:t>
      </w:r>
      <w:r w:rsidRPr="00935871">
        <w:rPr>
          <w:rFonts w:ascii="Times New Roman" w:eastAsia="Calibri" w:hAnsi="Times New Roman"/>
          <w:b/>
          <w:szCs w:val="24"/>
          <w:lang w:eastAsia="en-US"/>
        </w:rPr>
        <w:t>aragraphs 5 and 20 (m)</w:t>
      </w:r>
      <w:r w:rsidRPr="00935871">
        <w:rPr>
          <w:rFonts w:ascii="Times New Roman" w:eastAsia="Calibri" w:hAnsi="Times New Roman"/>
          <w:szCs w:val="24"/>
          <w:lang w:eastAsia="en-US"/>
        </w:rPr>
        <w:t>)</w:t>
      </w:r>
      <w:r>
        <w:rPr>
          <w:rFonts w:ascii="Times New Roman" w:eastAsia="Calibri" w:hAnsi="Times New Roman"/>
          <w:szCs w:val="24"/>
          <w:lang w:eastAsia="en-US"/>
        </w:rPr>
        <w:t>.</w:t>
      </w:r>
      <w:bookmarkStart w:id="0" w:name="_GoBack"/>
      <w:bookmarkEnd w:id="0"/>
    </w:p>
    <w:sectPr w:rsidR="0029784F" w:rsidSect="002C283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12" w:rsidRDefault="00523912">
      <w:r>
        <w:separator/>
      </w:r>
    </w:p>
  </w:endnote>
  <w:endnote w:type="continuationSeparator" w:id="0">
    <w:p w:rsidR="00523912" w:rsidRDefault="0052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5E2AB0" w:rsidRDefault="005E2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283C">
      <w:rPr>
        <w:rStyle w:val="PageNumber"/>
        <w:noProof/>
      </w:rPr>
      <w:t>2</w:t>
    </w:r>
    <w:r>
      <w:rPr>
        <w:rStyle w:val="PageNumber"/>
      </w:rPr>
      <w:fldChar w:fldCharType="end"/>
    </w:r>
  </w:p>
  <w:p w:rsidR="005E2AB0" w:rsidRPr="008A6623" w:rsidRDefault="005E2AB0" w:rsidP="008A6623">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12" w:rsidRDefault="00523912">
      <w:r>
        <w:separator/>
      </w:r>
    </w:p>
  </w:footnote>
  <w:footnote w:type="continuationSeparator" w:id="0">
    <w:p w:rsidR="00523912" w:rsidRDefault="00523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2D42873"/>
    <w:multiLevelType w:val="hybridMultilevel"/>
    <w:tmpl w:val="DE9230CC"/>
    <w:lvl w:ilvl="0" w:tplc="08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615EC0"/>
    <w:multiLevelType w:val="hybridMultilevel"/>
    <w:tmpl w:val="99DABB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9">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nsid w:val="171236DA"/>
    <w:multiLevelType w:val="hybridMultilevel"/>
    <w:tmpl w:val="02FCD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B901491"/>
    <w:multiLevelType w:val="hybridMultilevel"/>
    <w:tmpl w:val="63505258"/>
    <w:lvl w:ilvl="0" w:tplc="848C7504">
      <w:start w:val="1"/>
      <w:numFmt w:val="decimal"/>
      <w:lvlText w:val="%1."/>
      <w:lvlJc w:val="left"/>
      <w:pPr>
        <w:ind w:left="502" w:hanging="360"/>
      </w:pPr>
      <w:rPr>
        <w:b/>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3">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4">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nsid w:val="2FE51AB8"/>
    <w:multiLevelType w:val="hybridMultilevel"/>
    <w:tmpl w:val="8C784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4">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nsid w:val="5A470F59"/>
    <w:multiLevelType w:val="hybridMultilevel"/>
    <w:tmpl w:val="DC7C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523A14"/>
    <w:multiLevelType w:val="hybridMultilevel"/>
    <w:tmpl w:val="BF58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0">
    <w:nsid w:val="603106C7"/>
    <w:multiLevelType w:val="hybridMultilevel"/>
    <w:tmpl w:val="561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D84B0A"/>
    <w:multiLevelType w:val="hybridMultilevel"/>
    <w:tmpl w:val="0D305BAC"/>
    <w:lvl w:ilvl="0" w:tplc="0809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2">
    <w:nsid w:val="634F0BEF"/>
    <w:multiLevelType w:val="hybridMultilevel"/>
    <w:tmpl w:val="25E8BC14"/>
    <w:lvl w:ilvl="0" w:tplc="FC4CB8C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3A213E0"/>
    <w:multiLevelType w:val="hybridMultilevel"/>
    <w:tmpl w:val="512E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7">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1">
    <w:nsid w:val="77DD195F"/>
    <w:multiLevelType w:val="hybridMultilevel"/>
    <w:tmpl w:val="EB082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3">
    <w:nsid w:val="78594DAE"/>
    <w:multiLevelType w:val="hybridMultilevel"/>
    <w:tmpl w:val="6BA4D164"/>
    <w:lvl w:ilvl="0" w:tplc="8106599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9"/>
  </w:num>
  <w:num w:numId="2">
    <w:abstractNumId w:val="1"/>
  </w:num>
  <w:num w:numId="3">
    <w:abstractNumId w:val="42"/>
  </w:num>
  <w:num w:numId="4">
    <w:abstractNumId w:val="15"/>
  </w:num>
  <w:num w:numId="5">
    <w:abstractNumId w:val="36"/>
  </w:num>
  <w:num w:numId="6">
    <w:abstractNumId w:val="13"/>
  </w:num>
  <w:num w:numId="7">
    <w:abstractNumId w:val="8"/>
  </w:num>
  <w:num w:numId="8">
    <w:abstractNumId w:val="20"/>
  </w:num>
  <w:num w:numId="9">
    <w:abstractNumId w:val="40"/>
  </w:num>
  <w:num w:numId="10">
    <w:abstractNumId w:val="26"/>
  </w:num>
  <w:num w:numId="11">
    <w:abstractNumId w:val="34"/>
  </w:num>
  <w:num w:numId="12">
    <w:abstractNumId w:val="14"/>
  </w:num>
  <w:num w:numId="13">
    <w:abstractNumId w:val="22"/>
  </w:num>
  <w:num w:numId="14">
    <w:abstractNumId w:val="38"/>
  </w:num>
  <w:num w:numId="15">
    <w:abstractNumId w:val="19"/>
  </w:num>
  <w:num w:numId="16">
    <w:abstractNumId w:val="45"/>
  </w:num>
  <w:num w:numId="17">
    <w:abstractNumId w:val="39"/>
  </w:num>
  <w:num w:numId="18">
    <w:abstractNumId w:val="24"/>
  </w:num>
  <w:num w:numId="19">
    <w:abstractNumId w:val="25"/>
  </w:num>
  <w:num w:numId="20">
    <w:abstractNumId w:val="35"/>
  </w:num>
  <w:num w:numId="21">
    <w:abstractNumId w:val="3"/>
  </w:num>
  <w:num w:numId="22">
    <w:abstractNumId w:val="4"/>
  </w:num>
  <w:num w:numId="23">
    <w:abstractNumId w:val="18"/>
  </w:num>
  <w:num w:numId="24">
    <w:abstractNumId w:val="44"/>
  </w:num>
  <w:num w:numId="25">
    <w:abstractNumId w:val="21"/>
  </w:num>
  <w:num w:numId="26">
    <w:abstractNumId w:val="17"/>
  </w:num>
  <w:num w:numId="27">
    <w:abstractNumId w:val="37"/>
  </w:num>
  <w:num w:numId="28">
    <w:abstractNumId w:val="7"/>
  </w:num>
  <w:num w:numId="29">
    <w:abstractNumId w:val="29"/>
  </w:num>
  <w:num w:numId="30">
    <w:abstractNumId w:val="6"/>
  </w:num>
  <w:num w:numId="31">
    <w:abstractNumId w:val="23"/>
  </w:num>
  <w:num w:numId="32">
    <w:abstractNumId w:val="10"/>
  </w:num>
  <w:num w:numId="33">
    <w:abstractNumId w:val="31"/>
  </w:num>
  <w:num w:numId="34">
    <w:abstractNumId w:val="5"/>
  </w:num>
  <w:num w:numId="35">
    <w:abstractNumId w:val="32"/>
  </w:num>
  <w:num w:numId="36">
    <w:abstractNumId w:val="43"/>
  </w:num>
  <w:num w:numId="37">
    <w:abstractNumId w:val="30"/>
  </w:num>
  <w:num w:numId="38">
    <w:abstractNumId w:val="28"/>
  </w:num>
  <w:num w:numId="39">
    <w:abstractNumId w:val="27"/>
  </w:num>
  <w:num w:numId="40">
    <w:abstractNumId w:val="2"/>
  </w:num>
  <w:num w:numId="41">
    <w:abstractNumId w:val="12"/>
  </w:num>
  <w:num w:numId="42">
    <w:abstractNumId w:val="33"/>
  </w:num>
  <w:num w:numId="43">
    <w:abstractNumId w:val="16"/>
  </w:num>
  <w:num w:numId="4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190"/>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85D"/>
    <w:rsid w:val="00033DE8"/>
    <w:rsid w:val="00033EA1"/>
    <w:rsid w:val="00033F57"/>
    <w:rsid w:val="000340CA"/>
    <w:rsid w:val="000347E9"/>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9DA"/>
    <w:rsid w:val="00051E3C"/>
    <w:rsid w:val="000520B1"/>
    <w:rsid w:val="00052241"/>
    <w:rsid w:val="00052672"/>
    <w:rsid w:val="00052814"/>
    <w:rsid w:val="000529E9"/>
    <w:rsid w:val="00053766"/>
    <w:rsid w:val="00053A14"/>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1B8"/>
    <w:rsid w:val="00067567"/>
    <w:rsid w:val="00067C33"/>
    <w:rsid w:val="00067F34"/>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582"/>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61"/>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1C6"/>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EB9"/>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CC6"/>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20"/>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EAC"/>
    <w:rsid w:val="00151F5E"/>
    <w:rsid w:val="00151F7E"/>
    <w:rsid w:val="001520FA"/>
    <w:rsid w:val="0015220C"/>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09C"/>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EB3"/>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038"/>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CE"/>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A45"/>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E89"/>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89C"/>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DED"/>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AAB"/>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0F32"/>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10"/>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4"/>
    <w:rsid w:val="002C089B"/>
    <w:rsid w:val="002C093A"/>
    <w:rsid w:val="002C0C05"/>
    <w:rsid w:val="002C0FF0"/>
    <w:rsid w:val="002C17DF"/>
    <w:rsid w:val="002C1C93"/>
    <w:rsid w:val="002C1D99"/>
    <w:rsid w:val="002C2151"/>
    <w:rsid w:val="002C230C"/>
    <w:rsid w:val="002C2311"/>
    <w:rsid w:val="002C24F2"/>
    <w:rsid w:val="002C2802"/>
    <w:rsid w:val="002C283C"/>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DE"/>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46"/>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5528"/>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CD9"/>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33"/>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DEA"/>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BE"/>
    <w:rsid w:val="00382ACB"/>
    <w:rsid w:val="00382B3E"/>
    <w:rsid w:val="00382DAE"/>
    <w:rsid w:val="00382F65"/>
    <w:rsid w:val="003830FC"/>
    <w:rsid w:val="00383468"/>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2F"/>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828"/>
    <w:rsid w:val="003D3A0C"/>
    <w:rsid w:val="003D3E70"/>
    <w:rsid w:val="003D41F2"/>
    <w:rsid w:val="003D4937"/>
    <w:rsid w:val="003D4B9D"/>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D9E"/>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BD2"/>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90"/>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858"/>
    <w:rsid w:val="00467906"/>
    <w:rsid w:val="00467B7D"/>
    <w:rsid w:val="00467CFF"/>
    <w:rsid w:val="00467E58"/>
    <w:rsid w:val="00467FAA"/>
    <w:rsid w:val="00467FFC"/>
    <w:rsid w:val="00470031"/>
    <w:rsid w:val="004700AF"/>
    <w:rsid w:val="0047030E"/>
    <w:rsid w:val="0047041D"/>
    <w:rsid w:val="004704A3"/>
    <w:rsid w:val="00470774"/>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3FB"/>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C09"/>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2CF"/>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216"/>
    <w:rsid w:val="004B6485"/>
    <w:rsid w:val="004B6618"/>
    <w:rsid w:val="004B6819"/>
    <w:rsid w:val="004B6840"/>
    <w:rsid w:val="004B6B02"/>
    <w:rsid w:val="004B6C88"/>
    <w:rsid w:val="004B6D63"/>
    <w:rsid w:val="004B71A4"/>
    <w:rsid w:val="004B75AF"/>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1EA"/>
    <w:rsid w:val="004C5230"/>
    <w:rsid w:val="004C53F2"/>
    <w:rsid w:val="004C55A3"/>
    <w:rsid w:val="004C5831"/>
    <w:rsid w:val="004C5A3C"/>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A25"/>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14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B3C"/>
    <w:rsid w:val="00501CE9"/>
    <w:rsid w:val="00501E42"/>
    <w:rsid w:val="00501E71"/>
    <w:rsid w:val="0050214A"/>
    <w:rsid w:val="00502387"/>
    <w:rsid w:val="00502D0D"/>
    <w:rsid w:val="00502D67"/>
    <w:rsid w:val="00502F22"/>
    <w:rsid w:val="0050310D"/>
    <w:rsid w:val="00503258"/>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912"/>
    <w:rsid w:val="00523A83"/>
    <w:rsid w:val="00523AEC"/>
    <w:rsid w:val="00523E19"/>
    <w:rsid w:val="00523F25"/>
    <w:rsid w:val="00524136"/>
    <w:rsid w:val="00524150"/>
    <w:rsid w:val="00524370"/>
    <w:rsid w:val="005244C5"/>
    <w:rsid w:val="00524693"/>
    <w:rsid w:val="005246B0"/>
    <w:rsid w:val="0052474E"/>
    <w:rsid w:val="00524C6A"/>
    <w:rsid w:val="00524CF3"/>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27E89"/>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AC6"/>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02D"/>
    <w:rsid w:val="00552C21"/>
    <w:rsid w:val="00552DB9"/>
    <w:rsid w:val="00552E5E"/>
    <w:rsid w:val="00553081"/>
    <w:rsid w:val="005535AA"/>
    <w:rsid w:val="0055362B"/>
    <w:rsid w:val="005536A7"/>
    <w:rsid w:val="005537A2"/>
    <w:rsid w:val="00553DAD"/>
    <w:rsid w:val="00554758"/>
    <w:rsid w:val="00554ACD"/>
    <w:rsid w:val="00554B54"/>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3A9"/>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13"/>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70A"/>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A4A"/>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3CDA"/>
    <w:rsid w:val="005B466D"/>
    <w:rsid w:val="005B4BB9"/>
    <w:rsid w:val="005B4EE9"/>
    <w:rsid w:val="005B4F48"/>
    <w:rsid w:val="005B5615"/>
    <w:rsid w:val="005B56F3"/>
    <w:rsid w:val="005B5751"/>
    <w:rsid w:val="005B57A5"/>
    <w:rsid w:val="005B5CB2"/>
    <w:rsid w:val="005B5E17"/>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317"/>
    <w:rsid w:val="005C389C"/>
    <w:rsid w:val="005C3A23"/>
    <w:rsid w:val="005C3B0C"/>
    <w:rsid w:val="005C3BF3"/>
    <w:rsid w:val="005C3CA2"/>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AB0"/>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CA7"/>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92B"/>
    <w:rsid w:val="00632A39"/>
    <w:rsid w:val="00632C15"/>
    <w:rsid w:val="00632D04"/>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5CC"/>
    <w:rsid w:val="00647EB2"/>
    <w:rsid w:val="00647FD7"/>
    <w:rsid w:val="0065008E"/>
    <w:rsid w:val="00650092"/>
    <w:rsid w:val="006506EC"/>
    <w:rsid w:val="0065098C"/>
    <w:rsid w:val="00650A6F"/>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DE3"/>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B46"/>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4F86"/>
    <w:rsid w:val="006851A5"/>
    <w:rsid w:val="006851A7"/>
    <w:rsid w:val="00685266"/>
    <w:rsid w:val="00685571"/>
    <w:rsid w:val="00685698"/>
    <w:rsid w:val="006856F1"/>
    <w:rsid w:val="006858DF"/>
    <w:rsid w:val="00685A4D"/>
    <w:rsid w:val="00685ACD"/>
    <w:rsid w:val="00685B24"/>
    <w:rsid w:val="006861E9"/>
    <w:rsid w:val="00686313"/>
    <w:rsid w:val="0068655A"/>
    <w:rsid w:val="006865BA"/>
    <w:rsid w:val="00686C7F"/>
    <w:rsid w:val="0068775A"/>
    <w:rsid w:val="00687BC0"/>
    <w:rsid w:val="00687E54"/>
    <w:rsid w:val="00690013"/>
    <w:rsid w:val="0069026C"/>
    <w:rsid w:val="0069071A"/>
    <w:rsid w:val="006907FD"/>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7E3"/>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03F"/>
    <w:rsid w:val="006E22E1"/>
    <w:rsid w:val="006E2653"/>
    <w:rsid w:val="006E27DA"/>
    <w:rsid w:val="006E2875"/>
    <w:rsid w:val="006E2D3E"/>
    <w:rsid w:val="006E329A"/>
    <w:rsid w:val="006E3477"/>
    <w:rsid w:val="006E358D"/>
    <w:rsid w:val="006E3A90"/>
    <w:rsid w:val="006E3CC7"/>
    <w:rsid w:val="006E3F71"/>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2F8"/>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192"/>
    <w:rsid w:val="00736367"/>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4EB2"/>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147"/>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18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37"/>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6C"/>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3E6"/>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872"/>
    <w:rsid w:val="007D2B58"/>
    <w:rsid w:val="007D2B94"/>
    <w:rsid w:val="007D2CAF"/>
    <w:rsid w:val="007D31A0"/>
    <w:rsid w:val="007D34B9"/>
    <w:rsid w:val="007D35B2"/>
    <w:rsid w:val="007D3AEC"/>
    <w:rsid w:val="007D3BA8"/>
    <w:rsid w:val="007D3FD8"/>
    <w:rsid w:val="007D4DC3"/>
    <w:rsid w:val="007D50FE"/>
    <w:rsid w:val="007D5181"/>
    <w:rsid w:val="007D5317"/>
    <w:rsid w:val="007D5450"/>
    <w:rsid w:val="007D573B"/>
    <w:rsid w:val="007D57F6"/>
    <w:rsid w:val="007D5967"/>
    <w:rsid w:val="007D5E26"/>
    <w:rsid w:val="007D5F25"/>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16"/>
    <w:rsid w:val="00807CE2"/>
    <w:rsid w:val="00807CE5"/>
    <w:rsid w:val="008111F2"/>
    <w:rsid w:val="0081147E"/>
    <w:rsid w:val="00812128"/>
    <w:rsid w:val="00812176"/>
    <w:rsid w:val="00812554"/>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07A"/>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A89"/>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6DC"/>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2D1"/>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4FD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4B3"/>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F7"/>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B6D"/>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3F2"/>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17"/>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871"/>
    <w:rsid w:val="00935B2B"/>
    <w:rsid w:val="00935B7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2F7"/>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D78"/>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3DB2"/>
    <w:rsid w:val="009B4268"/>
    <w:rsid w:val="009B433D"/>
    <w:rsid w:val="009B46AF"/>
    <w:rsid w:val="009B4797"/>
    <w:rsid w:val="009B47BE"/>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0F1"/>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4FC3"/>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1F0B"/>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7C1"/>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43B"/>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88"/>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5AF"/>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2C"/>
    <w:rsid w:val="00A836CD"/>
    <w:rsid w:val="00A83851"/>
    <w:rsid w:val="00A83BF4"/>
    <w:rsid w:val="00A83C2C"/>
    <w:rsid w:val="00A83FA5"/>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C51"/>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890"/>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03A"/>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5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6B7"/>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1C9"/>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390"/>
    <w:rsid w:val="00B5548E"/>
    <w:rsid w:val="00B55AC6"/>
    <w:rsid w:val="00B55D56"/>
    <w:rsid w:val="00B55F9E"/>
    <w:rsid w:val="00B55FBA"/>
    <w:rsid w:val="00B560F0"/>
    <w:rsid w:val="00B56134"/>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23B"/>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377"/>
    <w:rsid w:val="00B9141B"/>
    <w:rsid w:val="00B91487"/>
    <w:rsid w:val="00B917C1"/>
    <w:rsid w:val="00B91D5A"/>
    <w:rsid w:val="00B91F97"/>
    <w:rsid w:val="00B920A6"/>
    <w:rsid w:val="00B921B0"/>
    <w:rsid w:val="00B9259E"/>
    <w:rsid w:val="00B927CB"/>
    <w:rsid w:val="00B92CB2"/>
    <w:rsid w:val="00B92DCC"/>
    <w:rsid w:val="00B92FE6"/>
    <w:rsid w:val="00B93044"/>
    <w:rsid w:val="00B935F8"/>
    <w:rsid w:val="00B93D0B"/>
    <w:rsid w:val="00B93D3B"/>
    <w:rsid w:val="00B93E98"/>
    <w:rsid w:val="00B940D9"/>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B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2B5"/>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4D6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6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235"/>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4EAF"/>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53F"/>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0A1"/>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2FC"/>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3CE"/>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452"/>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A4"/>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CD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2CD"/>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B9D"/>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9F5"/>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72C"/>
    <w:rsid w:val="00CD7AB0"/>
    <w:rsid w:val="00CD7C05"/>
    <w:rsid w:val="00CD7C10"/>
    <w:rsid w:val="00CD7D8D"/>
    <w:rsid w:val="00CD7EA8"/>
    <w:rsid w:val="00CD7F09"/>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75F"/>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BBF"/>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02A"/>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572"/>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2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3E72"/>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3C2"/>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4FD"/>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2FF4"/>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17F92"/>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64"/>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6B9"/>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51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1C7"/>
    <w:rsid w:val="00E8026D"/>
    <w:rsid w:val="00E8030A"/>
    <w:rsid w:val="00E80500"/>
    <w:rsid w:val="00E8094F"/>
    <w:rsid w:val="00E80A2B"/>
    <w:rsid w:val="00E80C42"/>
    <w:rsid w:val="00E813C0"/>
    <w:rsid w:val="00E81459"/>
    <w:rsid w:val="00E82093"/>
    <w:rsid w:val="00E82165"/>
    <w:rsid w:val="00E821F0"/>
    <w:rsid w:val="00E82324"/>
    <w:rsid w:val="00E823EA"/>
    <w:rsid w:val="00E82471"/>
    <w:rsid w:val="00E8265B"/>
    <w:rsid w:val="00E826FB"/>
    <w:rsid w:val="00E8271A"/>
    <w:rsid w:val="00E8286F"/>
    <w:rsid w:val="00E8293D"/>
    <w:rsid w:val="00E82AE3"/>
    <w:rsid w:val="00E82FD4"/>
    <w:rsid w:val="00E8303D"/>
    <w:rsid w:val="00E8304F"/>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6B9"/>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DC2"/>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4B13"/>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2C0"/>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EF4"/>
    <w:rsid w:val="00F33EFA"/>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DEA"/>
    <w:rsid w:val="00F72F1D"/>
    <w:rsid w:val="00F73277"/>
    <w:rsid w:val="00F73330"/>
    <w:rsid w:val="00F7381F"/>
    <w:rsid w:val="00F73E92"/>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22F"/>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 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Dot pt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trade/policy/in-focus/eu-japan-free-trade-agreement/meetings-and-docu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E344-0FCE-4C0F-812C-D3F627E4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4</Pages>
  <Words>1766</Words>
  <Characters>9718</Characters>
  <Application>Microsoft Office Word</Application>
  <DocSecurity>0</DocSecurity>
  <PresentationFormat>Microsoft Word 8.0b</PresentationFormat>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11462</CharactersWithSpaces>
  <SharedDoc>false</SharedDoc>
  <HLinks>
    <vt:vector size="210" baseType="variant">
      <vt:variant>
        <vt:i4>2228328</vt:i4>
      </vt:variant>
      <vt:variant>
        <vt:i4>30</vt:i4>
      </vt:variant>
      <vt:variant>
        <vt:i4>0</vt:i4>
      </vt:variant>
      <vt:variant>
        <vt:i4>5</vt:i4>
      </vt:variant>
      <vt:variant>
        <vt:lpwstr>http://ec.europa.eu/trade/policy/in-focus/eu-japan-free-trade-agreement/meetings-and-documents/</vt:lpwstr>
      </vt:variant>
      <vt:variant>
        <vt:lpwstr/>
      </vt:variant>
      <vt:variant>
        <vt:i4>2228328</vt:i4>
      </vt:variant>
      <vt:variant>
        <vt:i4>27</vt:i4>
      </vt:variant>
      <vt:variant>
        <vt:i4>0</vt:i4>
      </vt:variant>
      <vt:variant>
        <vt:i4>5</vt:i4>
      </vt:variant>
      <vt:variant>
        <vt:lpwstr>http://ec.europa.eu/trade/policy/in-focus/eu-japan-free-trade-agreement/meetings-and-documents/</vt:lpwstr>
      </vt:variant>
      <vt:variant>
        <vt:lpwstr/>
      </vt:variant>
      <vt:variant>
        <vt:i4>2162709</vt:i4>
      </vt:variant>
      <vt:variant>
        <vt:i4>24</vt:i4>
      </vt:variant>
      <vt:variant>
        <vt:i4>0</vt:i4>
      </vt:variant>
      <vt:variant>
        <vt:i4>5</vt:i4>
      </vt:variant>
      <vt:variant>
        <vt:lpwstr>http://ec.europa.eu/environment/legal/liability/eld_training.htm</vt:lpwstr>
      </vt:variant>
      <vt:variant>
        <vt:lpwstr/>
      </vt:variant>
      <vt:variant>
        <vt:i4>5242891</vt:i4>
      </vt:variant>
      <vt:variant>
        <vt:i4>21</vt:i4>
      </vt:variant>
      <vt:variant>
        <vt:i4>0</vt:i4>
      </vt:variant>
      <vt:variant>
        <vt:i4>5</vt:i4>
      </vt:variant>
      <vt:variant>
        <vt:lpwstr>http://www.europarl.europa.eu/oeil/popups/ficheprocedure.do?lang=en&amp;reference=2015/2117(INI)</vt:lpwstr>
      </vt:variant>
      <vt:variant>
        <vt:lpwstr/>
      </vt:variant>
      <vt:variant>
        <vt:i4>3407970</vt:i4>
      </vt:variant>
      <vt:variant>
        <vt:i4>18</vt:i4>
      </vt:variant>
      <vt:variant>
        <vt:i4>0</vt:i4>
      </vt:variant>
      <vt:variant>
        <vt:i4>5</vt:i4>
      </vt:variant>
      <vt:variant>
        <vt:lpwstr>http://www.europarl.europa.eu/committees/en/libe/home.html</vt:lpwstr>
      </vt:variant>
      <vt:variant>
        <vt:lpwstr/>
      </vt:variant>
      <vt:variant>
        <vt:i4>65562</vt:i4>
      </vt:variant>
      <vt:variant>
        <vt:i4>15</vt:i4>
      </vt:variant>
      <vt:variant>
        <vt:i4>0</vt:i4>
      </vt:variant>
      <vt:variant>
        <vt:i4>5</vt:i4>
      </vt:variant>
      <vt:variant>
        <vt:lpwstr>http://www.europarl.europa.eu/sides/getDoc.do?type=REPORT&amp;mode=XML&amp;reference=A8-2017-0292&amp;language=EN</vt:lpwstr>
      </vt:variant>
      <vt:variant>
        <vt:lpwstr/>
      </vt:variant>
      <vt:variant>
        <vt:i4>7536756</vt:i4>
      </vt:variant>
      <vt:variant>
        <vt:i4>12</vt:i4>
      </vt:variant>
      <vt:variant>
        <vt:i4>0</vt:i4>
      </vt:variant>
      <vt:variant>
        <vt:i4>5</vt:i4>
      </vt:variant>
      <vt:variant>
        <vt:lpwstr>https://www.google.be/url?sa=t&amp;rct=j&amp;q=&amp;esrc=s&amp;source=web&amp;cd=1&amp;cad=rja&amp;uact=8&amp;ved=0ahUKEwj10vD8g57YAhWBOxQKHYu7ArUQFggnMAA&amp;url=https%3A%2F%2Fen.wikipedia.org%2Fwiki%2FGenetically_modified_organism&amp;usg=AOvVaw1oQE2p9AXmdbAcRuNYO01i</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5439578</vt:i4>
      </vt:variant>
      <vt:variant>
        <vt:i4>6</vt:i4>
      </vt:variant>
      <vt:variant>
        <vt:i4>0</vt:i4>
      </vt:variant>
      <vt:variant>
        <vt:i4>5</vt:i4>
      </vt:variant>
      <vt:variant>
        <vt:lpwstr>http://ec.europa.eu/social/main.jsp?catId=1143&amp;langId=en</vt:lpwstr>
      </vt:variant>
      <vt:variant>
        <vt:lpwstr>YGIF</vt:lpwstr>
      </vt:variant>
      <vt:variant>
        <vt:i4>5505100</vt:i4>
      </vt:variant>
      <vt:variant>
        <vt:i4>3</vt:i4>
      </vt:variant>
      <vt:variant>
        <vt:i4>0</vt:i4>
      </vt:variant>
      <vt:variant>
        <vt:i4>5</vt:i4>
      </vt:variant>
      <vt:variant>
        <vt:lpwstr>http://ec.europa.eu/social/main.jsp?catId=1327&amp;langId=en</vt:lpwstr>
      </vt:variant>
      <vt:variant>
        <vt:lpwstr/>
      </vt:variant>
      <vt:variant>
        <vt:i4>65566</vt:i4>
      </vt:variant>
      <vt:variant>
        <vt:i4>0</vt:i4>
      </vt:variant>
      <vt:variant>
        <vt:i4>0</vt:i4>
      </vt:variant>
      <vt:variant>
        <vt:i4>5</vt:i4>
      </vt:variant>
      <vt:variant>
        <vt:lpwstr>http://www.europarl.europa.eu/sides/getDoc.do?type=REPORT&amp;mode=XML&amp;reference=A8-2017-0296&amp;language=EN</vt:lpwstr>
      </vt:variant>
      <vt:variant>
        <vt:lpwstr/>
      </vt:variant>
      <vt:variant>
        <vt:i4>5505098</vt:i4>
      </vt:variant>
      <vt:variant>
        <vt:i4>69</vt:i4>
      </vt:variant>
      <vt:variant>
        <vt:i4>0</vt:i4>
      </vt:variant>
      <vt:variant>
        <vt:i4>5</vt:i4>
      </vt:variant>
      <vt:variant>
        <vt:lpwstr>http://ec.europa.eu/social/main.jsp?catId=1246&amp;langId=en</vt:lpwstr>
      </vt:variant>
      <vt:variant>
        <vt:lpwstr/>
      </vt:variant>
      <vt:variant>
        <vt:i4>6225953</vt:i4>
      </vt:variant>
      <vt:variant>
        <vt:i4>66</vt:i4>
      </vt:variant>
      <vt:variant>
        <vt:i4>0</vt:i4>
      </vt:variant>
      <vt:variant>
        <vt:i4>5</vt:i4>
      </vt:variant>
      <vt:variant>
        <vt:lpwstr>https://ec.europa.eu/education/news/20171411-strengthening-european-identity-through-education-and-culture_en</vt:lpwstr>
      </vt:variant>
      <vt:variant>
        <vt:lpwstr/>
      </vt:variant>
      <vt:variant>
        <vt:i4>2424864</vt:i4>
      </vt:variant>
      <vt:variant>
        <vt:i4>63</vt:i4>
      </vt:variant>
      <vt:variant>
        <vt:i4>0</vt:i4>
      </vt:variant>
      <vt:variant>
        <vt:i4>5</vt:i4>
      </vt:variant>
      <vt:variant>
        <vt:lpwstr>https://ec.europa.eu/education/news/20171411-strengthening-european-identity-through-education-and-</vt:lpwstr>
      </vt:variant>
      <vt:variant>
        <vt:lpwstr/>
      </vt:variant>
      <vt:variant>
        <vt:i4>524370</vt:i4>
      </vt:variant>
      <vt:variant>
        <vt:i4>60</vt:i4>
      </vt:variant>
      <vt:variant>
        <vt:i4>0</vt:i4>
      </vt:variant>
      <vt:variant>
        <vt:i4>5</vt:i4>
      </vt:variant>
      <vt:variant>
        <vt:lpwstr>https://ec.europa.eu/info/sites/info/files/economy-finance/com_822_0.pdf</vt:lpwstr>
      </vt:variant>
      <vt:variant>
        <vt:lpwstr/>
      </vt:variant>
      <vt:variant>
        <vt:i4>3735553</vt:i4>
      </vt:variant>
      <vt:variant>
        <vt:i4>57</vt:i4>
      </vt:variant>
      <vt:variant>
        <vt:i4>0</vt:i4>
      </vt:variant>
      <vt:variant>
        <vt:i4>5</vt:i4>
      </vt:variant>
      <vt:variant>
        <vt:lpwstr>http://ec.europa.eu/regional_policy/sources/docgener/studies/pdf/value_added_exac_esif_en.pdf</vt:lpwstr>
      </vt:variant>
      <vt:variant>
        <vt:lpwstr/>
      </vt:variant>
      <vt:variant>
        <vt:i4>917605</vt:i4>
      </vt:variant>
      <vt:variant>
        <vt:i4>54</vt:i4>
      </vt:variant>
      <vt:variant>
        <vt:i4>0</vt:i4>
      </vt:variant>
      <vt:variant>
        <vt:i4>5</vt:i4>
      </vt:variant>
      <vt:variant>
        <vt:lpwstr>https://ec.europa.eu/commission/sites/beta-political/files/key-emu_en.pdf</vt:lpwstr>
      </vt:variant>
      <vt:variant>
        <vt:lpwstr/>
      </vt:variant>
      <vt:variant>
        <vt:i4>5177400</vt:i4>
      </vt:variant>
      <vt:variant>
        <vt:i4>51</vt:i4>
      </vt:variant>
      <vt:variant>
        <vt:i4>0</vt:i4>
      </vt:variant>
      <vt:variant>
        <vt:i4>5</vt:i4>
      </vt:variant>
      <vt:variant>
        <vt:lpwstr>http://ec.europa.eu/transparency/code/index_en.htm</vt:lpwstr>
      </vt:variant>
      <vt:variant>
        <vt:lpwstr/>
      </vt:variant>
      <vt:variant>
        <vt:i4>6094871</vt:i4>
      </vt:variant>
      <vt:variant>
        <vt:i4>48</vt:i4>
      </vt:variant>
      <vt:variant>
        <vt:i4>0</vt:i4>
      </vt:variant>
      <vt:variant>
        <vt:i4>5</vt:i4>
      </vt:variant>
      <vt:variant>
        <vt:lpwstr>http://ec.europa.eu/atwork/applying-eu-law/infringements proceedings/infringement_decisions/?lang_code=en</vt:lpwstr>
      </vt:variant>
      <vt:variant>
        <vt:lpwstr/>
      </vt:variant>
      <vt:variant>
        <vt:i4>3604577</vt:i4>
      </vt:variant>
      <vt:variant>
        <vt:i4>45</vt:i4>
      </vt:variant>
      <vt:variant>
        <vt:i4>0</vt:i4>
      </vt:variant>
      <vt:variant>
        <vt:i4>5</vt:i4>
      </vt:variant>
      <vt:variant>
        <vt:lpwstr>http://curia.europa.eu/juris/document/document.jsf;jsessionid=9ea7d2dc30d62e3c86c458eb4d7cad6ee702fcec1f2c.e34KaxiLc3qMb40Rch0SaxyMbhz0?text=&amp;docid=191243&amp;pageIndex=0&amp;doclang=en&amp;mode=lst&amp;dir=&amp;occ=first&amp;part=1&amp;cid=562288</vt:lpwstr>
      </vt:variant>
      <vt:variant>
        <vt:lpwstr/>
      </vt:variant>
      <vt:variant>
        <vt:i4>6750209</vt:i4>
      </vt:variant>
      <vt:variant>
        <vt:i4>42</vt:i4>
      </vt:variant>
      <vt:variant>
        <vt:i4>0</vt:i4>
      </vt:variant>
      <vt:variant>
        <vt:i4>5</vt:i4>
      </vt:variant>
      <vt:variant>
        <vt:lpwstr>http://ec.europa.eu/environment/legal/liability/pdf/BIO ELD Effectiveness_report.pdf</vt:lpwstr>
      </vt:variant>
      <vt:variant>
        <vt:lpwstr/>
      </vt:variant>
      <vt:variant>
        <vt:i4>6684779</vt:i4>
      </vt:variant>
      <vt:variant>
        <vt:i4>39</vt:i4>
      </vt:variant>
      <vt:variant>
        <vt:i4>0</vt:i4>
      </vt:variant>
      <vt:variant>
        <vt:i4>5</vt:i4>
      </vt:variant>
      <vt:variant>
        <vt:lpwstr>http://curia.europa.eu/juris/document/document.jsf;jsessionid=9ea7d2dc30d683c1cf9297ac4f9eb07acb9211b4cd9d.e34KaxiLc3qMb40Rch0SaxyMc3r0?text=&amp;docid=192696&amp;pageIndex=0&amp;doclang=en&amp;mode=lst&amp;dir=&amp;occ=first&amp;part=1&amp;cid=947657</vt:lpwstr>
      </vt:variant>
      <vt:variant>
        <vt:lpwstr/>
      </vt:variant>
      <vt:variant>
        <vt:i4>2162795</vt:i4>
      </vt:variant>
      <vt:variant>
        <vt:i4>36</vt:i4>
      </vt:variant>
      <vt:variant>
        <vt:i4>0</vt:i4>
      </vt:variant>
      <vt:variant>
        <vt:i4>5</vt:i4>
      </vt:variant>
      <vt:variant>
        <vt:lpwstr>http://eur-lex.europa.eu/legal-content/EN/TXT/?uri=SWD:2016:121:FIN</vt:lpwstr>
      </vt:variant>
      <vt:variant>
        <vt:lpwstr/>
      </vt:variant>
      <vt:variant>
        <vt:i4>3801205</vt:i4>
      </vt:variant>
      <vt:variant>
        <vt:i4>33</vt:i4>
      </vt:variant>
      <vt:variant>
        <vt:i4>0</vt:i4>
      </vt:variant>
      <vt:variant>
        <vt:i4>5</vt:i4>
      </vt:variant>
      <vt:variant>
        <vt:lpwstr>http://eur-lex.europa.eu/legal-content/EN/TXT/?uri=COM:2016:204:FIN</vt:lpwstr>
      </vt:variant>
      <vt:variant>
        <vt:lpwstr/>
      </vt:variant>
      <vt:variant>
        <vt:i4>4915313</vt:i4>
      </vt:variant>
      <vt:variant>
        <vt:i4>30</vt:i4>
      </vt:variant>
      <vt:variant>
        <vt:i4>0</vt:i4>
      </vt:variant>
      <vt:variant>
        <vt:i4>5</vt:i4>
      </vt:variant>
      <vt:variant>
        <vt:lpwstr>http://ec.europa.eu/justice/gender-equality/files/documents/151203_strategic_engagement_en.pdf</vt:lpwstr>
      </vt:variant>
      <vt:variant>
        <vt:lpwstr/>
      </vt:variant>
      <vt:variant>
        <vt:i4>917571</vt:i4>
      </vt:variant>
      <vt:variant>
        <vt:i4>27</vt:i4>
      </vt:variant>
      <vt:variant>
        <vt:i4>0</vt:i4>
      </vt:variant>
      <vt:variant>
        <vt:i4>5</vt:i4>
      </vt:variant>
      <vt:variant>
        <vt:lpwstr>http://ec.europa.eu/justice/saynostopvaw/</vt:lpwstr>
      </vt:variant>
      <vt:variant>
        <vt:lpwstr/>
      </vt:variant>
      <vt:variant>
        <vt:i4>3407954</vt:i4>
      </vt:variant>
      <vt:variant>
        <vt:i4>24</vt:i4>
      </vt:variant>
      <vt:variant>
        <vt:i4>0</vt:i4>
      </vt:variant>
      <vt:variant>
        <vt:i4>5</vt:i4>
      </vt:variant>
      <vt:variant>
        <vt:lpwstr>https://www.etuc.org/documents/safe-home-safe-work-final-report</vt:lpwstr>
      </vt:variant>
      <vt:variant>
        <vt:lpwstr>.Wg2kn_6otHg</vt:lpwstr>
      </vt:variant>
      <vt:variant>
        <vt:i4>655362</vt:i4>
      </vt:variant>
      <vt:variant>
        <vt:i4>21</vt:i4>
      </vt:variant>
      <vt:variant>
        <vt:i4>0</vt:i4>
      </vt:variant>
      <vt:variant>
        <vt:i4>5</vt:i4>
      </vt:variant>
      <vt:variant>
        <vt:lpwstr>http://carve-daphne.eu/carve/</vt:lpwstr>
      </vt:variant>
      <vt:variant>
        <vt:lpwstr/>
      </vt:variant>
      <vt:variant>
        <vt:i4>6619172</vt:i4>
      </vt:variant>
      <vt:variant>
        <vt:i4>18</vt:i4>
      </vt:variant>
      <vt:variant>
        <vt:i4>0</vt:i4>
      </vt:variant>
      <vt:variant>
        <vt:i4>5</vt:i4>
      </vt:variant>
      <vt:variant>
        <vt:lpwstr>http://emin-eu.net/</vt:lpwstr>
      </vt:variant>
      <vt:variant>
        <vt:lpwstr/>
      </vt:variant>
      <vt:variant>
        <vt:i4>4194398</vt:i4>
      </vt:variant>
      <vt:variant>
        <vt:i4>15</vt:i4>
      </vt:variant>
      <vt:variant>
        <vt:i4>0</vt:i4>
      </vt:variant>
      <vt:variant>
        <vt:i4>5</vt:i4>
      </vt:variant>
      <vt:variant>
        <vt:lpwstr>http://ec.europa.eu/social/BlobServlet?docId=18237&amp;langId=en</vt:lpwstr>
      </vt:variant>
      <vt:variant>
        <vt:lpwstr/>
      </vt:variant>
      <vt:variant>
        <vt:i4>5505101</vt:i4>
      </vt:variant>
      <vt:variant>
        <vt:i4>12</vt:i4>
      </vt:variant>
      <vt:variant>
        <vt:i4>0</vt:i4>
      </vt:variant>
      <vt:variant>
        <vt:i4>5</vt:i4>
      </vt:variant>
      <vt:variant>
        <vt:lpwstr>http://ec.europa.eu/social/main.jsp?catId=1135&amp;langId=en</vt:lpwstr>
      </vt:variant>
      <vt:variant>
        <vt:lpwstr/>
      </vt:variant>
      <vt:variant>
        <vt:i4>5505098</vt:i4>
      </vt:variant>
      <vt:variant>
        <vt:i4>9</vt:i4>
      </vt:variant>
      <vt:variant>
        <vt:i4>0</vt:i4>
      </vt:variant>
      <vt:variant>
        <vt:i4>5</vt:i4>
      </vt:variant>
      <vt:variant>
        <vt:lpwstr>http://ec.europa.eu/social/main.jsp?catId=1246&amp;langId=en</vt:lpwstr>
      </vt:variant>
      <vt:variant>
        <vt:lpwstr/>
      </vt:variant>
      <vt:variant>
        <vt:i4>786498</vt:i4>
      </vt:variant>
      <vt:variant>
        <vt:i4>6</vt:i4>
      </vt:variant>
      <vt:variant>
        <vt:i4>0</vt:i4>
      </vt:variant>
      <vt:variant>
        <vt:i4>5</vt:i4>
      </vt:variant>
      <vt:variant>
        <vt:lpwstr>https://composite-indicators.jrc.ec.europa.eu/social-scoreboard/</vt:lpwstr>
      </vt:variant>
      <vt:variant>
        <vt:lpwstr/>
      </vt:variant>
      <vt:variant>
        <vt:i4>2424892</vt:i4>
      </vt:variant>
      <vt:variant>
        <vt:i4>3</vt:i4>
      </vt:variant>
      <vt:variant>
        <vt:i4>0</vt:i4>
      </vt:variant>
      <vt:variant>
        <vt:i4>5</vt:i4>
      </vt:variant>
      <vt:variant>
        <vt:lpwstr>https://www.socialsummit17.se/</vt:lpwstr>
      </vt:variant>
      <vt:variant>
        <vt:lpwstr/>
      </vt:variant>
      <vt:variant>
        <vt:i4>4784200</vt:i4>
      </vt:variant>
      <vt:variant>
        <vt:i4>0</vt:i4>
      </vt:variant>
      <vt:variant>
        <vt:i4>0</vt:i4>
      </vt:variant>
      <vt:variant>
        <vt:i4>5</vt:i4>
      </vt:variant>
      <vt:variant>
        <vt:lpwstr>http://europa.eu/rapid/press-release_IP-16-3216_en.htm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2017-06-30T09:36:00Z</cp:lastPrinted>
  <dcterms:created xsi:type="dcterms:W3CDTF">2018-01-05T13:01:00Z</dcterms:created>
  <dcterms:modified xsi:type="dcterms:W3CDTF">2018-01-05T13:02:00Z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