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70E" w:rsidRPr="00071E40" w:rsidRDefault="0029770E" w:rsidP="0029770E">
      <w:pPr>
        <w:spacing w:after="720"/>
        <w:jc w:val="center"/>
        <w:rPr>
          <w:rFonts w:ascii="Times New Roman" w:hAnsi="Times New Roman"/>
          <w:b/>
          <w:lang w:val="fr-BE"/>
        </w:rPr>
      </w:pPr>
      <w:r w:rsidRPr="00071E40">
        <w:rPr>
          <w:rFonts w:ascii="Times New Roman" w:hAnsi="Times New Roman"/>
          <w:b/>
          <w:lang w:val="fr-BE"/>
        </w:rPr>
        <w:t>Suite donnée à la résolution non législative du Parlement européen sur les technologies des registres distribués et les chaînes de bloc: renforcer la confiance par la désintermédiation</w:t>
      </w:r>
    </w:p>
    <w:p w:rsidR="0029770E" w:rsidRPr="00071E40" w:rsidRDefault="0029770E" w:rsidP="0029770E">
      <w:pPr>
        <w:numPr>
          <w:ilvl w:val="0"/>
          <w:numId w:val="1"/>
        </w:numPr>
        <w:ind w:left="720" w:right="-28" w:hanging="601"/>
        <w:rPr>
          <w:rFonts w:ascii="Times New Roman" w:hAnsi="Times New Roman"/>
          <w:b/>
          <w:szCs w:val="24"/>
          <w:lang w:val="fr-BE"/>
        </w:rPr>
      </w:pPr>
      <w:r w:rsidRPr="00071E40">
        <w:rPr>
          <w:rFonts w:ascii="Times New Roman" w:hAnsi="Times New Roman"/>
          <w:b/>
          <w:lang w:val="fr-BE"/>
        </w:rPr>
        <w:t>Résolution présentée, conformément à l’article </w:t>
      </w:r>
      <w:r w:rsidRPr="004F6D80">
        <w:rPr>
          <w:rFonts w:ascii="Times New Roman" w:hAnsi="Times New Roman"/>
          <w:b/>
          <w:lang w:val="fr-BE"/>
        </w:rPr>
        <w:t>128</w:t>
      </w:r>
      <w:r w:rsidRPr="00071E40">
        <w:rPr>
          <w:rFonts w:ascii="Times New Roman" w:hAnsi="Times New Roman"/>
          <w:b/>
          <w:lang w:val="fr-BE"/>
        </w:rPr>
        <w:t>, paragraphe </w:t>
      </w:r>
      <w:r w:rsidRPr="004F6D80">
        <w:rPr>
          <w:rFonts w:ascii="Times New Roman" w:hAnsi="Times New Roman"/>
          <w:b/>
          <w:lang w:val="fr-BE"/>
        </w:rPr>
        <w:t>5</w:t>
      </w:r>
      <w:r w:rsidRPr="00071E40">
        <w:rPr>
          <w:rFonts w:ascii="Times New Roman" w:hAnsi="Times New Roman"/>
          <w:b/>
          <w:lang w:val="fr-BE"/>
        </w:rPr>
        <w:t>, du règlement du Parlement européen, par la commission de l’industrie, de la recherche et de l’énergie</w:t>
      </w:r>
    </w:p>
    <w:p w:rsidR="0029770E" w:rsidRPr="00071E40" w:rsidRDefault="0029770E" w:rsidP="0029770E">
      <w:pPr>
        <w:numPr>
          <w:ilvl w:val="0"/>
          <w:numId w:val="1"/>
        </w:numPr>
        <w:ind w:left="720" w:right="-28" w:hanging="601"/>
        <w:rPr>
          <w:rFonts w:ascii="Times New Roman" w:hAnsi="Times New Roman"/>
          <w:i/>
          <w:szCs w:val="24"/>
          <w:lang w:val="fr-BE"/>
        </w:rPr>
      </w:pPr>
      <w:r w:rsidRPr="00071E40">
        <w:rPr>
          <w:rFonts w:ascii="Times New Roman" w:hAnsi="Times New Roman"/>
          <w:b/>
          <w:lang w:val="fr-BE"/>
        </w:rPr>
        <w:t xml:space="preserve">Numéros de référence: </w:t>
      </w:r>
      <w:r w:rsidRPr="004F6D80">
        <w:rPr>
          <w:rFonts w:ascii="Times New Roman" w:hAnsi="Times New Roman"/>
          <w:lang w:val="fr-BE"/>
        </w:rPr>
        <w:t>2017</w:t>
      </w:r>
      <w:r w:rsidRPr="00071E40">
        <w:rPr>
          <w:rFonts w:ascii="Times New Roman" w:hAnsi="Times New Roman"/>
          <w:lang w:val="fr-BE"/>
        </w:rPr>
        <w:t>/</w:t>
      </w:r>
      <w:r w:rsidRPr="004F6D80">
        <w:rPr>
          <w:rFonts w:ascii="Times New Roman" w:hAnsi="Times New Roman"/>
          <w:lang w:val="fr-BE"/>
        </w:rPr>
        <w:t>2772</w:t>
      </w:r>
      <w:r w:rsidRPr="00071E40">
        <w:rPr>
          <w:rFonts w:ascii="Times New Roman" w:hAnsi="Times New Roman"/>
          <w:lang w:val="fr-BE"/>
        </w:rPr>
        <w:t>(RSP) /</w:t>
      </w:r>
      <w:r w:rsidRPr="00AA7FF3">
        <w:rPr>
          <w:rFonts w:ascii="Times New Roman" w:hAnsi="Times New Roman"/>
          <w:lang w:val="fr-BE"/>
        </w:rPr>
        <w:t xml:space="preserve"> </w:t>
      </w:r>
      <w:bookmarkStart w:id="0" w:name="_GoBack"/>
      <w:r w:rsidRPr="00071E40">
        <w:rPr>
          <w:rFonts w:ascii="Times New Roman" w:hAnsi="Times New Roman"/>
          <w:lang w:val="fr-BE"/>
        </w:rPr>
        <w:t>B</w:t>
      </w:r>
      <w:r w:rsidRPr="004F6D80">
        <w:rPr>
          <w:rFonts w:ascii="Times New Roman" w:hAnsi="Times New Roman"/>
          <w:lang w:val="fr-BE"/>
        </w:rPr>
        <w:t>8</w:t>
      </w:r>
      <w:r w:rsidRPr="00071E40">
        <w:rPr>
          <w:rFonts w:ascii="Times New Roman" w:hAnsi="Times New Roman"/>
          <w:lang w:val="fr-BE"/>
        </w:rPr>
        <w:t>-</w:t>
      </w:r>
      <w:r w:rsidRPr="004F6D80">
        <w:rPr>
          <w:rFonts w:ascii="Times New Roman" w:hAnsi="Times New Roman"/>
          <w:lang w:val="fr-BE"/>
        </w:rPr>
        <w:t>0397</w:t>
      </w:r>
      <w:r w:rsidRPr="00071E40">
        <w:rPr>
          <w:rFonts w:ascii="Times New Roman" w:hAnsi="Times New Roman"/>
          <w:lang w:val="fr-BE"/>
        </w:rPr>
        <w:t>/</w:t>
      </w:r>
      <w:r w:rsidRPr="004F6D80">
        <w:rPr>
          <w:rFonts w:ascii="Times New Roman" w:hAnsi="Times New Roman"/>
          <w:lang w:val="fr-BE"/>
        </w:rPr>
        <w:t>2018</w:t>
      </w:r>
      <w:r w:rsidRPr="00071E40">
        <w:rPr>
          <w:rFonts w:ascii="Times New Roman" w:hAnsi="Times New Roman"/>
          <w:lang w:val="fr-BE"/>
        </w:rPr>
        <w:t xml:space="preserve"> </w:t>
      </w:r>
      <w:bookmarkEnd w:id="0"/>
      <w:r w:rsidRPr="00071E40">
        <w:rPr>
          <w:rFonts w:ascii="Times New Roman" w:hAnsi="Times New Roman"/>
          <w:lang w:val="fr-BE"/>
        </w:rPr>
        <w:t>/ P</w:t>
      </w:r>
      <w:r w:rsidRPr="004F6D80">
        <w:rPr>
          <w:rFonts w:ascii="Times New Roman" w:hAnsi="Times New Roman"/>
          <w:lang w:val="fr-BE"/>
        </w:rPr>
        <w:t>8</w:t>
      </w:r>
      <w:r w:rsidRPr="00071E40">
        <w:rPr>
          <w:rFonts w:ascii="Times New Roman" w:hAnsi="Times New Roman"/>
          <w:lang w:val="fr-BE"/>
        </w:rPr>
        <w:t>_TA-</w:t>
      </w:r>
      <w:proofErr w:type="gramStart"/>
      <w:r w:rsidRPr="00071E40">
        <w:rPr>
          <w:rFonts w:ascii="Times New Roman" w:hAnsi="Times New Roman"/>
          <w:lang w:val="fr-BE"/>
        </w:rPr>
        <w:t>PROV(</w:t>
      </w:r>
      <w:proofErr w:type="gramEnd"/>
      <w:r w:rsidRPr="004F6D80">
        <w:rPr>
          <w:rFonts w:ascii="Times New Roman" w:hAnsi="Times New Roman"/>
          <w:lang w:val="fr-BE"/>
        </w:rPr>
        <w:t>2018</w:t>
      </w:r>
      <w:r w:rsidRPr="00071E40">
        <w:rPr>
          <w:rFonts w:ascii="Times New Roman" w:hAnsi="Times New Roman"/>
          <w:lang w:val="fr-BE"/>
        </w:rPr>
        <w:t>)</w:t>
      </w:r>
      <w:r w:rsidRPr="004F6D80">
        <w:rPr>
          <w:rFonts w:ascii="Times New Roman" w:hAnsi="Times New Roman"/>
          <w:lang w:val="fr-BE"/>
        </w:rPr>
        <w:t>0373</w:t>
      </w:r>
    </w:p>
    <w:p w:rsidR="0029770E" w:rsidRPr="00071E40" w:rsidRDefault="0029770E" w:rsidP="0029770E">
      <w:pPr>
        <w:numPr>
          <w:ilvl w:val="0"/>
          <w:numId w:val="1"/>
        </w:numPr>
        <w:ind w:left="720" w:right="-28" w:hanging="601"/>
        <w:rPr>
          <w:rFonts w:ascii="Times New Roman" w:hAnsi="Times New Roman"/>
          <w:szCs w:val="24"/>
          <w:lang w:val="fr-BE"/>
        </w:rPr>
      </w:pPr>
      <w:r w:rsidRPr="00071E40">
        <w:rPr>
          <w:rFonts w:ascii="Times New Roman" w:hAnsi="Times New Roman"/>
          <w:b/>
          <w:lang w:val="fr-BE"/>
        </w:rPr>
        <w:t xml:space="preserve">Date d’adoption de la résolution: </w:t>
      </w:r>
      <w:r w:rsidRPr="004F6D80">
        <w:rPr>
          <w:rFonts w:ascii="Times New Roman" w:hAnsi="Times New Roman"/>
          <w:lang w:val="fr-BE"/>
        </w:rPr>
        <w:t>3</w:t>
      </w:r>
      <w:r w:rsidRPr="00071E40">
        <w:rPr>
          <w:rFonts w:ascii="Times New Roman" w:hAnsi="Times New Roman"/>
          <w:lang w:val="fr-BE"/>
        </w:rPr>
        <w:t> octobre </w:t>
      </w:r>
      <w:r w:rsidRPr="004F6D80">
        <w:rPr>
          <w:rFonts w:ascii="Times New Roman" w:hAnsi="Times New Roman"/>
          <w:lang w:val="fr-BE"/>
        </w:rPr>
        <w:t>2018</w:t>
      </w:r>
    </w:p>
    <w:p w:rsidR="0029770E" w:rsidRPr="00071E40" w:rsidRDefault="0029770E" w:rsidP="0029770E">
      <w:pPr>
        <w:numPr>
          <w:ilvl w:val="0"/>
          <w:numId w:val="1"/>
        </w:numPr>
        <w:ind w:left="720" w:right="-28" w:hanging="601"/>
        <w:rPr>
          <w:rFonts w:ascii="Times New Roman" w:hAnsi="Times New Roman"/>
          <w:szCs w:val="24"/>
          <w:lang w:val="fr-BE"/>
        </w:rPr>
      </w:pPr>
      <w:r w:rsidRPr="00071E40">
        <w:rPr>
          <w:rFonts w:ascii="Times New Roman" w:hAnsi="Times New Roman"/>
          <w:b/>
          <w:lang w:val="fr-BE"/>
        </w:rPr>
        <w:t>Objet:</w:t>
      </w:r>
      <w:r w:rsidRPr="00071E40">
        <w:rPr>
          <w:rFonts w:ascii="Times New Roman" w:hAnsi="Times New Roman"/>
          <w:lang w:val="fr-BE"/>
        </w:rPr>
        <w:t xml:space="preserve"> technologies des registres distribués et chaînes de blocs: renforcer la confiance par la désintermédiation</w:t>
      </w:r>
    </w:p>
    <w:p w:rsidR="0029770E" w:rsidRPr="00071E40" w:rsidRDefault="0029770E" w:rsidP="0029770E">
      <w:pPr>
        <w:numPr>
          <w:ilvl w:val="0"/>
          <w:numId w:val="1"/>
        </w:numPr>
        <w:ind w:left="720" w:right="-28" w:hanging="601"/>
        <w:rPr>
          <w:rFonts w:ascii="Times New Roman" w:hAnsi="Times New Roman"/>
          <w:szCs w:val="24"/>
          <w:lang w:val="fr-BE"/>
        </w:rPr>
      </w:pPr>
      <w:r w:rsidRPr="00071E40">
        <w:rPr>
          <w:rFonts w:ascii="Times New Roman" w:hAnsi="Times New Roman"/>
          <w:b/>
          <w:lang w:val="fr-BE"/>
        </w:rPr>
        <w:t>Commission parlementaire compétente</w:t>
      </w:r>
      <w:r w:rsidRPr="00071E40">
        <w:rPr>
          <w:b/>
          <w:lang w:val="fr-BE"/>
        </w:rPr>
        <w:t xml:space="preserve">: </w:t>
      </w:r>
      <w:r w:rsidRPr="00071E40">
        <w:rPr>
          <w:rFonts w:ascii="Times New Roman" w:hAnsi="Times New Roman"/>
          <w:lang w:val="fr-BE"/>
        </w:rPr>
        <w:t>commission de l’industrie, de la recherche et de l’énergie (ITRE)</w:t>
      </w:r>
    </w:p>
    <w:p w:rsidR="0029770E" w:rsidRPr="00071E40" w:rsidRDefault="0029770E" w:rsidP="0029770E">
      <w:pPr>
        <w:widowControl w:val="0"/>
        <w:numPr>
          <w:ilvl w:val="0"/>
          <w:numId w:val="1"/>
        </w:numPr>
        <w:ind w:left="720" w:right="-28" w:hanging="601"/>
        <w:rPr>
          <w:rFonts w:ascii="Times New Roman" w:hAnsi="Times New Roman"/>
          <w:szCs w:val="24"/>
          <w:lang w:val="fr-BE"/>
        </w:rPr>
      </w:pPr>
      <w:r w:rsidRPr="00071E40">
        <w:rPr>
          <w:rFonts w:ascii="Times New Roman" w:hAnsi="Times New Roman"/>
          <w:b/>
          <w:lang w:val="fr-BE"/>
        </w:rPr>
        <w:t>Analyse/évaluation succincte de la résolution et des demandes qu’elle contient:</w:t>
      </w:r>
      <w:r w:rsidRPr="00071E40">
        <w:rPr>
          <w:rFonts w:ascii="Times New Roman" w:hAnsi="Times New Roman"/>
          <w:lang w:val="fr-BE"/>
        </w:rPr>
        <w:t xml:space="preserve"> </w:t>
      </w:r>
    </w:p>
    <w:p w:rsidR="0029770E" w:rsidRPr="00071E40" w:rsidRDefault="0029770E" w:rsidP="0029770E">
      <w:pPr>
        <w:widowControl w:val="0"/>
        <w:spacing w:after="120"/>
        <w:ind w:left="720" w:right="-28"/>
        <w:rPr>
          <w:rFonts w:ascii="Times New Roman" w:hAnsi="Times New Roman"/>
          <w:szCs w:val="24"/>
          <w:lang w:val="fr-BE"/>
        </w:rPr>
      </w:pPr>
      <w:r w:rsidRPr="00071E40">
        <w:rPr>
          <w:rFonts w:ascii="Times New Roman" w:hAnsi="Times New Roman"/>
          <w:lang w:val="fr-BE"/>
        </w:rPr>
        <w:t>La résolution présente une vue d’ensemble du potentiel des technologies des registres distribués (TRD) et des chaînes de bloc, de leur incidence et de leurs applications pour la société et l’économie numériques, notamment en ce qui concerne les modèles d’entreprise entre pairs, les administrations publiques, les entreprises et l’autonomisation des citoyens.</w:t>
      </w:r>
    </w:p>
    <w:p w:rsidR="0029770E" w:rsidRPr="00071E40" w:rsidRDefault="0029770E" w:rsidP="0029770E">
      <w:pPr>
        <w:widowControl w:val="0"/>
        <w:spacing w:after="120"/>
        <w:ind w:left="720" w:right="-28"/>
        <w:rPr>
          <w:rFonts w:ascii="Times New Roman" w:hAnsi="Times New Roman"/>
          <w:szCs w:val="24"/>
          <w:lang w:val="fr-BE"/>
        </w:rPr>
      </w:pPr>
      <w:r w:rsidRPr="00071E40">
        <w:rPr>
          <w:rFonts w:ascii="Times New Roman" w:hAnsi="Times New Roman"/>
          <w:lang w:val="fr-BE"/>
        </w:rPr>
        <w:t>Elle propose i) d’examiner le potentiel de chaînes de bloc du secteur public en Europe, conforme au droit de l’Union européenne, qui permettra des services transfrontières décentralisés entre les États membres; ii) d’évaluer et d’élaborer un cadre juridique européen en vue de clarifier la compétence juridictionnelle au niveau transfrontière; iii) de prendre des initiatives stratégiques visant à rendre l’Union compétitive dans le domaine de la TRD/des chaînes de bloc.</w:t>
      </w:r>
    </w:p>
    <w:p w:rsidR="0029770E" w:rsidRPr="00071E40" w:rsidRDefault="0029770E" w:rsidP="0029770E">
      <w:pPr>
        <w:widowControl w:val="0"/>
        <w:spacing w:after="120"/>
        <w:ind w:left="720" w:right="-28"/>
        <w:rPr>
          <w:rFonts w:ascii="Times New Roman" w:hAnsi="Times New Roman"/>
          <w:szCs w:val="24"/>
          <w:lang w:val="fr-BE"/>
        </w:rPr>
      </w:pPr>
      <w:r w:rsidRPr="00071E40">
        <w:rPr>
          <w:rFonts w:ascii="Times New Roman" w:hAnsi="Times New Roman"/>
          <w:lang w:val="fr-BE"/>
        </w:rPr>
        <w:t xml:space="preserve">La Commission apprécie grandement tous les travaux menés par le Parlement européen pour rendre la TRD/les chaînes de bloc plus compréhensibles pour le grand public et plus visibles pour les décideurs politiques. La Commission a souligné le potentiel mais également les risques des chaînes de bloc pour les marchés financiers dans le plan d’action </w:t>
      </w:r>
      <w:proofErr w:type="spellStart"/>
      <w:r w:rsidRPr="00071E40">
        <w:rPr>
          <w:rFonts w:ascii="Times New Roman" w:hAnsi="Times New Roman"/>
          <w:lang w:val="fr-BE"/>
        </w:rPr>
        <w:t>FinTech</w:t>
      </w:r>
      <w:proofErr w:type="spellEnd"/>
      <w:r w:rsidRPr="00071E40">
        <w:rPr>
          <w:rFonts w:ascii="Times New Roman" w:hAnsi="Times New Roman"/>
          <w:lang w:val="fr-BE"/>
        </w:rPr>
        <w:t xml:space="preserve"> adopté le </w:t>
      </w:r>
      <w:r w:rsidRPr="004F6D80">
        <w:rPr>
          <w:rFonts w:ascii="Times New Roman" w:hAnsi="Times New Roman"/>
          <w:lang w:val="fr-BE"/>
        </w:rPr>
        <w:t>8</w:t>
      </w:r>
      <w:r w:rsidRPr="00071E40">
        <w:rPr>
          <w:rFonts w:ascii="Times New Roman" w:hAnsi="Times New Roman"/>
          <w:lang w:val="fr-BE"/>
        </w:rPr>
        <w:t> mars </w:t>
      </w:r>
      <w:r w:rsidRPr="004F6D80">
        <w:rPr>
          <w:rFonts w:ascii="Times New Roman" w:hAnsi="Times New Roman"/>
          <w:lang w:val="fr-BE"/>
        </w:rPr>
        <w:t>2018</w:t>
      </w:r>
      <w:r w:rsidRPr="00071E40">
        <w:rPr>
          <w:rFonts w:ascii="Times New Roman" w:hAnsi="Times New Roman"/>
          <w:lang w:val="fr-BE"/>
        </w:rPr>
        <w:t>. Elle évalue par conséquent à l’heure actuelle le potentiel de cette technologie, analyse les futurs scénarios et encourage son utilisation dans le cadre d’une approche propice à l’innovation, répondant ainsi à l’objectif d’offrir une sécurité juridique accrue.</w:t>
      </w:r>
    </w:p>
    <w:p w:rsidR="0029770E" w:rsidRPr="00071E40" w:rsidRDefault="0029770E" w:rsidP="0029770E">
      <w:pPr>
        <w:widowControl w:val="0"/>
        <w:numPr>
          <w:ilvl w:val="0"/>
          <w:numId w:val="1"/>
        </w:numPr>
        <w:spacing w:before="240"/>
        <w:ind w:left="720" w:right="-28" w:hanging="601"/>
        <w:rPr>
          <w:rFonts w:ascii="Times New Roman" w:hAnsi="Times New Roman"/>
          <w:b/>
          <w:szCs w:val="24"/>
          <w:lang w:val="fr-BE"/>
        </w:rPr>
      </w:pPr>
      <w:r w:rsidRPr="00071E40">
        <w:rPr>
          <w:rFonts w:ascii="Times New Roman" w:hAnsi="Times New Roman"/>
          <w:b/>
          <w:lang w:val="fr-BE"/>
        </w:rPr>
        <w:t>Réponse à ces demandes et aperçu des mesures que la Commission a prises ou envisage de prendre:</w:t>
      </w:r>
    </w:p>
    <w:p w:rsidR="0029770E" w:rsidRPr="00071E40" w:rsidRDefault="0029770E" w:rsidP="0029770E">
      <w:pPr>
        <w:widowControl w:val="0"/>
        <w:spacing w:after="120"/>
        <w:ind w:left="709" w:right="-28"/>
        <w:rPr>
          <w:rFonts w:ascii="Times New Roman" w:hAnsi="Times New Roman"/>
          <w:szCs w:val="24"/>
          <w:lang w:val="fr-BE"/>
        </w:rPr>
      </w:pPr>
      <w:r w:rsidRPr="00071E40">
        <w:rPr>
          <w:rFonts w:ascii="Times New Roman" w:hAnsi="Times New Roman"/>
          <w:lang w:val="fr-BE"/>
        </w:rPr>
        <w:t>Dans sa résolution, le Parlement invite spécifiquement la Commission à:</w:t>
      </w:r>
    </w:p>
    <w:p w:rsidR="0029770E" w:rsidRPr="00071E40" w:rsidRDefault="0029770E" w:rsidP="0029770E">
      <w:pPr>
        <w:widowControl w:val="0"/>
        <w:numPr>
          <w:ilvl w:val="1"/>
          <w:numId w:val="1"/>
        </w:numPr>
        <w:spacing w:after="120"/>
        <w:ind w:left="1222" w:right="-28"/>
        <w:rPr>
          <w:rFonts w:ascii="Times New Roman" w:hAnsi="Times New Roman"/>
          <w:szCs w:val="24"/>
          <w:lang w:val="fr-BE"/>
        </w:rPr>
      </w:pPr>
      <w:proofErr w:type="gramStart"/>
      <w:r w:rsidRPr="00071E40">
        <w:rPr>
          <w:rFonts w:ascii="Times New Roman" w:hAnsi="Times New Roman"/>
          <w:lang w:val="fr-BE"/>
        </w:rPr>
        <w:t>mener</w:t>
      </w:r>
      <w:proofErr w:type="gramEnd"/>
      <w:r w:rsidRPr="00071E40">
        <w:rPr>
          <w:rFonts w:ascii="Times New Roman" w:hAnsi="Times New Roman"/>
          <w:lang w:val="fr-BE"/>
        </w:rPr>
        <w:t xml:space="preserve"> une étude évaluant les scénarios possibles d’une </w:t>
      </w:r>
      <w:r w:rsidRPr="00071E40">
        <w:rPr>
          <w:rFonts w:ascii="Times New Roman" w:hAnsi="Times New Roman"/>
          <w:b/>
          <w:lang w:val="fr-BE"/>
        </w:rPr>
        <w:t>utilisation plus large des réseaux publics fondés sur la TRD</w:t>
      </w:r>
      <w:r w:rsidRPr="00071E40">
        <w:rPr>
          <w:rFonts w:ascii="Times New Roman" w:hAnsi="Times New Roman"/>
          <w:lang w:val="fr-BE"/>
        </w:rPr>
        <w:t xml:space="preserve"> (paragraphe </w:t>
      </w:r>
      <w:r w:rsidRPr="004F6D80">
        <w:rPr>
          <w:rFonts w:ascii="Times New Roman" w:hAnsi="Times New Roman"/>
          <w:lang w:val="fr-BE"/>
        </w:rPr>
        <w:t>2</w:t>
      </w:r>
      <w:r w:rsidRPr="00071E40">
        <w:rPr>
          <w:rFonts w:ascii="Times New Roman" w:hAnsi="Times New Roman"/>
          <w:lang w:val="fr-BE"/>
        </w:rPr>
        <w:t>).</w:t>
      </w:r>
    </w:p>
    <w:p w:rsidR="0029770E" w:rsidRPr="00071E40" w:rsidRDefault="0029770E" w:rsidP="0029770E">
      <w:pPr>
        <w:widowControl w:val="0"/>
        <w:spacing w:after="120"/>
        <w:ind w:left="1222" w:right="-28"/>
        <w:rPr>
          <w:rFonts w:ascii="Times New Roman" w:hAnsi="Times New Roman"/>
          <w:szCs w:val="24"/>
          <w:lang w:val="fr-BE"/>
        </w:rPr>
      </w:pPr>
      <w:r w:rsidRPr="00071E40">
        <w:rPr>
          <w:rFonts w:ascii="Times New Roman" w:hAnsi="Times New Roman"/>
          <w:lang w:val="fr-BE"/>
        </w:rPr>
        <w:t xml:space="preserve">Le </w:t>
      </w:r>
      <w:r w:rsidRPr="004F6D80">
        <w:rPr>
          <w:rFonts w:ascii="Times New Roman" w:hAnsi="Times New Roman"/>
          <w:lang w:val="fr-BE"/>
        </w:rPr>
        <w:t>10</w:t>
      </w:r>
      <w:r w:rsidRPr="00071E40">
        <w:rPr>
          <w:rFonts w:ascii="Times New Roman" w:hAnsi="Times New Roman"/>
          <w:lang w:val="fr-BE"/>
        </w:rPr>
        <w:t> avril </w:t>
      </w:r>
      <w:r w:rsidRPr="004F6D80">
        <w:rPr>
          <w:rFonts w:ascii="Times New Roman" w:hAnsi="Times New Roman"/>
          <w:lang w:val="fr-BE"/>
        </w:rPr>
        <w:t>2018</w:t>
      </w:r>
      <w:r w:rsidRPr="00071E40">
        <w:rPr>
          <w:rFonts w:ascii="Times New Roman" w:hAnsi="Times New Roman"/>
          <w:lang w:val="fr-BE"/>
        </w:rPr>
        <w:t xml:space="preserve">, lors de la Journée du numérique à Bruxelles, </w:t>
      </w:r>
      <w:r w:rsidRPr="004F6D80">
        <w:rPr>
          <w:rFonts w:ascii="Times New Roman" w:hAnsi="Times New Roman"/>
          <w:lang w:val="fr-BE"/>
        </w:rPr>
        <w:t>21</w:t>
      </w:r>
      <w:r w:rsidRPr="00071E40">
        <w:rPr>
          <w:rFonts w:ascii="Times New Roman" w:hAnsi="Times New Roman"/>
          <w:lang w:val="fr-BE"/>
        </w:rPr>
        <w:t> États membres (désormais </w:t>
      </w:r>
      <w:r w:rsidRPr="004F6D80">
        <w:rPr>
          <w:rFonts w:ascii="Times New Roman" w:hAnsi="Times New Roman"/>
          <w:lang w:val="fr-BE"/>
        </w:rPr>
        <w:t>26</w:t>
      </w:r>
      <w:r w:rsidRPr="00071E40">
        <w:rPr>
          <w:rFonts w:ascii="Times New Roman" w:hAnsi="Times New Roman"/>
          <w:lang w:val="fr-BE"/>
        </w:rPr>
        <w:t xml:space="preserve">) et la Norvège ont signé une déclaration par laquelle ils ont établi </w:t>
      </w:r>
      <w:r w:rsidRPr="00071E40">
        <w:rPr>
          <w:rFonts w:ascii="Times New Roman" w:hAnsi="Times New Roman"/>
          <w:lang w:val="fr-BE"/>
        </w:rPr>
        <w:lastRenderedPageBreak/>
        <w:t xml:space="preserve">un </w:t>
      </w:r>
      <w:r w:rsidRPr="00071E40">
        <w:rPr>
          <w:rFonts w:ascii="Times New Roman" w:hAnsi="Times New Roman"/>
          <w:b/>
          <w:lang w:val="fr-BE"/>
        </w:rPr>
        <w:t>partenariat européen des chaînes de bloc</w:t>
      </w:r>
      <w:r w:rsidRPr="00071E40">
        <w:rPr>
          <w:rFonts w:ascii="Times New Roman" w:hAnsi="Times New Roman"/>
          <w:lang w:val="fr-BE"/>
        </w:rPr>
        <w:t xml:space="preserve"> et se sont engagés à coopérer pour créer l’</w:t>
      </w:r>
      <w:r w:rsidRPr="00071E40">
        <w:rPr>
          <w:rFonts w:ascii="Times New Roman" w:hAnsi="Times New Roman"/>
          <w:b/>
          <w:lang w:val="fr-BE"/>
        </w:rPr>
        <w:t>infrastructure européenne de services de chaînes de bloc</w:t>
      </w:r>
      <w:r w:rsidRPr="00071E40">
        <w:rPr>
          <w:rFonts w:ascii="Times New Roman" w:hAnsi="Times New Roman"/>
          <w:lang w:val="fr-BE"/>
        </w:rPr>
        <w:t xml:space="preserve"> (EBSI), qui soutiendra la fourniture de services publics numériques transfrontières, respectera les normes les plus élevées et sera pleinement conforme au droit de l’Union européenne, notamment en ce qui concerne la sécurité et la vie privée, sera efficace sur le plan énergétique, évolutive et interopérable. Une étude sur la faisabilité d’une infrastructure européenne des services de chaînes de bloc et les possibilités qu’elle offre est en cours qui sous-tend ce partenariat et est étroitement coordonné avec ce dernier;</w:t>
      </w:r>
    </w:p>
    <w:p w:rsidR="0029770E" w:rsidRPr="00071E40" w:rsidRDefault="0029770E" w:rsidP="0029770E">
      <w:pPr>
        <w:widowControl w:val="0"/>
        <w:numPr>
          <w:ilvl w:val="1"/>
          <w:numId w:val="1"/>
        </w:numPr>
        <w:spacing w:after="120"/>
        <w:ind w:left="1222" w:right="-28"/>
        <w:rPr>
          <w:rFonts w:ascii="Times New Roman" w:hAnsi="Times New Roman"/>
          <w:szCs w:val="24"/>
          <w:lang w:val="fr-BE"/>
        </w:rPr>
      </w:pPr>
      <w:proofErr w:type="gramStart"/>
      <w:r w:rsidRPr="00071E40">
        <w:rPr>
          <w:rFonts w:ascii="Times New Roman" w:hAnsi="Times New Roman"/>
          <w:lang w:val="fr-BE"/>
        </w:rPr>
        <w:t>ajouter</w:t>
      </w:r>
      <w:proofErr w:type="gramEnd"/>
      <w:r w:rsidRPr="00071E40">
        <w:rPr>
          <w:rFonts w:ascii="Times New Roman" w:hAnsi="Times New Roman"/>
          <w:lang w:val="fr-BE"/>
        </w:rPr>
        <w:t xml:space="preserve"> une dimension d’efficacité énergétique dans ses activités liées à la TRD/aux chaînes de bloc et </w:t>
      </w:r>
      <w:r w:rsidRPr="00071E40">
        <w:rPr>
          <w:rFonts w:ascii="Times New Roman" w:hAnsi="Times New Roman"/>
          <w:b/>
          <w:lang w:val="fr-BE"/>
        </w:rPr>
        <w:t>explorer les initiatives de recherche</w:t>
      </w:r>
      <w:r w:rsidRPr="00071E40">
        <w:rPr>
          <w:rFonts w:ascii="Times New Roman" w:hAnsi="Times New Roman"/>
          <w:lang w:val="fr-BE"/>
        </w:rPr>
        <w:t xml:space="preserve"> dans ce domaine (paragraphe </w:t>
      </w:r>
      <w:r w:rsidRPr="004F6D80">
        <w:rPr>
          <w:rFonts w:ascii="Times New Roman" w:hAnsi="Times New Roman"/>
          <w:lang w:val="fr-BE"/>
        </w:rPr>
        <w:t>8</w:t>
      </w:r>
      <w:r w:rsidRPr="00071E40">
        <w:rPr>
          <w:rFonts w:ascii="Times New Roman" w:hAnsi="Times New Roman"/>
          <w:lang w:val="fr-BE"/>
        </w:rPr>
        <w:t xml:space="preserve">). Suivre de près les </w:t>
      </w:r>
      <w:r w:rsidRPr="00071E40">
        <w:rPr>
          <w:rFonts w:ascii="Times New Roman" w:hAnsi="Times New Roman"/>
          <w:b/>
          <w:lang w:val="fr-BE"/>
        </w:rPr>
        <w:t>évolutions technologiques</w:t>
      </w:r>
      <w:r w:rsidRPr="00071E40">
        <w:rPr>
          <w:rFonts w:ascii="Times New Roman" w:hAnsi="Times New Roman"/>
          <w:lang w:val="fr-BE"/>
        </w:rPr>
        <w:t xml:space="preserve"> (par exemple, les ordinateurs quantiques), évaluer les risques technologiques, soutenir les </w:t>
      </w:r>
      <w:r w:rsidRPr="00071E40">
        <w:rPr>
          <w:rFonts w:ascii="Times New Roman" w:hAnsi="Times New Roman"/>
          <w:b/>
          <w:lang w:val="fr-BE"/>
        </w:rPr>
        <w:t>projets de résilience à une cyberattaque</w:t>
      </w:r>
      <w:r w:rsidRPr="00071E40">
        <w:rPr>
          <w:rFonts w:ascii="Times New Roman" w:hAnsi="Times New Roman"/>
          <w:lang w:val="fr-BE"/>
        </w:rPr>
        <w:t xml:space="preserve"> et élaborer des tests aux limites pour les applications de la TRD (paragraphes </w:t>
      </w:r>
      <w:r w:rsidRPr="004F6D80">
        <w:rPr>
          <w:rFonts w:ascii="Times New Roman" w:hAnsi="Times New Roman"/>
          <w:lang w:val="fr-BE"/>
        </w:rPr>
        <w:t>45</w:t>
      </w:r>
      <w:r w:rsidRPr="00071E40">
        <w:rPr>
          <w:rFonts w:ascii="Times New Roman" w:hAnsi="Times New Roman"/>
          <w:lang w:val="fr-BE"/>
        </w:rPr>
        <w:t xml:space="preserve"> et </w:t>
      </w:r>
      <w:r w:rsidRPr="004F6D80">
        <w:rPr>
          <w:rFonts w:ascii="Times New Roman" w:hAnsi="Times New Roman"/>
          <w:lang w:val="fr-BE"/>
        </w:rPr>
        <w:t>46</w:t>
      </w:r>
      <w:r w:rsidRPr="00071E40">
        <w:rPr>
          <w:rFonts w:ascii="Times New Roman" w:hAnsi="Times New Roman"/>
          <w:lang w:val="fr-BE"/>
        </w:rPr>
        <w:t xml:space="preserve">). En collaboration avec la Banque européenne d’investissement (BEI) et le Fonds européen d’investissement (FEI), créer des </w:t>
      </w:r>
      <w:r w:rsidRPr="00071E40">
        <w:rPr>
          <w:rFonts w:ascii="Times New Roman" w:hAnsi="Times New Roman"/>
          <w:b/>
          <w:lang w:val="fr-BE"/>
        </w:rPr>
        <w:t>possibilités de financement</w:t>
      </w:r>
      <w:r w:rsidRPr="00071E40">
        <w:rPr>
          <w:rFonts w:ascii="Times New Roman" w:hAnsi="Times New Roman"/>
          <w:lang w:val="fr-BE"/>
        </w:rPr>
        <w:t xml:space="preserve"> pour soutenir des initiatives entrepreneuriales axées sur la TRD afin d’accélérer le transfert de technologie (paragraphe </w:t>
      </w:r>
      <w:r w:rsidRPr="004F6D80">
        <w:rPr>
          <w:rFonts w:ascii="Times New Roman" w:hAnsi="Times New Roman"/>
          <w:lang w:val="fr-BE"/>
        </w:rPr>
        <w:t>58</w:t>
      </w:r>
      <w:r w:rsidRPr="00071E40">
        <w:rPr>
          <w:rFonts w:ascii="Times New Roman" w:hAnsi="Times New Roman"/>
          <w:lang w:val="fr-BE"/>
        </w:rPr>
        <w:t>).</w:t>
      </w:r>
    </w:p>
    <w:p w:rsidR="0029770E" w:rsidRPr="00071E40" w:rsidRDefault="0029770E" w:rsidP="0029770E">
      <w:pPr>
        <w:widowControl w:val="0"/>
        <w:spacing w:after="120"/>
        <w:ind w:left="1222" w:right="-28"/>
        <w:rPr>
          <w:rFonts w:ascii="Times New Roman" w:hAnsi="Times New Roman"/>
          <w:szCs w:val="24"/>
          <w:lang w:val="fr-BE"/>
        </w:rPr>
      </w:pPr>
      <w:r w:rsidRPr="00071E40">
        <w:rPr>
          <w:rFonts w:ascii="Times New Roman" w:hAnsi="Times New Roman"/>
          <w:lang w:val="fr-BE"/>
        </w:rPr>
        <w:t xml:space="preserve">La Commission </w:t>
      </w:r>
      <w:r w:rsidRPr="00071E40">
        <w:rPr>
          <w:rFonts w:ascii="Times New Roman" w:hAnsi="Times New Roman"/>
          <w:b/>
          <w:lang w:val="fr-BE"/>
        </w:rPr>
        <w:t>investit dans la recherche et l’innovation</w:t>
      </w:r>
      <w:r w:rsidRPr="00071E40">
        <w:rPr>
          <w:rFonts w:ascii="Times New Roman" w:hAnsi="Times New Roman"/>
          <w:lang w:val="fr-BE"/>
        </w:rPr>
        <w:t>, notamment dans le cadre de son programme Horizon </w:t>
      </w:r>
      <w:r w:rsidRPr="004F6D80">
        <w:rPr>
          <w:rFonts w:ascii="Times New Roman" w:hAnsi="Times New Roman"/>
          <w:lang w:val="fr-BE"/>
        </w:rPr>
        <w:t>2020</w:t>
      </w:r>
      <w:r w:rsidRPr="00071E40">
        <w:rPr>
          <w:rFonts w:ascii="Times New Roman" w:hAnsi="Times New Roman"/>
          <w:lang w:val="fr-BE"/>
        </w:rPr>
        <w:t xml:space="preserve">. </w:t>
      </w:r>
      <w:r w:rsidRPr="004F6D80">
        <w:rPr>
          <w:rFonts w:ascii="Times New Roman" w:hAnsi="Times New Roman"/>
          <w:lang w:val="fr-BE"/>
        </w:rPr>
        <w:t>80</w:t>
      </w:r>
      <w:r w:rsidRPr="00071E40">
        <w:rPr>
          <w:rFonts w:ascii="Times New Roman" w:hAnsi="Times New Roman"/>
          <w:lang w:val="fr-BE"/>
        </w:rPr>
        <w:t xml:space="preserve"> millions d’euros ont déjà été investis dans des projets soutenant l’utilisation de chaînes de bloc dans les domaines technique et social qui portent, par exemple, sur les limites technologiques dans la modularité, l’efficacité énergétique et la </w:t>
      </w:r>
      <w:proofErr w:type="spellStart"/>
      <w:r w:rsidRPr="00071E40">
        <w:rPr>
          <w:rFonts w:ascii="Times New Roman" w:hAnsi="Times New Roman"/>
          <w:lang w:val="fr-BE"/>
        </w:rPr>
        <w:t>cybersécurité</w:t>
      </w:r>
      <w:proofErr w:type="spellEnd"/>
      <w:r w:rsidRPr="00071E40">
        <w:rPr>
          <w:rFonts w:ascii="Times New Roman" w:hAnsi="Times New Roman"/>
          <w:lang w:val="fr-BE"/>
        </w:rPr>
        <w:t xml:space="preserve">. Jusqu’à </w:t>
      </w:r>
      <w:r w:rsidRPr="004F6D80">
        <w:rPr>
          <w:rFonts w:ascii="Times New Roman" w:hAnsi="Times New Roman"/>
          <w:lang w:val="fr-BE"/>
        </w:rPr>
        <w:t>300</w:t>
      </w:r>
      <w:r w:rsidRPr="00071E40">
        <w:rPr>
          <w:rFonts w:ascii="Times New Roman" w:hAnsi="Times New Roman"/>
          <w:lang w:val="fr-BE"/>
        </w:rPr>
        <w:t xml:space="preserve"> millions d’euros pourraient être investis d’ici à </w:t>
      </w:r>
      <w:r w:rsidRPr="004F6D80">
        <w:rPr>
          <w:rFonts w:ascii="Times New Roman" w:hAnsi="Times New Roman"/>
          <w:lang w:val="fr-BE"/>
        </w:rPr>
        <w:t>2020</w:t>
      </w:r>
      <w:r w:rsidRPr="00071E40">
        <w:rPr>
          <w:rFonts w:ascii="Times New Roman" w:hAnsi="Times New Roman"/>
          <w:lang w:val="fr-BE"/>
        </w:rPr>
        <w:t xml:space="preserve"> afin de garantir que l’Union conserve sa position de leader au niveau mondial dans l’innovation en matière de chaînes de bloc;</w:t>
      </w:r>
    </w:p>
    <w:p w:rsidR="0029770E" w:rsidRPr="00071E40" w:rsidRDefault="0029770E" w:rsidP="0029770E">
      <w:pPr>
        <w:widowControl w:val="0"/>
        <w:numPr>
          <w:ilvl w:val="1"/>
          <w:numId w:val="1"/>
        </w:numPr>
        <w:spacing w:after="120"/>
        <w:ind w:left="1222" w:right="-28"/>
        <w:rPr>
          <w:rFonts w:ascii="Times New Roman" w:hAnsi="Times New Roman"/>
          <w:szCs w:val="24"/>
          <w:lang w:val="fr-BE"/>
        </w:rPr>
      </w:pPr>
      <w:proofErr w:type="gramStart"/>
      <w:r w:rsidRPr="00071E40">
        <w:rPr>
          <w:rFonts w:ascii="Times New Roman" w:hAnsi="Times New Roman"/>
          <w:lang w:val="fr-BE"/>
        </w:rPr>
        <w:t>évaluer</w:t>
      </w:r>
      <w:proofErr w:type="gramEnd"/>
      <w:r w:rsidRPr="00071E40">
        <w:rPr>
          <w:rFonts w:ascii="Times New Roman" w:hAnsi="Times New Roman"/>
          <w:lang w:val="fr-BE"/>
        </w:rPr>
        <w:t xml:space="preserve"> les </w:t>
      </w:r>
      <w:r w:rsidRPr="00071E40">
        <w:rPr>
          <w:rFonts w:ascii="Times New Roman" w:hAnsi="Times New Roman"/>
          <w:b/>
          <w:lang w:val="fr-BE"/>
        </w:rPr>
        <w:t>modèles de gouvernance</w:t>
      </w:r>
      <w:r w:rsidRPr="00071E40">
        <w:rPr>
          <w:rFonts w:ascii="Times New Roman" w:hAnsi="Times New Roman"/>
          <w:lang w:val="fr-BE"/>
        </w:rPr>
        <w:t>, notamment au sein des différents mécanismes de consensus en développement (paragraphe </w:t>
      </w:r>
      <w:r w:rsidRPr="004F6D80">
        <w:rPr>
          <w:rFonts w:ascii="Times New Roman" w:hAnsi="Times New Roman"/>
          <w:lang w:val="fr-BE"/>
        </w:rPr>
        <w:t>9</w:t>
      </w:r>
      <w:r w:rsidRPr="00071E40">
        <w:rPr>
          <w:rFonts w:ascii="Times New Roman" w:hAnsi="Times New Roman"/>
          <w:lang w:val="fr-BE"/>
        </w:rPr>
        <w:t>).</w:t>
      </w:r>
    </w:p>
    <w:p w:rsidR="0029770E" w:rsidRPr="00071E40" w:rsidRDefault="0029770E" w:rsidP="0029770E">
      <w:pPr>
        <w:widowControl w:val="0"/>
        <w:spacing w:after="120"/>
        <w:ind w:left="1222" w:right="-28"/>
        <w:rPr>
          <w:rFonts w:ascii="Times New Roman" w:hAnsi="Times New Roman"/>
          <w:szCs w:val="24"/>
          <w:lang w:val="fr-BE"/>
        </w:rPr>
      </w:pPr>
      <w:r w:rsidRPr="00071E40">
        <w:rPr>
          <w:rFonts w:ascii="Times New Roman" w:hAnsi="Times New Roman"/>
          <w:lang w:val="fr-BE"/>
        </w:rPr>
        <w:t xml:space="preserve">Dans le cadre de la création du partenariat européen des chaînes de bloc, la Commission examine de près les différents </w:t>
      </w:r>
      <w:r w:rsidRPr="00071E40">
        <w:rPr>
          <w:rFonts w:ascii="Times New Roman" w:hAnsi="Times New Roman"/>
          <w:b/>
          <w:lang w:val="fr-BE"/>
        </w:rPr>
        <w:t>modèles de gouvernance</w:t>
      </w:r>
      <w:r w:rsidRPr="00071E40">
        <w:rPr>
          <w:rFonts w:ascii="Times New Roman" w:hAnsi="Times New Roman"/>
          <w:lang w:val="fr-BE"/>
        </w:rPr>
        <w:t xml:space="preserve"> et le mécanisme de consensus qui pourrait les sous-tendre pour une infrastructure européenne de chaînes de bloc soutenant la fourniture de services publics numériques transfrontières pour les citoyens et les entreprises. Les modèles de gouvernance sont également étudiés par la Commission en liaison avec des groupes de travail sur la normalisation internationale en tant que sujet spécifique;</w:t>
      </w:r>
    </w:p>
    <w:p w:rsidR="0029770E" w:rsidRPr="00071E40" w:rsidRDefault="0029770E" w:rsidP="0029770E">
      <w:pPr>
        <w:widowControl w:val="0"/>
        <w:numPr>
          <w:ilvl w:val="1"/>
          <w:numId w:val="1"/>
        </w:numPr>
        <w:spacing w:after="120"/>
        <w:ind w:left="1222" w:right="-28"/>
        <w:rPr>
          <w:rFonts w:ascii="Times New Roman" w:hAnsi="Times New Roman"/>
          <w:szCs w:val="24"/>
          <w:lang w:val="fr-BE"/>
        </w:rPr>
      </w:pPr>
      <w:proofErr w:type="gramStart"/>
      <w:r w:rsidRPr="00071E40">
        <w:rPr>
          <w:rFonts w:ascii="Times New Roman" w:hAnsi="Times New Roman"/>
          <w:lang w:val="fr-BE"/>
        </w:rPr>
        <w:t>en</w:t>
      </w:r>
      <w:proofErr w:type="gramEnd"/>
      <w:r w:rsidRPr="00071E40">
        <w:rPr>
          <w:rFonts w:ascii="Times New Roman" w:hAnsi="Times New Roman"/>
          <w:lang w:val="fr-BE"/>
        </w:rPr>
        <w:t xml:space="preserve"> collaboration avec le Contrôleur européen de la protection des données, fournir des orientations supplémentaires sur la conformité avec le règlement général sur la protection des données (RGPD) (paragraphe </w:t>
      </w:r>
      <w:r w:rsidRPr="004F6D80">
        <w:rPr>
          <w:rFonts w:ascii="Times New Roman" w:hAnsi="Times New Roman"/>
          <w:lang w:val="fr-BE"/>
        </w:rPr>
        <w:t>33</w:t>
      </w:r>
      <w:r w:rsidRPr="00071E40">
        <w:rPr>
          <w:rFonts w:ascii="Times New Roman" w:hAnsi="Times New Roman"/>
          <w:lang w:val="fr-BE"/>
        </w:rPr>
        <w:t xml:space="preserve">) et déterminer les obstacles potentiels à l’utilisation des </w:t>
      </w:r>
      <w:r w:rsidRPr="00071E40">
        <w:rPr>
          <w:rFonts w:ascii="Times New Roman" w:hAnsi="Times New Roman"/>
          <w:b/>
          <w:lang w:val="fr-BE"/>
        </w:rPr>
        <w:t>contrats intelligents</w:t>
      </w:r>
      <w:r w:rsidRPr="00071E40">
        <w:rPr>
          <w:rFonts w:ascii="Times New Roman" w:hAnsi="Times New Roman"/>
          <w:lang w:val="fr-BE"/>
        </w:rPr>
        <w:t xml:space="preserve"> au sein du marché unique numérique et évaluer si ces obstacles sont proportionnés (paragraphe </w:t>
      </w:r>
      <w:r w:rsidRPr="004F6D80">
        <w:rPr>
          <w:rFonts w:ascii="Times New Roman" w:hAnsi="Times New Roman"/>
          <w:lang w:val="fr-BE"/>
        </w:rPr>
        <w:t>38</w:t>
      </w:r>
      <w:r w:rsidRPr="00071E40">
        <w:rPr>
          <w:rFonts w:ascii="Times New Roman" w:hAnsi="Times New Roman"/>
          <w:lang w:val="fr-BE"/>
        </w:rPr>
        <w:t>).</w:t>
      </w:r>
    </w:p>
    <w:p w:rsidR="0029770E" w:rsidRPr="00071E40" w:rsidRDefault="0029770E" w:rsidP="0029770E">
      <w:pPr>
        <w:widowControl w:val="0"/>
        <w:spacing w:after="120"/>
        <w:ind w:left="1222" w:right="-28"/>
        <w:rPr>
          <w:rFonts w:ascii="Times New Roman" w:hAnsi="Times New Roman"/>
          <w:szCs w:val="24"/>
          <w:lang w:val="fr-BE"/>
        </w:rPr>
      </w:pPr>
      <w:r w:rsidRPr="00071E40">
        <w:rPr>
          <w:rFonts w:ascii="Times New Roman" w:hAnsi="Times New Roman"/>
          <w:lang w:val="fr-BE"/>
        </w:rPr>
        <w:t xml:space="preserve">La Commission coopère avec </w:t>
      </w:r>
      <w:r w:rsidRPr="0029770E">
        <w:rPr>
          <w:rFonts w:ascii="Times New Roman" w:hAnsi="Times New Roman"/>
          <w:lang w:val="fr-BE"/>
        </w:rPr>
        <w:t>l’</w:t>
      </w:r>
      <w:hyperlink r:id="rId5">
        <w:r w:rsidRPr="0029770E">
          <w:rPr>
            <w:rStyle w:val="Hyperlink"/>
            <w:rFonts w:ascii="Times New Roman" w:hAnsi="Times New Roman"/>
            <w:b/>
            <w:color w:val="auto"/>
            <w:lang w:val="fr-BE"/>
          </w:rPr>
          <w:t>Observatoire-forum des chaînes de blocs de l’UE</w:t>
        </w:r>
      </w:hyperlink>
      <w:r w:rsidRPr="0029770E">
        <w:rPr>
          <w:rFonts w:ascii="Times New Roman" w:hAnsi="Times New Roman"/>
          <w:lang w:val="fr-BE"/>
        </w:rPr>
        <w:t>, qui a été créé en févr</w:t>
      </w:r>
      <w:r w:rsidRPr="00071E40">
        <w:rPr>
          <w:rFonts w:ascii="Times New Roman" w:hAnsi="Times New Roman"/>
          <w:lang w:val="fr-BE"/>
        </w:rPr>
        <w:t>ier </w:t>
      </w:r>
      <w:r w:rsidRPr="004F6D80">
        <w:rPr>
          <w:rFonts w:ascii="Times New Roman" w:hAnsi="Times New Roman"/>
          <w:lang w:val="fr-BE"/>
        </w:rPr>
        <w:t>2018</w:t>
      </w:r>
      <w:r w:rsidRPr="00071E40">
        <w:rPr>
          <w:rFonts w:ascii="Times New Roman" w:hAnsi="Times New Roman"/>
          <w:lang w:val="fr-BE"/>
        </w:rPr>
        <w:t xml:space="preserve"> en tant que projet pilote du Parlement européen, dans le cadre d’une série d’ateliers et de discussions en ligne, en consultation avec l’industrie et d’autres parties intéressées, en vue d’offrir une </w:t>
      </w:r>
      <w:r w:rsidRPr="00071E40">
        <w:rPr>
          <w:rFonts w:ascii="Times New Roman" w:hAnsi="Times New Roman"/>
          <w:b/>
          <w:lang w:val="fr-BE"/>
        </w:rPr>
        <w:t>sécurité juridique</w:t>
      </w:r>
      <w:r w:rsidRPr="00071E40">
        <w:rPr>
          <w:rFonts w:ascii="Times New Roman" w:hAnsi="Times New Roman"/>
          <w:lang w:val="fr-BE"/>
        </w:rPr>
        <w:t xml:space="preserve"> accrue concernant la TRD/les chaînes de bloc. La </w:t>
      </w:r>
      <w:r w:rsidRPr="00071E40">
        <w:rPr>
          <w:rFonts w:ascii="Times New Roman" w:hAnsi="Times New Roman"/>
          <w:b/>
          <w:lang w:val="fr-BE"/>
        </w:rPr>
        <w:t>conformité avec le droit de l’Union européenne</w:t>
      </w:r>
      <w:r w:rsidRPr="00071E40">
        <w:rPr>
          <w:rFonts w:ascii="Times New Roman" w:hAnsi="Times New Roman"/>
          <w:lang w:val="fr-BE"/>
        </w:rPr>
        <w:t xml:space="preserve"> est évaluée en ce qui concerne le RGPD, l’identité numérique et l’identification électronique, l’authentification et les </w:t>
      </w:r>
      <w:r w:rsidRPr="00071E40">
        <w:rPr>
          <w:rFonts w:ascii="Times New Roman" w:hAnsi="Times New Roman"/>
          <w:lang w:val="fr-BE"/>
        </w:rPr>
        <w:lastRenderedPageBreak/>
        <w:t xml:space="preserve">services de confiance, la sécurité des réseaux et de l’information, et plus particulièrement lors de l’utilisation des contrats intelligents, afin de garantir leur force exécutoire, leur équité et la possibilité de révocation dans l’ensemble de l’Union européenne. La </w:t>
      </w:r>
      <w:r w:rsidRPr="00071E40">
        <w:rPr>
          <w:rFonts w:ascii="Times New Roman" w:hAnsi="Times New Roman"/>
          <w:b/>
          <w:lang w:val="fr-BE"/>
        </w:rPr>
        <w:t>protection des données à caractère personnel lors de l’utilisation des technologies de chaînes de bloc</w:t>
      </w:r>
      <w:r w:rsidRPr="00071E40">
        <w:rPr>
          <w:rFonts w:ascii="Times New Roman" w:hAnsi="Times New Roman"/>
          <w:lang w:val="fr-BE"/>
        </w:rPr>
        <w:t xml:space="preserve"> a été examinée dans un document thématique publié en octobre </w:t>
      </w:r>
      <w:r w:rsidRPr="004F6D80">
        <w:rPr>
          <w:rFonts w:ascii="Times New Roman" w:hAnsi="Times New Roman"/>
          <w:lang w:val="fr-BE"/>
        </w:rPr>
        <w:t>2018</w:t>
      </w:r>
      <w:r w:rsidRPr="00071E40">
        <w:rPr>
          <w:rFonts w:ascii="Times New Roman" w:hAnsi="Times New Roman"/>
          <w:lang w:val="fr-BE"/>
        </w:rPr>
        <w:t xml:space="preserve"> par l’Observatoire-forum des chaînes de blocs de l’UE en vue de donner des orientations aux développeurs de chaînes de bloc pour produire des systèmes conformes au RGPD;</w:t>
      </w:r>
    </w:p>
    <w:p w:rsidR="0029770E" w:rsidRPr="00071E40" w:rsidRDefault="0029770E" w:rsidP="0029770E">
      <w:pPr>
        <w:widowControl w:val="0"/>
        <w:numPr>
          <w:ilvl w:val="1"/>
          <w:numId w:val="1"/>
        </w:numPr>
        <w:spacing w:after="120"/>
        <w:ind w:left="1222" w:right="-28"/>
        <w:rPr>
          <w:rFonts w:ascii="Times New Roman" w:hAnsi="Times New Roman"/>
          <w:szCs w:val="24"/>
          <w:lang w:val="fr-BE"/>
        </w:rPr>
      </w:pPr>
      <w:proofErr w:type="gramStart"/>
      <w:r w:rsidRPr="00071E40">
        <w:rPr>
          <w:rFonts w:ascii="Times New Roman" w:hAnsi="Times New Roman"/>
          <w:lang w:val="fr-BE"/>
        </w:rPr>
        <w:t>promouvoir</w:t>
      </w:r>
      <w:proofErr w:type="gramEnd"/>
      <w:r w:rsidRPr="00071E40">
        <w:rPr>
          <w:rFonts w:ascii="Times New Roman" w:hAnsi="Times New Roman"/>
          <w:lang w:val="fr-BE"/>
        </w:rPr>
        <w:t xml:space="preserve"> le développement de </w:t>
      </w:r>
      <w:r w:rsidRPr="00071E40">
        <w:rPr>
          <w:rFonts w:ascii="Times New Roman" w:hAnsi="Times New Roman"/>
          <w:b/>
          <w:lang w:val="fr-BE"/>
        </w:rPr>
        <w:t>normes</w:t>
      </w:r>
      <w:r w:rsidRPr="00071E40">
        <w:rPr>
          <w:rFonts w:ascii="Times New Roman" w:hAnsi="Times New Roman"/>
          <w:lang w:val="fr-BE"/>
        </w:rPr>
        <w:t xml:space="preserve"> techniques et collaborer avec des organisations internationales pour les travaux de normalisation (paragraphes </w:t>
      </w:r>
      <w:r w:rsidRPr="004F6D80">
        <w:rPr>
          <w:rFonts w:ascii="Times New Roman" w:hAnsi="Times New Roman"/>
          <w:lang w:val="fr-BE"/>
        </w:rPr>
        <w:t>38</w:t>
      </w:r>
      <w:r w:rsidRPr="00071E40">
        <w:rPr>
          <w:rFonts w:ascii="Times New Roman" w:hAnsi="Times New Roman"/>
          <w:lang w:val="fr-BE"/>
        </w:rPr>
        <w:t xml:space="preserve"> et </w:t>
      </w:r>
      <w:r w:rsidRPr="004F6D80">
        <w:rPr>
          <w:rFonts w:ascii="Times New Roman" w:hAnsi="Times New Roman"/>
          <w:lang w:val="fr-BE"/>
        </w:rPr>
        <w:t>41</w:t>
      </w:r>
      <w:r w:rsidRPr="00071E40">
        <w:rPr>
          <w:rFonts w:ascii="Times New Roman" w:hAnsi="Times New Roman"/>
          <w:lang w:val="fr-BE"/>
        </w:rPr>
        <w:t>).</w:t>
      </w:r>
    </w:p>
    <w:p w:rsidR="0029770E" w:rsidRPr="00071E40" w:rsidRDefault="0029770E" w:rsidP="0029770E">
      <w:pPr>
        <w:widowControl w:val="0"/>
        <w:spacing w:after="120"/>
        <w:ind w:left="1222" w:right="-28"/>
        <w:rPr>
          <w:rFonts w:ascii="Times New Roman" w:hAnsi="Times New Roman"/>
          <w:szCs w:val="24"/>
          <w:lang w:val="fr-BE"/>
        </w:rPr>
      </w:pPr>
      <w:r w:rsidRPr="00071E40">
        <w:rPr>
          <w:rFonts w:ascii="Times New Roman" w:hAnsi="Times New Roman"/>
          <w:lang w:val="fr-BE"/>
        </w:rPr>
        <w:t xml:space="preserve">La Commission </w:t>
      </w:r>
      <w:r w:rsidRPr="00071E40">
        <w:rPr>
          <w:rFonts w:ascii="Times New Roman" w:hAnsi="Times New Roman"/>
          <w:b/>
          <w:lang w:val="fr-BE"/>
        </w:rPr>
        <w:t>collabore activement avec des organisations internationales pour les travaux de normalisation</w:t>
      </w:r>
      <w:r w:rsidRPr="00071E40">
        <w:rPr>
          <w:rFonts w:ascii="Times New Roman" w:hAnsi="Times New Roman"/>
          <w:lang w:val="fr-BE"/>
        </w:rPr>
        <w:t xml:space="preserve">, notamment dans le cadre de contacts avec le comité technique ISO/TC </w:t>
      </w:r>
      <w:r w:rsidRPr="004F6D80">
        <w:rPr>
          <w:rFonts w:ascii="Times New Roman" w:hAnsi="Times New Roman"/>
          <w:lang w:val="fr-BE"/>
        </w:rPr>
        <w:t>307</w:t>
      </w:r>
      <w:r w:rsidRPr="00071E40">
        <w:rPr>
          <w:rFonts w:ascii="Times New Roman" w:hAnsi="Times New Roman"/>
          <w:lang w:val="fr-BE"/>
        </w:rPr>
        <w:t xml:space="preserve"> sur les chaînes de bloc. Le CEN-CENELEC, en collaboration avec la Commission, a également publié un </w:t>
      </w:r>
      <w:r w:rsidRPr="00071E40">
        <w:rPr>
          <w:rFonts w:ascii="Times New Roman" w:hAnsi="Times New Roman"/>
          <w:b/>
          <w:lang w:val="fr-BE"/>
        </w:rPr>
        <w:t>livre blanc européen sur la normalisation des chaînes de bloc</w:t>
      </w:r>
      <w:r w:rsidRPr="00071E40">
        <w:rPr>
          <w:rFonts w:ascii="Times New Roman" w:hAnsi="Times New Roman"/>
          <w:lang w:val="fr-BE"/>
        </w:rPr>
        <w:t>, soulignant les spécificités européennes, notamment sur l’identité numérique et le règlement sur l’identification électronique et les services de confiance pour les transactions électroniques au sein du marché intérieur;</w:t>
      </w:r>
    </w:p>
    <w:p w:rsidR="0029770E" w:rsidRPr="00071E40" w:rsidRDefault="0029770E" w:rsidP="0029770E">
      <w:pPr>
        <w:widowControl w:val="0"/>
        <w:numPr>
          <w:ilvl w:val="1"/>
          <w:numId w:val="1"/>
        </w:numPr>
        <w:spacing w:after="120"/>
        <w:ind w:left="1222" w:right="-28"/>
        <w:rPr>
          <w:rFonts w:ascii="Times New Roman" w:hAnsi="Times New Roman"/>
          <w:szCs w:val="24"/>
          <w:lang w:val="fr-BE"/>
        </w:rPr>
      </w:pPr>
      <w:proofErr w:type="gramStart"/>
      <w:r w:rsidRPr="00071E40">
        <w:rPr>
          <w:rFonts w:ascii="Times New Roman" w:hAnsi="Times New Roman"/>
          <w:lang w:val="fr-BE"/>
        </w:rPr>
        <w:t>explorer</w:t>
      </w:r>
      <w:proofErr w:type="gramEnd"/>
      <w:r w:rsidRPr="00071E40">
        <w:rPr>
          <w:rFonts w:ascii="Times New Roman" w:hAnsi="Times New Roman"/>
          <w:lang w:val="fr-BE"/>
        </w:rPr>
        <w:t xml:space="preserve"> et suivre les </w:t>
      </w:r>
      <w:r w:rsidRPr="00071E40">
        <w:rPr>
          <w:rFonts w:ascii="Times New Roman" w:hAnsi="Times New Roman"/>
          <w:b/>
          <w:lang w:val="fr-BE"/>
        </w:rPr>
        <w:t>cas d’utilisation</w:t>
      </w:r>
      <w:r w:rsidRPr="00071E40">
        <w:rPr>
          <w:rFonts w:ascii="Times New Roman" w:hAnsi="Times New Roman"/>
          <w:lang w:val="fr-BE"/>
        </w:rPr>
        <w:t xml:space="preserve"> potentiels, notamment:</w:t>
      </w:r>
    </w:p>
    <w:p w:rsidR="0029770E" w:rsidRPr="00071E40" w:rsidRDefault="0029770E" w:rsidP="0029770E">
      <w:pPr>
        <w:widowControl w:val="0"/>
        <w:numPr>
          <w:ilvl w:val="2"/>
          <w:numId w:val="1"/>
        </w:numPr>
        <w:spacing w:after="120"/>
        <w:ind w:left="1942" w:right="-28"/>
        <w:rPr>
          <w:rFonts w:ascii="Times New Roman" w:hAnsi="Times New Roman"/>
          <w:szCs w:val="24"/>
          <w:lang w:val="fr-BE"/>
        </w:rPr>
      </w:pPr>
      <w:proofErr w:type="gramStart"/>
      <w:r w:rsidRPr="00071E40">
        <w:rPr>
          <w:rFonts w:ascii="Times New Roman" w:hAnsi="Times New Roman"/>
          <w:lang w:val="fr-BE"/>
        </w:rPr>
        <w:t>dans</w:t>
      </w:r>
      <w:proofErr w:type="gramEnd"/>
      <w:r w:rsidRPr="00071E40">
        <w:rPr>
          <w:rFonts w:ascii="Times New Roman" w:hAnsi="Times New Roman"/>
          <w:lang w:val="fr-BE"/>
        </w:rPr>
        <w:t xml:space="preserve"> la </w:t>
      </w:r>
      <w:r w:rsidRPr="00071E40">
        <w:rPr>
          <w:rFonts w:ascii="Times New Roman" w:hAnsi="Times New Roman"/>
          <w:b/>
          <w:lang w:val="fr-BE"/>
        </w:rPr>
        <w:t>gestion des systèmes de santé</w:t>
      </w:r>
      <w:r w:rsidRPr="00071E40">
        <w:rPr>
          <w:rFonts w:ascii="Times New Roman" w:hAnsi="Times New Roman"/>
          <w:lang w:val="fr-BE"/>
        </w:rPr>
        <w:t xml:space="preserve"> (paragraphe </w:t>
      </w:r>
      <w:r w:rsidRPr="004F6D80">
        <w:rPr>
          <w:rFonts w:ascii="Times New Roman" w:hAnsi="Times New Roman"/>
          <w:lang w:val="fr-BE"/>
        </w:rPr>
        <w:t>15</w:t>
      </w:r>
      <w:r w:rsidRPr="00071E40">
        <w:rPr>
          <w:rFonts w:ascii="Times New Roman" w:hAnsi="Times New Roman"/>
          <w:lang w:val="fr-BE"/>
        </w:rPr>
        <w:t>);</w:t>
      </w:r>
    </w:p>
    <w:p w:rsidR="0029770E" w:rsidRPr="00071E40" w:rsidRDefault="0029770E" w:rsidP="0029770E">
      <w:pPr>
        <w:widowControl w:val="0"/>
        <w:numPr>
          <w:ilvl w:val="2"/>
          <w:numId w:val="1"/>
        </w:numPr>
        <w:spacing w:after="120"/>
        <w:ind w:left="1942" w:right="-28"/>
        <w:rPr>
          <w:rFonts w:ascii="Times New Roman" w:hAnsi="Times New Roman"/>
          <w:szCs w:val="24"/>
          <w:lang w:val="fr-BE"/>
        </w:rPr>
      </w:pPr>
      <w:proofErr w:type="gramStart"/>
      <w:r w:rsidRPr="00071E40">
        <w:rPr>
          <w:rFonts w:ascii="Times New Roman" w:hAnsi="Times New Roman"/>
          <w:lang w:val="fr-BE"/>
        </w:rPr>
        <w:t>pour</w:t>
      </w:r>
      <w:proofErr w:type="gramEnd"/>
      <w:r w:rsidRPr="00071E40">
        <w:rPr>
          <w:rFonts w:ascii="Times New Roman" w:hAnsi="Times New Roman"/>
          <w:lang w:val="fr-BE"/>
        </w:rPr>
        <w:t xml:space="preserve"> la </w:t>
      </w:r>
      <w:r w:rsidRPr="00071E40">
        <w:rPr>
          <w:rFonts w:ascii="Times New Roman" w:hAnsi="Times New Roman"/>
          <w:b/>
          <w:lang w:val="fr-BE"/>
        </w:rPr>
        <w:t>reconnaissance des qualifications universitaires et professionnelles</w:t>
      </w:r>
      <w:r w:rsidRPr="00071E40">
        <w:rPr>
          <w:rFonts w:ascii="Times New Roman" w:hAnsi="Times New Roman"/>
          <w:lang w:val="fr-BE"/>
        </w:rPr>
        <w:t xml:space="preserve"> (paragraphe </w:t>
      </w:r>
      <w:r w:rsidRPr="004F6D80">
        <w:rPr>
          <w:rFonts w:ascii="Times New Roman" w:hAnsi="Times New Roman"/>
          <w:lang w:val="fr-BE"/>
        </w:rPr>
        <w:t>20</w:t>
      </w:r>
      <w:r w:rsidRPr="00071E40">
        <w:rPr>
          <w:rFonts w:ascii="Times New Roman" w:hAnsi="Times New Roman"/>
          <w:lang w:val="fr-BE"/>
        </w:rPr>
        <w:t>);</w:t>
      </w:r>
    </w:p>
    <w:p w:rsidR="0029770E" w:rsidRPr="00071E40" w:rsidRDefault="0029770E" w:rsidP="0029770E">
      <w:pPr>
        <w:widowControl w:val="0"/>
        <w:numPr>
          <w:ilvl w:val="2"/>
          <w:numId w:val="1"/>
        </w:numPr>
        <w:spacing w:after="120"/>
        <w:ind w:left="1942" w:right="-28"/>
        <w:rPr>
          <w:rFonts w:ascii="Times New Roman" w:hAnsi="Times New Roman"/>
          <w:szCs w:val="24"/>
          <w:lang w:val="fr-BE"/>
        </w:rPr>
      </w:pPr>
      <w:proofErr w:type="gramStart"/>
      <w:r w:rsidRPr="00071E40">
        <w:rPr>
          <w:rFonts w:ascii="Times New Roman" w:hAnsi="Times New Roman"/>
          <w:lang w:val="fr-BE"/>
        </w:rPr>
        <w:t>dans</w:t>
      </w:r>
      <w:proofErr w:type="gramEnd"/>
      <w:r w:rsidRPr="00071E40">
        <w:rPr>
          <w:rFonts w:ascii="Times New Roman" w:hAnsi="Times New Roman"/>
          <w:lang w:val="fr-BE"/>
        </w:rPr>
        <w:t xml:space="preserve"> le secteur des </w:t>
      </w:r>
      <w:r w:rsidRPr="00071E40">
        <w:rPr>
          <w:rFonts w:ascii="Times New Roman" w:hAnsi="Times New Roman"/>
          <w:b/>
          <w:lang w:val="fr-BE"/>
        </w:rPr>
        <w:t>services financiers</w:t>
      </w:r>
      <w:r w:rsidRPr="00071E40">
        <w:rPr>
          <w:rFonts w:ascii="Times New Roman" w:hAnsi="Times New Roman"/>
          <w:lang w:val="fr-BE"/>
        </w:rPr>
        <w:t xml:space="preserve"> (paragraphe </w:t>
      </w:r>
      <w:r w:rsidRPr="004F6D80">
        <w:rPr>
          <w:rFonts w:ascii="Times New Roman" w:hAnsi="Times New Roman"/>
          <w:lang w:val="fr-BE"/>
        </w:rPr>
        <w:t>26</w:t>
      </w:r>
      <w:r w:rsidRPr="00071E40">
        <w:rPr>
          <w:rFonts w:ascii="Times New Roman" w:hAnsi="Times New Roman"/>
          <w:lang w:val="fr-BE"/>
        </w:rPr>
        <w:t>);</w:t>
      </w:r>
    </w:p>
    <w:p w:rsidR="0029770E" w:rsidRPr="00071E40" w:rsidRDefault="0029770E" w:rsidP="0029770E">
      <w:pPr>
        <w:widowControl w:val="0"/>
        <w:numPr>
          <w:ilvl w:val="2"/>
          <w:numId w:val="1"/>
        </w:numPr>
        <w:spacing w:after="120"/>
        <w:ind w:left="1942" w:right="-28"/>
        <w:rPr>
          <w:rFonts w:ascii="Times New Roman" w:hAnsi="Times New Roman"/>
          <w:szCs w:val="24"/>
          <w:lang w:val="fr-BE"/>
        </w:rPr>
      </w:pPr>
      <w:proofErr w:type="gramStart"/>
      <w:r w:rsidRPr="00071E40">
        <w:rPr>
          <w:rFonts w:ascii="Times New Roman" w:hAnsi="Times New Roman"/>
          <w:lang w:val="fr-BE"/>
        </w:rPr>
        <w:t>dans</w:t>
      </w:r>
      <w:proofErr w:type="gramEnd"/>
      <w:r w:rsidRPr="00071E40">
        <w:rPr>
          <w:rFonts w:ascii="Times New Roman" w:hAnsi="Times New Roman"/>
          <w:lang w:val="fr-BE"/>
        </w:rPr>
        <w:t xml:space="preserve"> l’amélioration des </w:t>
      </w:r>
      <w:r w:rsidRPr="00071E40">
        <w:rPr>
          <w:rFonts w:ascii="Times New Roman" w:hAnsi="Times New Roman"/>
          <w:b/>
          <w:lang w:val="fr-BE"/>
        </w:rPr>
        <w:t>services publics</w:t>
      </w:r>
      <w:r w:rsidRPr="00071E40">
        <w:rPr>
          <w:rFonts w:ascii="Times New Roman" w:hAnsi="Times New Roman"/>
          <w:lang w:val="fr-BE"/>
        </w:rPr>
        <w:t xml:space="preserve"> traditionnels, notamment la numérisation et la décentralisation des registres publics, l’octroi de licences, les certificats à l’usage des citoyens et la gestion des migrations et en ce qui concerne </w:t>
      </w:r>
      <w:r w:rsidRPr="00071E40">
        <w:rPr>
          <w:rFonts w:ascii="Times New Roman" w:hAnsi="Times New Roman"/>
          <w:b/>
          <w:lang w:val="fr-BE"/>
        </w:rPr>
        <w:t>la vie privée et la confidentialité des échanges de données</w:t>
      </w:r>
      <w:r w:rsidRPr="00071E40">
        <w:rPr>
          <w:rFonts w:ascii="Times New Roman" w:hAnsi="Times New Roman"/>
          <w:lang w:val="fr-BE"/>
        </w:rPr>
        <w:t xml:space="preserve">, les services d’administration en ligne avec une </w:t>
      </w:r>
      <w:r w:rsidRPr="00071E40">
        <w:rPr>
          <w:rFonts w:ascii="Times New Roman" w:hAnsi="Times New Roman"/>
          <w:b/>
          <w:lang w:val="fr-BE"/>
        </w:rPr>
        <w:t>identité numérique décentralisée</w:t>
      </w:r>
      <w:r w:rsidRPr="00071E40">
        <w:rPr>
          <w:rFonts w:ascii="Times New Roman" w:hAnsi="Times New Roman"/>
          <w:lang w:val="fr-BE"/>
        </w:rPr>
        <w:t xml:space="preserve"> (paragraphe </w:t>
      </w:r>
      <w:r w:rsidRPr="004F6D80">
        <w:rPr>
          <w:rFonts w:ascii="Times New Roman" w:hAnsi="Times New Roman"/>
          <w:lang w:val="fr-BE"/>
        </w:rPr>
        <w:t>48</w:t>
      </w:r>
      <w:r w:rsidRPr="00071E40">
        <w:rPr>
          <w:rFonts w:ascii="Times New Roman" w:hAnsi="Times New Roman"/>
          <w:lang w:val="fr-BE"/>
        </w:rPr>
        <w:t>);</w:t>
      </w:r>
    </w:p>
    <w:p w:rsidR="0029770E" w:rsidRPr="00071E40" w:rsidRDefault="0029770E" w:rsidP="0029770E">
      <w:pPr>
        <w:widowControl w:val="0"/>
        <w:numPr>
          <w:ilvl w:val="2"/>
          <w:numId w:val="1"/>
        </w:numPr>
        <w:spacing w:after="120"/>
        <w:ind w:left="1942" w:right="-28"/>
        <w:rPr>
          <w:rFonts w:ascii="Times New Roman" w:hAnsi="Times New Roman"/>
          <w:szCs w:val="24"/>
          <w:lang w:val="fr-BE"/>
        </w:rPr>
      </w:pPr>
      <w:proofErr w:type="gramStart"/>
      <w:r w:rsidRPr="00071E40">
        <w:rPr>
          <w:rFonts w:ascii="Times New Roman" w:hAnsi="Times New Roman"/>
          <w:lang w:val="fr-BE"/>
        </w:rPr>
        <w:t>dans</w:t>
      </w:r>
      <w:proofErr w:type="gramEnd"/>
      <w:r w:rsidRPr="00071E40">
        <w:rPr>
          <w:rFonts w:ascii="Times New Roman" w:hAnsi="Times New Roman"/>
          <w:lang w:val="fr-BE"/>
        </w:rPr>
        <w:t xml:space="preserve"> les domaines de l’application de la loi, du </w:t>
      </w:r>
      <w:r w:rsidRPr="00071E40">
        <w:rPr>
          <w:rFonts w:ascii="Times New Roman" w:hAnsi="Times New Roman"/>
          <w:b/>
          <w:lang w:val="fr-BE"/>
        </w:rPr>
        <w:t>pistage des opérations de blanchiment de capitaux et du contrôle fiscal</w:t>
      </w:r>
      <w:r w:rsidRPr="00071E40">
        <w:rPr>
          <w:rFonts w:ascii="Times New Roman" w:hAnsi="Times New Roman"/>
          <w:lang w:val="fr-BE"/>
        </w:rPr>
        <w:t xml:space="preserve"> (paragraphe </w:t>
      </w:r>
      <w:r w:rsidRPr="004F6D80">
        <w:rPr>
          <w:rFonts w:ascii="Times New Roman" w:hAnsi="Times New Roman"/>
          <w:lang w:val="fr-BE"/>
        </w:rPr>
        <w:t>49</w:t>
      </w:r>
      <w:r w:rsidRPr="00071E40">
        <w:rPr>
          <w:rFonts w:ascii="Times New Roman" w:hAnsi="Times New Roman"/>
          <w:lang w:val="fr-BE"/>
        </w:rPr>
        <w:t>);</w:t>
      </w:r>
    </w:p>
    <w:p w:rsidR="0029770E" w:rsidRPr="00071E40" w:rsidRDefault="0029770E" w:rsidP="0029770E">
      <w:pPr>
        <w:widowControl w:val="0"/>
        <w:numPr>
          <w:ilvl w:val="2"/>
          <w:numId w:val="1"/>
        </w:numPr>
        <w:spacing w:after="120"/>
        <w:ind w:left="1942" w:right="-28"/>
        <w:rPr>
          <w:rFonts w:ascii="Times New Roman" w:hAnsi="Times New Roman"/>
          <w:szCs w:val="24"/>
          <w:lang w:val="fr-BE"/>
        </w:rPr>
      </w:pPr>
      <w:proofErr w:type="gramStart"/>
      <w:r w:rsidRPr="00071E40">
        <w:rPr>
          <w:rFonts w:ascii="Times New Roman" w:hAnsi="Times New Roman"/>
          <w:lang w:val="fr-BE"/>
        </w:rPr>
        <w:t>son</w:t>
      </w:r>
      <w:proofErr w:type="gramEnd"/>
      <w:r w:rsidRPr="00071E40">
        <w:rPr>
          <w:rFonts w:ascii="Times New Roman" w:hAnsi="Times New Roman"/>
          <w:lang w:val="fr-BE"/>
        </w:rPr>
        <w:t xml:space="preserve"> potentiel afin de servir l’intérêt collectif et d’</w:t>
      </w:r>
      <w:r w:rsidRPr="00071E40">
        <w:rPr>
          <w:rFonts w:ascii="Times New Roman" w:hAnsi="Times New Roman"/>
          <w:b/>
          <w:lang w:val="fr-BE"/>
        </w:rPr>
        <w:t>évaluer l’incidence sociale</w:t>
      </w:r>
      <w:r w:rsidRPr="00071E40">
        <w:rPr>
          <w:rFonts w:ascii="Times New Roman" w:hAnsi="Times New Roman"/>
          <w:lang w:val="fr-BE"/>
        </w:rPr>
        <w:t xml:space="preserve"> de la technologie (paragraphe </w:t>
      </w:r>
      <w:r w:rsidRPr="004F6D80">
        <w:rPr>
          <w:rFonts w:ascii="Times New Roman" w:hAnsi="Times New Roman"/>
          <w:lang w:val="fr-BE"/>
        </w:rPr>
        <w:t>50</w:t>
      </w:r>
      <w:r w:rsidRPr="00071E40">
        <w:rPr>
          <w:rFonts w:ascii="Times New Roman" w:hAnsi="Times New Roman"/>
          <w:lang w:val="fr-BE"/>
        </w:rPr>
        <w:t>); pour le suivi des financements de l’Union octroyés à l’</w:t>
      </w:r>
      <w:r w:rsidRPr="00071E40">
        <w:rPr>
          <w:rFonts w:ascii="Times New Roman" w:hAnsi="Times New Roman"/>
          <w:b/>
          <w:lang w:val="fr-BE"/>
        </w:rPr>
        <w:t>aide au développement</w:t>
      </w:r>
      <w:r w:rsidRPr="00071E40">
        <w:rPr>
          <w:rFonts w:ascii="Times New Roman" w:hAnsi="Times New Roman"/>
          <w:lang w:val="fr-BE"/>
        </w:rPr>
        <w:t xml:space="preserve"> (paragraphe </w:t>
      </w:r>
      <w:r w:rsidRPr="004F6D80">
        <w:rPr>
          <w:rFonts w:ascii="Times New Roman" w:hAnsi="Times New Roman"/>
          <w:lang w:val="fr-BE"/>
        </w:rPr>
        <w:t>51</w:t>
      </w:r>
      <w:r w:rsidRPr="00071E40">
        <w:rPr>
          <w:rFonts w:ascii="Times New Roman" w:hAnsi="Times New Roman"/>
          <w:lang w:val="fr-BE"/>
        </w:rPr>
        <w:t xml:space="preserve">); et pour évaluer la sécurité et l’efficacité des systèmes de </w:t>
      </w:r>
      <w:r w:rsidRPr="00071E40">
        <w:rPr>
          <w:rFonts w:ascii="Times New Roman" w:hAnsi="Times New Roman"/>
          <w:b/>
          <w:lang w:val="fr-BE"/>
        </w:rPr>
        <w:t>vote électronique</w:t>
      </w:r>
      <w:r w:rsidRPr="00071E40">
        <w:rPr>
          <w:rFonts w:ascii="Times New Roman" w:hAnsi="Times New Roman"/>
          <w:lang w:val="fr-BE"/>
        </w:rPr>
        <w:t xml:space="preserve"> (paragraphe </w:t>
      </w:r>
      <w:r w:rsidRPr="004F6D80">
        <w:rPr>
          <w:rFonts w:ascii="Times New Roman" w:hAnsi="Times New Roman"/>
          <w:lang w:val="fr-BE"/>
        </w:rPr>
        <w:t>54</w:t>
      </w:r>
      <w:r w:rsidRPr="00071E40">
        <w:rPr>
          <w:rFonts w:ascii="Times New Roman" w:hAnsi="Times New Roman"/>
          <w:lang w:val="fr-BE"/>
        </w:rPr>
        <w:t>).</w:t>
      </w:r>
    </w:p>
    <w:p w:rsidR="0029770E" w:rsidRPr="00071E40" w:rsidRDefault="0029770E" w:rsidP="0029770E">
      <w:pPr>
        <w:widowControl w:val="0"/>
        <w:spacing w:after="120"/>
        <w:ind w:left="1320" w:right="-28"/>
        <w:rPr>
          <w:rFonts w:ascii="Times New Roman" w:hAnsi="Times New Roman"/>
          <w:szCs w:val="24"/>
          <w:lang w:val="fr-BE"/>
        </w:rPr>
      </w:pPr>
      <w:r w:rsidRPr="00071E40">
        <w:rPr>
          <w:rFonts w:ascii="Times New Roman" w:hAnsi="Times New Roman"/>
          <w:lang w:val="fr-BE"/>
        </w:rPr>
        <w:t xml:space="preserve">La Commission coopère étroitement avec les États membres, dans le cadre du partenariat européen des chaînes de bloc, et avec un large éventail de parties prenantes, dans le cadre de l’observatoire et forum européen des chaînes de blocs, sur l’étude des nouveaux cas d’utilisation et les scénarios de transition des systèmes d’information existants. La Commission reconnaît que la TRD est une technologie polyvalente et que les </w:t>
      </w:r>
      <w:r w:rsidRPr="00071E40">
        <w:rPr>
          <w:rFonts w:ascii="Times New Roman" w:hAnsi="Times New Roman"/>
          <w:b/>
          <w:lang w:val="fr-BE"/>
        </w:rPr>
        <w:t>applications</w:t>
      </w:r>
      <w:r w:rsidRPr="00071E40">
        <w:rPr>
          <w:rFonts w:ascii="Times New Roman" w:hAnsi="Times New Roman"/>
          <w:lang w:val="fr-BE"/>
        </w:rPr>
        <w:t xml:space="preserve"> des chaînes de bloc sont nombreuses et concernent un large éventail de secteurs. Les cas d’utilisation dans des domaines tels que les réseaux énergétiques, les soins de santé, les services financiers, les chaînes d’approvisionnement, les transports et la </w:t>
      </w:r>
      <w:r w:rsidRPr="00071E40">
        <w:rPr>
          <w:rFonts w:ascii="Times New Roman" w:hAnsi="Times New Roman"/>
          <w:lang w:val="fr-BE"/>
        </w:rPr>
        <w:lastRenderedPageBreak/>
        <w:t xml:space="preserve">logistique, l’éducation, les industries créatives et le secteur public sont actuellement recensés et étudiés. Des travaux ont été menés dans différents domaines pour piloter des technologies de chaînes de bloc dans des systèmes transfrontières. La Commission, en collaboration avec les États membres et d’autres institutions européennes, travaille activement sur un </w:t>
      </w:r>
      <w:r w:rsidRPr="00071E40">
        <w:rPr>
          <w:rFonts w:ascii="Times New Roman" w:hAnsi="Times New Roman"/>
          <w:b/>
          <w:lang w:val="fr-BE"/>
        </w:rPr>
        <w:t>ensemble de cas d’utilisation communs</w:t>
      </w:r>
      <w:r w:rsidRPr="00071E40">
        <w:rPr>
          <w:rFonts w:ascii="Times New Roman" w:hAnsi="Times New Roman"/>
          <w:lang w:val="fr-BE"/>
        </w:rPr>
        <w:t>, qui seront explorés et soutenus par l’infrastructure européenne de services de chaînes de bloc, initialement dans le cadre du mécanisme pour l’interconnexion en Europe. Parmi ces cas figurent la notarisation des documents publics, le partage des registres et documents, l’administration fiscale et douanière et le soutien d’un réseau évolutif et interopérable pour les diplômes et les qualifications;</w:t>
      </w:r>
    </w:p>
    <w:p w:rsidR="0029770E" w:rsidRPr="00071E40" w:rsidRDefault="0029770E" w:rsidP="0029770E">
      <w:pPr>
        <w:widowControl w:val="0"/>
        <w:numPr>
          <w:ilvl w:val="1"/>
          <w:numId w:val="1"/>
        </w:numPr>
        <w:spacing w:after="120"/>
        <w:ind w:left="1222" w:right="-28"/>
        <w:rPr>
          <w:rFonts w:ascii="Times New Roman" w:hAnsi="Times New Roman"/>
          <w:szCs w:val="24"/>
          <w:lang w:val="fr-BE"/>
        </w:rPr>
      </w:pPr>
      <w:proofErr w:type="gramStart"/>
      <w:r w:rsidRPr="00071E40">
        <w:rPr>
          <w:rFonts w:ascii="Times New Roman" w:hAnsi="Times New Roman"/>
          <w:lang w:val="fr-BE"/>
        </w:rPr>
        <w:t>en</w:t>
      </w:r>
      <w:proofErr w:type="gramEnd"/>
      <w:r w:rsidRPr="00071E40">
        <w:rPr>
          <w:rFonts w:ascii="Times New Roman" w:hAnsi="Times New Roman"/>
          <w:lang w:val="fr-BE"/>
        </w:rPr>
        <w:t xml:space="preserve"> collaboration avec la Banque centrale européenne (BCE), assurer le suivi des sources de volatilité des </w:t>
      </w:r>
      <w:proofErr w:type="spellStart"/>
      <w:r w:rsidRPr="00071E40">
        <w:rPr>
          <w:rFonts w:ascii="Times New Roman" w:hAnsi="Times New Roman"/>
          <w:lang w:val="fr-BE"/>
        </w:rPr>
        <w:t>cryptomonnaies</w:t>
      </w:r>
      <w:proofErr w:type="spellEnd"/>
      <w:r w:rsidRPr="00071E40">
        <w:rPr>
          <w:rFonts w:ascii="Times New Roman" w:hAnsi="Times New Roman"/>
          <w:lang w:val="fr-BE"/>
        </w:rPr>
        <w:t xml:space="preserve">, déterminer les dangers pour les citoyens et exploiter les possibilités de l’intégration des </w:t>
      </w:r>
      <w:proofErr w:type="spellStart"/>
      <w:r w:rsidRPr="00071E40">
        <w:rPr>
          <w:rFonts w:ascii="Times New Roman" w:hAnsi="Times New Roman"/>
          <w:lang w:val="fr-BE"/>
        </w:rPr>
        <w:t>cryptomonnaies</w:t>
      </w:r>
      <w:proofErr w:type="spellEnd"/>
      <w:r w:rsidRPr="00071E40">
        <w:rPr>
          <w:rFonts w:ascii="Times New Roman" w:hAnsi="Times New Roman"/>
          <w:lang w:val="fr-BE"/>
        </w:rPr>
        <w:t xml:space="preserve"> dans le système de paiement européen (paragraphe </w:t>
      </w:r>
      <w:r w:rsidRPr="004F6D80">
        <w:rPr>
          <w:rFonts w:ascii="Times New Roman" w:hAnsi="Times New Roman"/>
          <w:lang w:val="fr-BE"/>
        </w:rPr>
        <w:t>27</w:t>
      </w:r>
      <w:r w:rsidRPr="00071E40">
        <w:rPr>
          <w:rFonts w:ascii="Times New Roman" w:hAnsi="Times New Roman"/>
          <w:lang w:val="fr-BE"/>
        </w:rPr>
        <w:t>).</w:t>
      </w:r>
    </w:p>
    <w:p w:rsidR="0029770E" w:rsidRPr="00071E40" w:rsidRDefault="0029770E" w:rsidP="0029770E">
      <w:pPr>
        <w:widowControl w:val="0"/>
        <w:spacing w:after="120"/>
        <w:ind w:left="1222" w:right="-28"/>
        <w:rPr>
          <w:rFonts w:ascii="Times New Roman" w:hAnsi="Times New Roman"/>
          <w:szCs w:val="24"/>
          <w:lang w:val="fr-BE"/>
        </w:rPr>
      </w:pPr>
      <w:r w:rsidRPr="00071E40">
        <w:rPr>
          <w:rFonts w:ascii="Times New Roman" w:hAnsi="Times New Roman"/>
          <w:lang w:val="fr-BE"/>
        </w:rPr>
        <w:t xml:space="preserve">Dans le cadre du plan d’action </w:t>
      </w:r>
      <w:proofErr w:type="spellStart"/>
      <w:r w:rsidRPr="00071E40">
        <w:rPr>
          <w:rFonts w:ascii="Times New Roman" w:hAnsi="Times New Roman"/>
          <w:lang w:val="fr-BE"/>
        </w:rPr>
        <w:t>FinTech</w:t>
      </w:r>
      <w:proofErr w:type="spellEnd"/>
      <w:r w:rsidRPr="00071E40">
        <w:rPr>
          <w:rFonts w:ascii="Times New Roman" w:hAnsi="Times New Roman"/>
          <w:lang w:val="fr-BE"/>
        </w:rPr>
        <w:t xml:space="preserve">, la Commission, en collaboration avec les autorités européennes de surveillance, la BCE et les organismes responsables de la normalisation sur le plan international, évalue les opportunités et les risques liés aux </w:t>
      </w:r>
      <w:r w:rsidRPr="00071E40">
        <w:rPr>
          <w:rFonts w:ascii="Times New Roman" w:hAnsi="Times New Roman"/>
          <w:b/>
          <w:lang w:val="fr-BE"/>
        </w:rPr>
        <w:t>actifs cryptographiques</w:t>
      </w:r>
      <w:r w:rsidRPr="00071E40">
        <w:rPr>
          <w:rFonts w:ascii="Times New Roman" w:hAnsi="Times New Roman"/>
          <w:lang w:val="fr-BE"/>
        </w:rPr>
        <w:t xml:space="preserve"> et examine l’applicabilité de la règlementation financière en vigueur et son adéquation avec la </w:t>
      </w:r>
      <w:proofErr w:type="spellStart"/>
      <w:r w:rsidRPr="00071E40">
        <w:rPr>
          <w:rFonts w:ascii="Times New Roman" w:hAnsi="Times New Roman"/>
          <w:lang w:val="fr-BE"/>
        </w:rPr>
        <w:t>cryptomonnaie</w:t>
      </w:r>
      <w:proofErr w:type="spellEnd"/>
      <w:r w:rsidRPr="00071E40">
        <w:rPr>
          <w:rFonts w:ascii="Times New Roman" w:hAnsi="Times New Roman"/>
          <w:lang w:val="fr-BE"/>
        </w:rPr>
        <w:t xml:space="preserve">. À partir de cette évaluation, la Commission déterminera si des initiatives spécifiques sur la </w:t>
      </w:r>
      <w:proofErr w:type="spellStart"/>
      <w:r w:rsidRPr="00071E40">
        <w:rPr>
          <w:rFonts w:ascii="Times New Roman" w:hAnsi="Times New Roman"/>
          <w:lang w:val="fr-BE"/>
        </w:rPr>
        <w:t>cryptomonnaie</w:t>
      </w:r>
      <w:proofErr w:type="spellEnd"/>
      <w:r w:rsidRPr="00071E40">
        <w:rPr>
          <w:rFonts w:ascii="Times New Roman" w:hAnsi="Times New Roman"/>
          <w:lang w:val="fr-BE"/>
        </w:rPr>
        <w:t xml:space="preserve"> sont nécessaires au niveau de l’Union européenne;</w:t>
      </w:r>
    </w:p>
    <w:p w:rsidR="0029770E" w:rsidRPr="00071E40" w:rsidRDefault="0029770E" w:rsidP="0029770E">
      <w:pPr>
        <w:widowControl w:val="0"/>
        <w:numPr>
          <w:ilvl w:val="1"/>
          <w:numId w:val="1"/>
        </w:numPr>
        <w:spacing w:after="120"/>
        <w:ind w:left="1222" w:right="-28"/>
        <w:rPr>
          <w:rFonts w:ascii="Times New Roman" w:hAnsi="Times New Roman"/>
          <w:szCs w:val="24"/>
          <w:lang w:val="fr-BE"/>
        </w:rPr>
      </w:pPr>
      <w:r w:rsidRPr="00071E40">
        <w:rPr>
          <w:rFonts w:ascii="Times New Roman" w:hAnsi="Times New Roman"/>
          <w:lang w:val="fr-BE"/>
        </w:rPr>
        <w:t xml:space="preserve">en collaboration avec les autorités réglementaires, établir des lignes directrices et des normes pour </w:t>
      </w:r>
      <w:r w:rsidRPr="00071E40">
        <w:rPr>
          <w:rFonts w:ascii="Times New Roman" w:hAnsi="Times New Roman"/>
          <w:b/>
          <w:lang w:val="fr-BE"/>
        </w:rPr>
        <w:t xml:space="preserve">offrir une clarté et une sécurité juridique accrues concernant les Initial Coin </w:t>
      </w:r>
      <w:proofErr w:type="spellStart"/>
      <w:r w:rsidRPr="00071E40">
        <w:rPr>
          <w:rFonts w:ascii="Times New Roman" w:hAnsi="Times New Roman"/>
          <w:b/>
          <w:lang w:val="fr-BE"/>
        </w:rPr>
        <w:t>Offerings</w:t>
      </w:r>
      <w:proofErr w:type="spellEnd"/>
      <w:r w:rsidRPr="00071E40">
        <w:rPr>
          <w:rFonts w:ascii="Times New Roman" w:hAnsi="Times New Roman"/>
          <w:b/>
          <w:lang w:val="fr-BE"/>
        </w:rPr>
        <w:t xml:space="preserve"> (ICO)</w:t>
      </w:r>
      <w:r w:rsidRPr="00071E40">
        <w:rPr>
          <w:rFonts w:ascii="Times New Roman" w:hAnsi="Times New Roman"/>
          <w:lang w:val="fr-BE"/>
        </w:rPr>
        <w:t>, notamment dans le cas des jetons d’utilité (paragraphes </w:t>
      </w:r>
      <w:r w:rsidRPr="004F6D80">
        <w:rPr>
          <w:rFonts w:ascii="Times New Roman" w:hAnsi="Times New Roman"/>
          <w:lang w:val="fr-BE"/>
        </w:rPr>
        <w:t>60</w:t>
      </w:r>
      <w:r w:rsidRPr="00071E40">
        <w:rPr>
          <w:rFonts w:ascii="Times New Roman" w:hAnsi="Times New Roman"/>
          <w:lang w:val="fr-BE"/>
        </w:rPr>
        <w:t xml:space="preserve"> et </w:t>
      </w:r>
      <w:r w:rsidRPr="004F6D80">
        <w:rPr>
          <w:rFonts w:ascii="Times New Roman" w:hAnsi="Times New Roman"/>
          <w:lang w:val="fr-BE"/>
        </w:rPr>
        <w:t>61</w:t>
      </w:r>
      <w:r w:rsidRPr="00071E40">
        <w:rPr>
          <w:rFonts w:ascii="Times New Roman" w:hAnsi="Times New Roman"/>
          <w:lang w:val="fr-BE"/>
        </w:rPr>
        <w:t>), en définissant des critères pour accroître la protection des investisseurs et des consommateurs; examiner les exigences légales qui permettront à cette catégorie d’actifs d’être combinée avec d’autres sociétés financières dans le renforcement des financements des petites et moyennes entreprises (PME) et des projets d’innovation (paragraphe </w:t>
      </w:r>
      <w:r w:rsidRPr="004F6D80">
        <w:rPr>
          <w:rFonts w:ascii="Times New Roman" w:hAnsi="Times New Roman"/>
          <w:lang w:val="fr-BE"/>
        </w:rPr>
        <w:t>62</w:t>
      </w:r>
      <w:r w:rsidRPr="00071E40">
        <w:rPr>
          <w:rFonts w:ascii="Times New Roman" w:hAnsi="Times New Roman"/>
          <w:lang w:val="fr-BE"/>
        </w:rPr>
        <w:t xml:space="preserve">). </w:t>
      </w:r>
      <w:r w:rsidRPr="00071E40">
        <w:rPr>
          <w:rFonts w:ascii="Times New Roman" w:hAnsi="Times New Roman"/>
          <w:b/>
          <w:lang w:val="fr-BE"/>
        </w:rPr>
        <w:t>Créer un observatoire de surveillance des ICO</w:t>
      </w:r>
      <w:r w:rsidRPr="00071E40">
        <w:rPr>
          <w:rFonts w:ascii="Times New Roman" w:hAnsi="Times New Roman"/>
          <w:lang w:val="fr-BE"/>
        </w:rPr>
        <w:t>, incluant la classification des ICO, la distinction entre les jetons de sécurité ou d’utilité, la suggestion de modèles pour des espaces d’expérimentation réglementaire et un code de conduite (paragraphe </w:t>
      </w:r>
      <w:r w:rsidRPr="004F6D80">
        <w:rPr>
          <w:rFonts w:ascii="Times New Roman" w:hAnsi="Times New Roman"/>
          <w:lang w:val="fr-BE"/>
        </w:rPr>
        <w:t>63</w:t>
      </w:r>
      <w:r w:rsidRPr="00071E40">
        <w:rPr>
          <w:rFonts w:ascii="Times New Roman" w:hAnsi="Times New Roman"/>
          <w:lang w:val="fr-BE"/>
        </w:rPr>
        <w:t xml:space="preserve">). Élaborer un </w:t>
      </w:r>
      <w:r w:rsidRPr="00071E40">
        <w:rPr>
          <w:rFonts w:ascii="Times New Roman" w:hAnsi="Times New Roman"/>
          <w:b/>
          <w:lang w:val="fr-BE"/>
        </w:rPr>
        <w:t>cadre juridique européen en vue de résoudre les problèmes juridictionnels</w:t>
      </w:r>
      <w:r w:rsidRPr="00071E40">
        <w:rPr>
          <w:rFonts w:ascii="Times New Roman" w:hAnsi="Times New Roman"/>
          <w:lang w:val="fr-BE"/>
        </w:rPr>
        <w:t xml:space="preserve"> pouvant survenir en cas d’affaires frauduleuses ou pénales d’échange de TRD (paragraphe </w:t>
      </w:r>
      <w:r w:rsidRPr="004F6D80">
        <w:rPr>
          <w:rFonts w:ascii="Times New Roman" w:hAnsi="Times New Roman"/>
          <w:lang w:val="fr-BE"/>
        </w:rPr>
        <w:t>69</w:t>
      </w:r>
      <w:r w:rsidRPr="00071E40">
        <w:rPr>
          <w:rFonts w:ascii="Times New Roman" w:hAnsi="Times New Roman"/>
          <w:lang w:val="fr-BE"/>
        </w:rPr>
        <w:t>).</w:t>
      </w:r>
    </w:p>
    <w:p w:rsidR="0029770E" w:rsidRPr="00071E40" w:rsidRDefault="0029770E" w:rsidP="0029770E">
      <w:pPr>
        <w:widowControl w:val="0"/>
        <w:spacing w:after="120"/>
        <w:ind w:left="1222" w:right="-28"/>
        <w:rPr>
          <w:rFonts w:ascii="Times New Roman" w:hAnsi="Times New Roman"/>
          <w:szCs w:val="24"/>
          <w:lang w:val="fr-BE"/>
        </w:rPr>
      </w:pPr>
      <w:r w:rsidRPr="00071E40">
        <w:rPr>
          <w:rFonts w:ascii="Times New Roman" w:hAnsi="Times New Roman"/>
          <w:lang w:val="fr-BE"/>
        </w:rPr>
        <w:t>La Commission, en collaboration avec d’autres institutions européennes, surveille de près le marché des offres novatrices à valeur ajoutée et les nouvelles sources de financement dans le cadre des</w:t>
      </w:r>
      <w:proofErr w:type="gramStart"/>
      <w:r w:rsidRPr="00071E40">
        <w:rPr>
          <w:rFonts w:ascii="Times New Roman" w:hAnsi="Times New Roman"/>
          <w:lang w:val="fr-BE"/>
        </w:rPr>
        <w:t xml:space="preserve"> </w:t>
      </w:r>
      <w:r w:rsidRPr="00071E40">
        <w:rPr>
          <w:rFonts w:ascii="Times New Roman" w:hAnsi="Times New Roman"/>
          <w:b/>
          <w:lang w:val="fr-BE"/>
        </w:rPr>
        <w:t>«Initial</w:t>
      </w:r>
      <w:proofErr w:type="gramEnd"/>
      <w:r w:rsidRPr="00071E40">
        <w:rPr>
          <w:rFonts w:ascii="Times New Roman" w:hAnsi="Times New Roman"/>
          <w:b/>
          <w:lang w:val="fr-BE"/>
        </w:rPr>
        <w:t xml:space="preserve"> Coin </w:t>
      </w:r>
      <w:proofErr w:type="spellStart"/>
      <w:r w:rsidRPr="00071E40">
        <w:rPr>
          <w:rFonts w:ascii="Times New Roman" w:hAnsi="Times New Roman"/>
          <w:b/>
          <w:lang w:val="fr-BE"/>
        </w:rPr>
        <w:t>Offerings</w:t>
      </w:r>
      <w:proofErr w:type="spellEnd"/>
      <w:r w:rsidRPr="00071E40">
        <w:rPr>
          <w:rFonts w:ascii="Times New Roman" w:hAnsi="Times New Roman"/>
          <w:b/>
          <w:lang w:val="fr-BE"/>
        </w:rPr>
        <w:t>»</w:t>
      </w:r>
      <w:r w:rsidRPr="00071E40">
        <w:rPr>
          <w:rFonts w:ascii="Times New Roman" w:hAnsi="Times New Roman"/>
          <w:lang w:val="fr-BE"/>
        </w:rPr>
        <w:t>, ainsi que l’utilisation des jetons d’utilité et leurs marchés secondaires. La Commission a réuni un groupe d’experts composé de représentants de l’industrie et d’universitaires afin d’examiner les obstacles règlementaires à l’innovation financière (y compris les chaînes de bloc), qui devrait présenter son rapport et ses recommandations d’ici à juin </w:t>
      </w:r>
      <w:r w:rsidRPr="004F6D80">
        <w:rPr>
          <w:rFonts w:ascii="Times New Roman" w:hAnsi="Times New Roman"/>
          <w:lang w:val="fr-BE"/>
        </w:rPr>
        <w:t>2019</w:t>
      </w:r>
      <w:r w:rsidRPr="00071E40">
        <w:rPr>
          <w:rFonts w:ascii="Times New Roman" w:hAnsi="Times New Roman"/>
          <w:lang w:val="fr-BE"/>
        </w:rPr>
        <w:t xml:space="preserve">. De nouveaux outils de suivi et de collaboration sont en cours d’élaboration et les laboratoires </w:t>
      </w:r>
      <w:proofErr w:type="spellStart"/>
      <w:r w:rsidRPr="00071E40">
        <w:rPr>
          <w:rFonts w:ascii="Times New Roman" w:hAnsi="Times New Roman"/>
          <w:lang w:val="fr-BE"/>
        </w:rPr>
        <w:t>FinTech</w:t>
      </w:r>
      <w:proofErr w:type="spellEnd"/>
      <w:r w:rsidRPr="00071E40">
        <w:rPr>
          <w:rFonts w:ascii="Times New Roman" w:hAnsi="Times New Roman"/>
          <w:lang w:val="fr-BE"/>
        </w:rPr>
        <w:t xml:space="preserve"> encouragent l’adoption de nouvelles technologies dans le secteur des services financiers. En </w:t>
      </w:r>
      <w:r w:rsidRPr="004F6D80">
        <w:rPr>
          <w:rFonts w:ascii="Times New Roman" w:hAnsi="Times New Roman"/>
          <w:lang w:val="fr-BE"/>
        </w:rPr>
        <w:t>2019</w:t>
      </w:r>
      <w:r w:rsidRPr="00071E40">
        <w:rPr>
          <w:rFonts w:ascii="Times New Roman" w:hAnsi="Times New Roman"/>
          <w:lang w:val="fr-BE"/>
        </w:rPr>
        <w:t>, l’Observatoire-forum des chaînes de blocs de l’UE organisera un atelier sur l’état d’avancement de la TRD dans le secteur des services financiers;</w:t>
      </w:r>
    </w:p>
    <w:p w:rsidR="0029770E" w:rsidRPr="00071E40" w:rsidRDefault="0029770E" w:rsidP="0029770E">
      <w:pPr>
        <w:widowControl w:val="0"/>
        <w:numPr>
          <w:ilvl w:val="1"/>
          <w:numId w:val="1"/>
        </w:numPr>
        <w:spacing w:after="120"/>
        <w:ind w:left="1222" w:right="-28"/>
        <w:rPr>
          <w:rFonts w:ascii="Times New Roman" w:hAnsi="Times New Roman"/>
          <w:szCs w:val="24"/>
          <w:lang w:val="fr-BE"/>
        </w:rPr>
      </w:pPr>
      <w:r w:rsidRPr="00071E40">
        <w:rPr>
          <w:rFonts w:ascii="Times New Roman" w:hAnsi="Times New Roman"/>
          <w:lang w:val="fr-BE"/>
        </w:rPr>
        <w:lastRenderedPageBreak/>
        <w:t xml:space="preserve">mettre en œuvre des </w:t>
      </w:r>
      <w:r w:rsidRPr="00071E40">
        <w:rPr>
          <w:rFonts w:ascii="Times New Roman" w:hAnsi="Times New Roman"/>
          <w:b/>
          <w:lang w:val="fr-BE"/>
        </w:rPr>
        <w:t>stratégies de formation et de reconversion dans le domaine des compétences numériques</w:t>
      </w:r>
      <w:r w:rsidRPr="00071E40">
        <w:rPr>
          <w:rFonts w:ascii="Times New Roman" w:hAnsi="Times New Roman"/>
          <w:lang w:val="fr-BE"/>
        </w:rPr>
        <w:t xml:space="preserve"> pour une société numérique active et inclusive (paragraphe </w:t>
      </w:r>
      <w:r w:rsidRPr="004F6D80">
        <w:rPr>
          <w:rFonts w:ascii="Times New Roman" w:hAnsi="Times New Roman"/>
          <w:lang w:val="fr-BE"/>
        </w:rPr>
        <w:t>66</w:t>
      </w:r>
      <w:r w:rsidRPr="00071E40">
        <w:rPr>
          <w:rFonts w:ascii="Times New Roman" w:hAnsi="Times New Roman"/>
          <w:lang w:val="fr-BE"/>
        </w:rPr>
        <w:t xml:space="preserve">); élaborer des </w:t>
      </w:r>
      <w:r w:rsidRPr="00071E40">
        <w:rPr>
          <w:rFonts w:ascii="Times New Roman" w:hAnsi="Times New Roman"/>
          <w:b/>
          <w:lang w:val="fr-BE"/>
        </w:rPr>
        <w:t>initiatives de formation</w:t>
      </w:r>
      <w:r w:rsidRPr="00071E40">
        <w:rPr>
          <w:rFonts w:ascii="Times New Roman" w:hAnsi="Times New Roman"/>
          <w:lang w:val="fr-BE"/>
        </w:rPr>
        <w:t xml:space="preserve"> en vue de sensibiliser les citoyens, les entreprises et les administrations publiques (paragraphe </w:t>
      </w:r>
      <w:r w:rsidRPr="004F6D80">
        <w:rPr>
          <w:rFonts w:ascii="Times New Roman" w:hAnsi="Times New Roman"/>
          <w:lang w:val="fr-BE"/>
        </w:rPr>
        <w:t>72</w:t>
      </w:r>
      <w:r w:rsidRPr="00071E40">
        <w:rPr>
          <w:rFonts w:ascii="Times New Roman" w:hAnsi="Times New Roman"/>
          <w:lang w:val="fr-BE"/>
        </w:rPr>
        <w:t xml:space="preserve">); et </w:t>
      </w:r>
      <w:r w:rsidRPr="00071E40">
        <w:rPr>
          <w:rFonts w:ascii="Times New Roman" w:hAnsi="Times New Roman"/>
          <w:b/>
          <w:lang w:val="fr-BE"/>
        </w:rPr>
        <w:t>se doter des connaissances d’expert en matière technique et d’une capacité réglementaire en la matière</w:t>
      </w:r>
      <w:r w:rsidRPr="00071E40">
        <w:rPr>
          <w:rFonts w:ascii="Times New Roman" w:hAnsi="Times New Roman"/>
          <w:lang w:val="fr-BE"/>
        </w:rPr>
        <w:t>, afin de pouvoir mener des actions législatives ou réglementaires, le cas échéant (paragraphe </w:t>
      </w:r>
      <w:r w:rsidRPr="004F6D80">
        <w:rPr>
          <w:rFonts w:ascii="Times New Roman" w:hAnsi="Times New Roman"/>
          <w:lang w:val="fr-BE"/>
        </w:rPr>
        <w:t>67</w:t>
      </w:r>
      <w:r w:rsidRPr="00071E40">
        <w:rPr>
          <w:rFonts w:ascii="Times New Roman" w:hAnsi="Times New Roman"/>
          <w:lang w:val="fr-BE"/>
        </w:rPr>
        <w:t>).</w:t>
      </w:r>
    </w:p>
    <w:p w:rsidR="00680EFD" w:rsidRPr="0029770E" w:rsidRDefault="0029770E" w:rsidP="0029770E">
      <w:pPr>
        <w:rPr>
          <w:lang w:val="fr-BE"/>
        </w:rPr>
      </w:pPr>
      <w:r w:rsidRPr="00071E40">
        <w:rPr>
          <w:rFonts w:ascii="Times New Roman" w:hAnsi="Times New Roman"/>
          <w:lang w:val="fr-BE"/>
        </w:rPr>
        <w:t xml:space="preserve">La Commission, en collaboration avec l’Observatoire-forum des chaînes de blocs de l’UE, organise </w:t>
      </w:r>
      <w:r w:rsidRPr="00071E40">
        <w:rPr>
          <w:rFonts w:ascii="Times New Roman" w:hAnsi="Times New Roman"/>
          <w:b/>
          <w:lang w:val="fr-BE"/>
        </w:rPr>
        <w:t>des formations et des activités de sensibilisation</w:t>
      </w:r>
      <w:r w:rsidRPr="00071E40">
        <w:rPr>
          <w:rFonts w:ascii="Times New Roman" w:hAnsi="Times New Roman"/>
          <w:lang w:val="fr-BE"/>
        </w:rPr>
        <w:t>, à la fois pour se doter de l’expertise interne et de la conformité réglementaire et pour former les citoyens, les entreprises et les administrations publiques sur le potentiel, les risques et les opportunités que représentent les TRD/ les chaînes de bloc et leurs applications. Parmi les récents exemples figurent la session web de juin </w:t>
      </w:r>
      <w:r w:rsidRPr="004F6D80">
        <w:rPr>
          <w:rFonts w:ascii="Times New Roman" w:hAnsi="Times New Roman"/>
          <w:lang w:val="fr-BE"/>
        </w:rPr>
        <w:t>2018</w:t>
      </w:r>
      <w:r w:rsidRPr="00071E40">
        <w:rPr>
          <w:rFonts w:ascii="Times New Roman" w:hAnsi="Times New Roman"/>
          <w:lang w:val="fr-BE"/>
        </w:rPr>
        <w:t xml:space="preserve"> intitulée</w:t>
      </w:r>
      <w:r w:rsidRPr="0029770E">
        <w:rPr>
          <w:lang w:val="fr-BE"/>
        </w:rPr>
        <w:t xml:space="preserve"> </w:t>
      </w:r>
      <w:hyperlink r:id="rId6">
        <w:proofErr w:type="spellStart"/>
        <w:r w:rsidRPr="0029770E">
          <w:rPr>
            <w:rStyle w:val="Hyperlink"/>
            <w:rFonts w:ascii="Times New Roman" w:hAnsi="Times New Roman"/>
            <w:color w:val="auto"/>
            <w:lang w:val="fr-BE"/>
          </w:rPr>
          <w:t>Ask</w:t>
        </w:r>
        <w:proofErr w:type="spellEnd"/>
        <w:r w:rsidRPr="0029770E">
          <w:rPr>
            <w:rStyle w:val="Hyperlink"/>
            <w:rFonts w:ascii="Times New Roman" w:hAnsi="Times New Roman"/>
            <w:color w:val="auto"/>
            <w:lang w:val="fr-BE"/>
          </w:rPr>
          <w:t xml:space="preserve"> Me </w:t>
        </w:r>
        <w:proofErr w:type="spellStart"/>
        <w:r w:rsidRPr="0029770E">
          <w:rPr>
            <w:rStyle w:val="Hyperlink"/>
            <w:rFonts w:ascii="Times New Roman" w:hAnsi="Times New Roman"/>
            <w:color w:val="auto"/>
            <w:lang w:val="fr-BE"/>
          </w:rPr>
          <w:t>Anything</w:t>
        </w:r>
        <w:proofErr w:type="spellEnd"/>
        <w:r w:rsidRPr="0029770E">
          <w:rPr>
            <w:rStyle w:val="Hyperlink"/>
            <w:rFonts w:ascii="Times New Roman" w:hAnsi="Times New Roman"/>
            <w:color w:val="auto"/>
            <w:lang w:val="fr-BE"/>
          </w:rPr>
          <w:t xml:space="preserve"> Session on </w:t>
        </w:r>
        <w:proofErr w:type="spellStart"/>
        <w:r w:rsidRPr="0029770E">
          <w:rPr>
            <w:rStyle w:val="Hyperlink"/>
            <w:rFonts w:ascii="Times New Roman" w:hAnsi="Times New Roman"/>
            <w:color w:val="auto"/>
            <w:lang w:val="fr-BE"/>
          </w:rPr>
          <w:t>Blockchain</w:t>
        </w:r>
        <w:proofErr w:type="spellEnd"/>
      </w:hyperlink>
      <w:r w:rsidRPr="00071E40">
        <w:rPr>
          <w:rFonts w:ascii="Times New Roman" w:hAnsi="Times New Roman"/>
          <w:lang w:val="fr-BE"/>
        </w:rPr>
        <w:t>, la formation de toutes les directions générales en juillet </w:t>
      </w:r>
      <w:r w:rsidRPr="004F6D80">
        <w:rPr>
          <w:rFonts w:ascii="Times New Roman" w:hAnsi="Times New Roman"/>
          <w:lang w:val="fr-BE"/>
        </w:rPr>
        <w:t>2018</w:t>
      </w:r>
      <w:r w:rsidRPr="00071E40">
        <w:rPr>
          <w:rFonts w:ascii="Times New Roman" w:hAnsi="Times New Roman"/>
          <w:lang w:val="fr-BE"/>
        </w:rPr>
        <w:t xml:space="preserve"> et la formation approfondie sur le codage des chaînes de bloc et les contrats intelligents en octobre </w:t>
      </w:r>
      <w:r w:rsidRPr="004F6D80">
        <w:rPr>
          <w:rFonts w:ascii="Times New Roman" w:hAnsi="Times New Roman"/>
          <w:lang w:val="fr-BE"/>
        </w:rPr>
        <w:t>2018</w:t>
      </w:r>
      <w:r w:rsidRPr="00071E40">
        <w:rPr>
          <w:rFonts w:ascii="Times New Roman" w:hAnsi="Times New Roman"/>
          <w:lang w:val="fr-BE"/>
        </w:rPr>
        <w:t xml:space="preserve">. En outre, la Commission organise une série d’ateliers thématiques ouverts en partie au grand public, des réseaux interservices, des tables rondes avec l’industrie, et elle participe à des conférences publiques. Dans sa proposition établissant le </w:t>
      </w:r>
      <w:r w:rsidRPr="00071E40">
        <w:rPr>
          <w:rFonts w:ascii="Times New Roman" w:hAnsi="Times New Roman"/>
          <w:b/>
          <w:lang w:val="fr-BE"/>
        </w:rPr>
        <w:t>programme pour une Europe numérique</w:t>
      </w:r>
      <w:r w:rsidRPr="00071E40">
        <w:rPr>
          <w:rFonts w:ascii="Times New Roman" w:hAnsi="Times New Roman"/>
          <w:lang w:val="fr-BE"/>
        </w:rPr>
        <w:t xml:space="preserve"> pour la période </w:t>
      </w:r>
      <w:r w:rsidRPr="004F6D80">
        <w:rPr>
          <w:rFonts w:ascii="Times New Roman" w:hAnsi="Times New Roman"/>
          <w:lang w:val="fr-BE"/>
        </w:rPr>
        <w:t>2021</w:t>
      </w:r>
      <w:r w:rsidRPr="00071E40">
        <w:rPr>
          <w:rFonts w:ascii="Times New Roman" w:hAnsi="Times New Roman"/>
          <w:lang w:val="fr-BE"/>
        </w:rPr>
        <w:t>-</w:t>
      </w:r>
      <w:r w:rsidRPr="004F6D80">
        <w:rPr>
          <w:rFonts w:ascii="Times New Roman" w:hAnsi="Times New Roman"/>
          <w:lang w:val="fr-BE"/>
        </w:rPr>
        <w:t>2027</w:t>
      </w:r>
      <w:r w:rsidRPr="00071E40">
        <w:rPr>
          <w:rFonts w:ascii="Times New Roman" w:hAnsi="Times New Roman"/>
          <w:lang w:val="fr-BE"/>
        </w:rPr>
        <w:t xml:space="preserve">, la Commission met en avant et propose des investissements consacrés au </w:t>
      </w:r>
      <w:r w:rsidRPr="00071E40">
        <w:rPr>
          <w:rFonts w:ascii="Times New Roman" w:hAnsi="Times New Roman"/>
          <w:b/>
          <w:lang w:val="fr-BE"/>
        </w:rPr>
        <w:t>développement des compétences avancées</w:t>
      </w:r>
      <w:r w:rsidRPr="00071E40">
        <w:rPr>
          <w:rFonts w:ascii="Times New Roman" w:hAnsi="Times New Roman"/>
          <w:lang w:val="fr-BE"/>
        </w:rPr>
        <w:t>, notamment pour les nouvelles technologies telles que les chaînes de bloc et l’intelligence artificielle. L’importance de garantir une société numérique active et inclusive est prise en compte dans les priorités numériques des fonds structurels et d’investissement européens (fonds ESI).</w:t>
      </w:r>
    </w:p>
    <w:sectPr w:rsidR="00680EFD" w:rsidRPr="002977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973D2"/>
    <w:multiLevelType w:val="hybridMultilevel"/>
    <w:tmpl w:val="A2FAFC22"/>
    <w:lvl w:ilvl="0" w:tplc="28A25164">
      <w:start w:val="1"/>
      <w:numFmt w:val="decimal"/>
      <w:lvlText w:val="%1."/>
      <w:lvlJc w:val="left"/>
      <w:pPr>
        <w:ind w:left="1080" w:hanging="720"/>
      </w:pPr>
      <w:rPr>
        <w:rFonts w:hint="default"/>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70E"/>
    <w:rsid w:val="00131AC6"/>
    <w:rsid w:val="0029770E"/>
    <w:rsid w:val="00680EFD"/>
    <w:rsid w:val="00B34A98"/>
    <w:rsid w:val="00ED7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85945B-2168-4A36-A1AD-CCCAAD68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70E"/>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Char1"/>
    <w:uiPriority w:val="99"/>
    <w:rsid w:val="0029770E"/>
    <w:rPr>
      <w:color w:val="0000FF"/>
      <w:u w:val="single"/>
    </w:rPr>
  </w:style>
  <w:style w:type="paragraph" w:customStyle="1" w:styleId="ZnakZnak">
    <w:name w:val="Znak Znak"/>
    <w:basedOn w:val="Normal"/>
    <w:uiPriority w:val="99"/>
    <w:rsid w:val="0029770E"/>
    <w:pPr>
      <w:spacing w:after="0" w:line="360" w:lineRule="auto"/>
    </w:pPr>
    <w:rPr>
      <w:rFonts w:ascii="Verdana" w:hAnsi="Verdana"/>
      <w:sz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h2ggB8Bcd4I" TargetMode="External"/><Relationship Id="rId5" Type="http://schemas.openxmlformats.org/officeDocument/2006/relationships/hyperlink" Target="https://www.eublockchainforum.e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2265</Words>
  <Characters>12803</Characters>
  <Application>Microsoft Office Word</Application>
  <DocSecurity>0</DocSecurity>
  <Lines>203</Lines>
  <Paragraphs>48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Veronique (SG)</dc:creator>
  <cp:keywords/>
  <dc:description/>
  <cp:lastModifiedBy>VINCENT Veronique (SG)</cp:lastModifiedBy>
  <cp:revision>1</cp:revision>
  <dcterms:created xsi:type="dcterms:W3CDTF">2019-02-21T14:16:00Z</dcterms:created>
  <dcterms:modified xsi:type="dcterms:W3CDTF">2019-02-21T14:16:00Z</dcterms:modified>
</cp:coreProperties>
</file>