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F80" w:rsidRPr="00B66212" w:rsidRDefault="00731F80" w:rsidP="00731F80">
      <w:pPr>
        <w:spacing w:after="0"/>
        <w:jc w:val="center"/>
        <w:rPr>
          <w:rFonts w:ascii="Times New Roman" w:hAnsi="Times New Roman"/>
          <w:b/>
          <w:bCs/>
          <w:szCs w:val="24"/>
          <w:lang w:val="fr-BE"/>
        </w:rPr>
      </w:pPr>
      <w:r w:rsidRPr="00B66212">
        <w:rPr>
          <w:rFonts w:ascii="Times New Roman" w:hAnsi="Times New Roman"/>
          <w:b/>
          <w:lang w:val="fr-BE"/>
        </w:rPr>
        <w:t>Suite donnée à la résolution non législative du Parlement européen</w:t>
      </w:r>
    </w:p>
    <w:p w:rsidR="00731F80" w:rsidRPr="00B66212" w:rsidRDefault="00731F80" w:rsidP="00731F80">
      <w:pPr>
        <w:spacing w:after="720"/>
        <w:jc w:val="center"/>
        <w:rPr>
          <w:rFonts w:ascii="Times New Roman" w:hAnsi="Times New Roman"/>
          <w:b/>
          <w:bCs/>
          <w:szCs w:val="24"/>
          <w:lang w:val="fr-BE"/>
        </w:rPr>
      </w:pPr>
      <w:proofErr w:type="gramStart"/>
      <w:r w:rsidRPr="00B66212">
        <w:rPr>
          <w:rFonts w:ascii="Times New Roman" w:hAnsi="Times New Roman"/>
          <w:b/>
          <w:lang w:val="fr-BE"/>
        </w:rPr>
        <w:t>sur</w:t>
      </w:r>
      <w:proofErr w:type="gramEnd"/>
      <w:r w:rsidRPr="00B66212">
        <w:rPr>
          <w:rFonts w:ascii="Times New Roman" w:hAnsi="Times New Roman"/>
          <w:b/>
          <w:lang w:val="fr-BE"/>
        </w:rPr>
        <w:t xml:space="preserve"> le paquet relatif à la stratégie en matière de passation des marchés publics</w:t>
      </w:r>
    </w:p>
    <w:p w:rsidR="00731F80" w:rsidRPr="00B66212" w:rsidRDefault="00731F80" w:rsidP="00731F80">
      <w:pPr>
        <w:pStyle w:val="CoverBold"/>
        <w:spacing w:after="240"/>
        <w:ind w:left="705" w:hanging="705"/>
        <w:rPr>
          <w:b w:val="0"/>
          <w:szCs w:val="24"/>
          <w:lang w:val="fr-BE"/>
        </w:rPr>
      </w:pPr>
      <w:r w:rsidRPr="004F6D80">
        <w:rPr>
          <w:lang w:val="fr-BE"/>
        </w:rPr>
        <w:t>1</w:t>
      </w:r>
      <w:r w:rsidRPr="00B66212">
        <w:rPr>
          <w:lang w:val="fr-BE"/>
        </w:rPr>
        <w:t>.</w:t>
      </w:r>
      <w:r w:rsidRPr="00B66212">
        <w:rPr>
          <w:lang w:val="fr-BE"/>
        </w:rPr>
        <w:tab/>
        <w:t xml:space="preserve">Rapporteur: </w:t>
      </w:r>
      <w:r w:rsidRPr="00B66212">
        <w:rPr>
          <w:b w:val="0"/>
          <w:lang w:val="fr-BE"/>
        </w:rPr>
        <w:t>Carlos COELHO (PPE/PT)</w:t>
      </w:r>
    </w:p>
    <w:p w:rsidR="00731F80" w:rsidRPr="00B66212" w:rsidRDefault="00731F80" w:rsidP="00731F80">
      <w:pPr>
        <w:pStyle w:val="CoverBold"/>
        <w:spacing w:after="240"/>
        <w:ind w:left="705" w:hanging="705"/>
        <w:jc w:val="both"/>
        <w:rPr>
          <w:rStyle w:val="contents"/>
          <w:rFonts w:ascii="Courier New" w:hAnsi="Courier New"/>
          <w:b w:val="0"/>
          <w:szCs w:val="24"/>
          <w:lang w:val="fr-BE"/>
        </w:rPr>
      </w:pPr>
      <w:r w:rsidRPr="004F6D80">
        <w:rPr>
          <w:lang w:val="fr-BE"/>
        </w:rPr>
        <w:t>2</w:t>
      </w:r>
      <w:r w:rsidRPr="00B66212">
        <w:rPr>
          <w:lang w:val="fr-BE"/>
        </w:rPr>
        <w:t>.</w:t>
      </w:r>
      <w:r w:rsidRPr="00B66212">
        <w:rPr>
          <w:lang w:val="fr-BE"/>
        </w:rPr>
        <w:tab/>
        <w:t xml:space="preserve">Numéros de référence: </w:t>
      </w:r>
      <w:r w:rsidRPr="004F6D80">
        <w:rPr>
          <w:b w:val="0"/>
          <w:lang w:val="fr-BE"/>
        </w:rPr>
        <w:t>2017</w:t>
      </w:r>
      <w:r w:rsidRPr="00B66212">
        <w:rPr>
          <w:b w:val="0"/>
          <w:lang w:val="fr-BE"/>
        </w:rPr>
        <w:t>/</w:t>
      </w:r>
      <w:r w:rsidRPr="004F6D80">
        <w:rPr>
          <w:b w:val="0"/>
          <w:lang w:val="fr-BE"/>
        </w:rPr>
        <w:t>2278</w:t>
      </w:r>
      <w:r w:rsidRPr="00B66212">
        <w:rPr>
          <w:b w:val="0"/>
          <w:lang w:val="fr-BE"/>
        </w:rPr>
        <w:t xml:space="preserve"> (INI) / </w:t>
      </w:r>
      <w:bookmarkStart w:id="0" w:name="_GoBack"/>
      <w:r w:rsidRPr="00B66212">
        <w:rPr>
          <w:b w:val="0"/>
          <w:lang w:val="fr-BE"/>
        </w:rPr>
        <w:t>A</w:t>
      </w:r>
      <w:r w:rsidRPr="004F6D80">
        <w:rPr>
          <w:b w:val="0"/>
          <w:lang w:val="fr-BE"/>
        </w:rPr>
        <w:t>8</w:t>
      </w:r>
      <w:r w:rsidRPr="00B66212">
        <w:rPr>
          <w:b w:val="0"/>
          <w:lang w:val="fr-BE"/>
        </w:rPr>
        <w:t>-</w:t>
      </w:r>
      <w:r w:rsidRPr="004F6D80">
        <w:rPr>
          <w:b w:val="0"/>
          <w:lang w:val="fr-BE"/>
        </w:rPr>
        <w:t>0229</w:t>
      </w:r>
      <w:r w:rsidRPr="00B66212">
        <w:rPr>
          <w:b w:val="0"/>
          <w:lang w:val="fr-BE"/>
        </w:rPr>
        <w:t>/</w:t>
      </w:r>
      <w:r w:rsidRPr="004F6D80">
        <w:rPr>
          <w:b w:val="0"/>
          <w:lang w:val="fr-BE"/>
        </w:rPr>
        <w:t>2018</w:t>
      </w:r>
      <w:r w:rsidRPr="00B66212">
        <w:rPr>
          <w:b w:val="0"/>
          <w:lang w:val="fr-BE"/>
        </w:rPr>
        <w:t xml:space="preserve"> </w:t>
      </w:r>
      <w:bookmarkEnd w:id="0"/>
      <w:r w:rsidRPr="00B66212">
        <w:rPr>
          <w:b w:val="0"/>
          <w:lang w:val="fr-BE"/>
        </w:rPr>
        <w:t>/</w:t>
      </w:r>
      <w:r w:rsidRPr="00B66212">
        <w:rPr>
          <w:rStyle w:val="contents"/>
          <w:b w:val="0"/>
          <w:lang w:val="fr-BE"/>
        </w:rPr>
        <w:t xml:space="preserve"> P</w:t>
      </w:r>
      <w:r w:rsidRPr="004F6D80">
        <w:rPr>
          <w:rStyle w:val="contents"/>
          <w:b w:val="0"/>
          <w:lang w:val="fr-BE"/>
        </w:rPr>
        <w:t>8</w:t>
      </w:r>
      <w:r w:rsidRPr="00B66212">
        <w:rPr>
          <w:rStyle w:val="contents"/>
          <w:b w:val="0"/>
          <w:lang w:val="fr-BE"/>
        </w:rPr>
        <w:t>_TA-</w:t>
      </w:r>
      <w:proofErr w:type="gramStart"/>
      <w:r w:rsidRPr="00B66212">
        <w:rPr>
          <w:rStyle w:val="contents"/>
          <w:b w:val="0"/>
          <w:lang w:val="fr-BE"/>
        </w:rPr>
        <w:t>PROV(</w:t>
      </w:r>
      <w:proofErr w:type="gramEnd"/>
      <w:r w:rsidRPr="004F6D80">
        <w:rPr>
          <w:rStyle w:val="contents"/>
          <w:b w:val="0"/>
          <w:lang w:val="fr-BE"/>
        </w:rPr>
        <w:t>2018</w:t>
      </w:r>
      <w:r w:rsidRPr="00B66212">
        <w:rPr>
          <w:rStyle w:val="contents"/>
          <w:b w:val="0"/>
          <w:lang w:val="fr-BE"/>
        </w:rPr>
        <w:t>)</w:t>
      </w:r>
      <w:r w:rsidRPr="004F6D80">
        <w:rPr>
          <w:rStyle w:val="contents"/>
          <w:b w:val="0"/>
          <w:lang w:val="fr-BE"/>
        </w:rPr>
        <w:t>0378</w:t>
      </w:r>
    </w:p>
    <w:p w:rsidR="00731F80" w:rsidRPr="00B66212" w:rsidRDefault="00731F80" w:rsidP="00731F80">
      <w:pPr>
        <w:ind w:left="707" w:hanging="707"/>
        <w:rPr>
          <w:rFonts w:ascii="Times New Roman" w:hAnsi="Times New Roman"/>
          <w:szCs w:val="24"/>
          <w:lang w:val="fr-BE"/>
        </w:rPr>
      </w:pPr>
      <w:r w:rsidRPr="004F6D80">
        <w:rPr>
          <w:rFonts w:ascii="Times New Roman" w:hAnsi="Times New Roman"/>
          <w:b/>
          <w:lang w:val="fr-BE"/>
        </w:rPr>
        <w:t>3</w:t>
      </w:r>
      <w:r w:rsidRPr="00B66212">
        <w:rPr>
          <w:rFonts w:ascii="Times New Roman" w:hAnsi="Times New Roman"/>
          <w:b/>
          <w:lang w:val="fr-BE"/>
        </w:rPr>
        <w:t>.</w:t>
      </w:r>
      <w:r w:rsidRPr="00B66212">
        <w:rPr>
          <w:lang w:val="fr-BE"/>
        </w:rPr>
        <w:tab/>
      </w:r>
      <w:r w:rsidRPr="00B66212">
        <w:rPr>
          <w:rFonts w:ascii="Times New Roman" w:hAnsi="Times New Roman"/>
          <w:b/>
          <w:lang w:val="fr-BE"/>
        </w:rPr>
        <w:t>Date d’adoption de la résolution:</w:t>
      </w:r>
      <w:r w:rsidRPr="00B66212">
        <w:rPr>
          <w:rFonts w:ascii="Times New Roman" w:hAnsi="Times New Roman"/>
          <w:lang w:val="fr-BE"/>
        </w:rPr>
        <w:t xml:space="preserve"> </w:t>
      </w:r>
      <w:r w:rsidRPr="004F6D80">
        <w:rPr>
          <w:rFonts w:ascii="Times New Roman" w:hAnsi="Times New Roman"/>
          <w:lang w:val="fr-BE"/>
        </w:rPr>
        <w:t>4</w:t>
      </w:r>
      <w:r w:rsidRPr="00B66212">
        <w:rPr>
          <w:rFonts w:ascii="Times New Roman" w:hAnsi="Times New Roman"/>
          <w:lang w:val="fr-BE"/>
        </w:rPr>
        <w:t> octobre </w:t>
      </w:r>
      <w:r w:rsidRPr="004F6D80">
        <w:rPr>
          <w:rFonts w:ascii="Times New Roman" w:hAnsi="Times New Roman"/>
          <w:lang w:val="fr-BE"/>
        </w:rPr>
        <w:t>2018</w:t>
      </w:r>
    </w:p>
    <w:p w:rsidR="00731F80" w:rsidRPr="00B66212" w:rsidRDefault="00731F80" w:rsidP="00731F80">
      <w:pPr>
        <w:rPr>
          <w:rFonts w:ascii="Times New Roman" w:hAnsi="Times New Roman"/>
          <w:szCs w:val="24"/>
          <w:lang w:val="fr-BE"/>
        </w:rPr>
      </w:pPr>
      <w:r w:rsidRPr="004F6D80">
        <w:rPr>
          <w:rFonts w:ascii="Times New Roman" w:hAnsi="Times New Roman"/>
          <w:b/>
          <w:lang w:val="fr-BE"/>
        </w:rPr>
        <w:t>4</w:t>
      </w:r>
      <w:r w:rsidRPr="00B66212">
        <w:rPr>
          <w:rFonts w:ascii="Times New Roman" w:hAnsi="Times New Roman"/>
          <w:b/>
          <w:lang w:val="fr-BE"/>
        </w:rPr>
        <w:t>.</w:t>
      </w:r>
      <w:r w:rsidRPr="00B66212">
        <w:rPr>
          <w:lang w:val="fr-BE"/>
        </w:rPr>
        <w:tab/>
      </w:r>
      <w:r w:rsidRPr="00B66212">
        <w:rPr>
          <w:rFonts w:ascii="Times New Roman" w:hAnsi="Times New Roman"/>
          <w:b/>
          <w:lang w:val="fr-BE"/>
        </w:rPr>
        <w:t xml:space="preserve">Objet: </w:t>
      </w:r>
      <w:r w:rsidRPr="00B66212">
        <w:rPr>
          <w:rFonts w:ascii="Times New Roman" w:hAnsi="Times New Roman"/>
          <w:lang w:val="fr-BE"/>
        </w:rPr>
        <w:t>paquet relatif à la stratégie en matière de passation des marchés publics</w:t>
      </w:r>
    </w:p>
    <w:p w:rsidR="00731F80" w:rsidRPr="00B66212" w:rsidRDefault="00731F80" w:rsidP="00731F80">
      <w:pPr>
        <w:pStyle w:val="NormalWeb"/>
        <w:spacing w:before="0" w:beforeAutospacing="0" w:after="240" w:afterAutospacing="0"/>
        <w:ind w:left="705" w:hanging="705"/>
        <w:jc w:val="both"/>
        <w:rPr>
          <w:lang w:val="fr-BE"/>
        </w:rPr>
      </w:pPr>
      <w:r w:rsidRPr="004F6D80">
        <w:rPr>
          <w:b/>
          <w:lang w:val="fr-BE"/>
        </w:rPr>
        <w:t>5</w:t>
      </w:r>
      <w:r w:rsidRPr="00B66212">
        <w:rPr>
          <w:b/>
          <w:lang w:val="fr-BE"/>
        </w:rPr>
        <w:t>.</w:t>
      </w:r>
      <w:r w:rsidRPr="00B66212">
        <w:rPr>
          <w:lang w:val="fr-BE"/>
        </w:rPr>
        <w:tab/>
      </w:r>
      <w:r w:rsidRPr="00B66212">
        <w:rPr>
          <w:b/>
          <w:lang w:val="fr-BE"/>
        </w:rPr>
        <w:t>Commission parlementaire compétente</w:t>
      </w:r>
      <w:r w:rsidRPr="00B66212">
        <w:rPr>
          <w:lang w:val="fr-BE"/>
        </w:rPr>
        <w:t>: commission du marché intérieur et de la protection des consommateurs (IMCO)</w:t>
      </w:r>
    </w:p>
    <w:p w:rsidR="00731F80" w:rsidRPr="00B66212" w:rsidRDefault="00731F80" w:rsidP="00731F80">
      <w:pPr>
        <w:ind w:left="707" w:hanging="707"/>
        <w:rPr>
          <w:rFonts w:ascii="Times New Roman" w:hAnsi="Times New Roman"/>
          <w:szCs w:val="24"/>
          <w:lang w:val="fr-BE"/>
        </w:rPr>
      </w:pPr>
      <w:r w:rsidRPr="004F6D80">
        <w:rPr>
          <w:rFonts w:ascii="Times New Roman" w:hAnsi="Times New Roman"/>
          <w:b/>
          <w:lang w:val="fr-BE"/>
        </w:rPr>
        <w:t>6</w:t>
      </w:r>
      <w:r w:rsidRPr="00B66212">
        <w:rPr>
          <w:rFonts w:ascii="Times New Roman" w:hAnsi="Times New Roman"/>
          <w:b/>
          <w:lang w:val="fr-BE"/>
        </w:rPr>
        <w:t>.</w:t>
      </w:r>
      <w:r w:rsidRPr="00B66212">
        <w:rPr>
          <w:lang w:val="fr-BE"/>
        </w:rPr>
        <w:tab/>
      </w:r>
      <w:r w:rsidRPr="00B66212">
        <w:rPr>
          <w:rFonts w:ascii="Times New Roman" w:hAnsi="Times New Roman"/>
          <w:b/>
          <w:lang w:val="fr-BE"/>
        </w:rPr>
        <w:t>Analyse/évaluation succincte de la résolution et des demandes qu’elle contient:</w:t>
      </w:r>
    </w:p>
    <w:p w:rsidR="00731F80" w:rsidRPr="00B66212" w:rsidRDefault="00731F80" w:rsidP="00731F80">
      <w:pPr>
        <w:spacing w:after="120"/>
        <w:rPr>
          <w:rFonts w:ascii="Times New Roman" w:hAnsi="Times New Roman"/>
          <w:lang w:val="fr-BE"/>
        </w:rPr>
      </w:pPr>
      <w:r w:rsidRPr="00B66212">
        <w:rPr>
          <w:rFonts w:ascii="Times New Roman" w:hAnsi="Times New Roman"/>
          <w:lang w:val="fr-BE"/>
        </w:rPr>
        <w:t>Le Parlement européen a défini ses priorités sur la question de la politique en matière de passation des marchés publics depuis le début de son mandat, notamment par l’intermédiaire de sa commission du marché intérieur et de la protection des consommateurs (IMCO).</w:t>
      </w:r>
    </w:p>
    <w:p w:rsidR="00731F80" w:rsidRPr="00B66212" w:rsidRDefault="00731F80" w:rsidP="00731F80">
      <w:pPr>
        <w:spacing w:after="120"/>
        <w:rPr>
          <w:rFonts w:ascii="Times New Roman" w:hAnsi="Times New Roman"/>
          <w:lang w:val="fr-BE"/>
        </w:rPr>
      </w:pPr>
      <w:r w:rsidRPr="00B66212">
        <w:rPr>
          <w:rFonts w:ascii="Times New Roman" w:hAnsi="Times New Roman"/>
          <w:lang w:val="fr-BE"/>
        </w:rPr>
        <w:t xml:space="preserve">Son avis le plus récent est exprimé dans le rapport d’initiative sur le paquet relatif à la stratégie en matière de passation des marchés publics, adopté en commission IMCO le </w:t>
      </w:r>
      <w:r w:rsidRPr="004F6D80">
        <w:rPr>
          <w:rFonts w:ascii="Times New Roman" w:hAnsi="Times New Roman"/>
          <w:lang w:val="fr-BE"/>
        </w:rPr>
        <w:t>19</w:t>
      </w:r>
      <w:r w:rsidRPr="00B66212">
        <w:rPr>
          <w:rFonts w:ascii="Times New Roman" w:hAnsi="Times New Roman"/>
          <w:lang w:val="fr-BE"/>
        </w:rPr>
        <w:t xml:space="preserve"> juin et approuvé par la plénière du </w:t>
      </w:r>
      <w:r w:rsidRPr="004F6D80">
        <w:rPr>
          <w:rFonts w:ascii="Times New Roman" w:hAnsi="Times New Roman"/>
          <w:lang w:val="fr-BE"/>
        </w:rPr>
        <w:t>4</w:t>
      </w:r>
      <w:r w:rsidRPr="00B66212">
        <w:rPr>
          <w:rFonts w:ascii="Times New Roman" w:hAnsi="Times New Roman"/>
          <w:lang w:val="fr-BE"/>
        </w:rPr>
        <w:t> octobre à l’issue d’un débat.</w:t>
      </w:r>
    </w:p>
    <w:p w:rsidR="00731F80" w:rsidRPr="00B66212" w:rsidRDefault="00731F80" w:rsidP="00731F80">
      <w:pPr>
        <w:spacing w:after="120"/>
        <w:rPr>
          <w:rFonts w:ascii="Times New Roman" w:hAnsi="Times New Roman"/>
          <w:i/>
          <w:u w:val="single"/>
          <w:lang w:val="fr-BE"/>
        </w:rPr>
      </w:pPr>
      <w:r w:rsidRPr="00B66212">
        <w:rPr>
          <w:rFonts w:ascii="Times New Roman" w:hAnsi="Times New Roman"/>
          <w:i/>
          <w:u w:val="single"/>
          <w:lang w:val="fr-BE"/>
        </w:rPr>
        <w:t>Recommandations politiques:</w:t>
      </w:r>
    </w:p>
    <w:p w:rsidR="00731F80" w:rsidRPr="00B66212" w:rsidRDefault="00731F80" w:rsidP="00731F80">
      <w:pPr>
        <w:spacing w:after="120"/>
        <w:rPr>
          <w:rFonts w:ascii="Times New Roman" w:hAnsi="Times New Roman"/>
          <w:lang w:val="fr-BE"/>
        </w:rPr>
      </w:pPr>
      <w:r w:rsidRPr="00B66212">
        <w:rPr>
          <w:rFonts w:ascii="Times New Roman" w:hAnsi="Times New Roman"/>
          <w:lang w:val="fr-BE"/>
        </w:rPr>
        <w:t>Dans sa résolution, le Parlement européen:</w:t>
      </w:r>
    </w:p>
    <w:p w:rsidR="00731F80" w:rsidRPr="00B66212" w:rsidRDefault="00731F80" w:rsidP="00731F80">
      <w:pPr>
        <w:spacing w:after="120"/>
        <w:ind w:left="284"/>
        <w:rPr>
          <w:rFonts w:ascii="Times New Roman" w:hAnsi="Times New Roman"/>
          <w:lang w:val="fr-BE"/>
        </w:rPr>
      </w:pPr>
      <w:r w:rsidRPr="00B66212">
        <w:rPr>
          <w:rFonts w:ascii="Times New Roman" w:hAnsi="Times New Roman"/>
          <w:lang w:val="fr-BE"/>
        </w:rPr>
        <w:t>- salue les mesures non législatives proposées par la Commission et pense qu’elles inciteront à une meilleure mise en œuvre des procédures de passation des marchés publics;</w:t>
      </w:r>
    </w:p>
    <w:p w:rsidR="00731F80" w:rsidRPr="00B66212" w:rsidRDefault="00731F80" w:rsidP="00731F80">
      <w:pPr>
        <w:spacing w:after="120"/>
        <w:ind w:left="284"/>
        <w:rPr>
          <w:rFonts w:ascii="Times New Roman" w:hAnsi="Times New Roman"/>
          <w:lang w:val="fr-BE"/>
        </w:rPr>
      </w:pPr>
      <w:r w:rsidRPr="00B66212">
        <w:rPr>
          <w:rFonts w:ascii="Times New Roman" w:hAnsi="Times New Roman"/>
          <w:lang w:val="fr-BE"/>
        </w:rPr>
        <w:t>- soutient largement les priorités proposées par la Commission, en mettant l’accent sur le recours accru à la passation de marchés stratégiques, la professionnalisation, l’amélioration de la participation des petites et moyennes entreprises (PME) et de l’accès aux marchés des pays tiers et le renforcement de la numérisation des procédures de passation des marchés.</w:t>
      </w:r>
    </w:p>
    <w:p w:rsidR="00731F80" w:rsidRPr="00B66212" w:rsidRDefault="00731F80" w:rsidP="00731F80">
      <w:pPr>
        <w:autoSpaceDE w:val="0"/>
        <w:autoSpaceDN w:val="0"/>
        <w:adjustRightInd w:val="0"/>
        <w:ind w:left="720" w:hanging="720"/>
        <w:rPr>
          <w:rFonts w:ascii="Times New Roman" w:hAnsi="Times New Roman"/>
          <w:szCs w:val="24"/>
          <w:lang w:val="fr-BE"/>
        </w:rPr>
      </w:pPr>
      <w:r w:rsidRPr="004F6D80">
        <w:rPr>
          <w:rFonts w:ascii="Times New Roman" w:hAnsi="Times New Roman"/>
          <w:b/>
          <w:noProof/>
          <w:lang w:val="fr-BE"/>
        </w:rPr>
        <w:t>7</w:t>
      </w:r>
      <w:r w:rsidRPr="00B66212">
        <w:rPr>
          <w:rFonts w:ascii="Times New Roman" w:hAnsi="Times New Roman"/>
          <w:b/>
          <w:noProof/>
          <w:lang w:val="fr-BE"/>
        </w:rPr>
        <w:t>.</w:t>
      </w:r>
      <w:r w:rsidRPr="00B66212">
        <w:rPr>
          <w:lang w:val="fr-BE"/>
        </w:rPr>
        <w:tab/>
      </w:r>
      <w:r w:rsidRPr="00B66212">
        <w:rPr>
          <w:rFonts w:ascii="Times New Roman" w:hAnsi="Times New Roman"/>
          <w:b/>
          <w:noProof/>
          <w:lang w:val="fr-BE"/>
        </w:rPr>
        <w:t>Réponse à ces demandes et aperçu des mesures que la Commission a prises ou envisage de prendre</w:t>
      </w:r>
    </w:p>
    <w:p w:rsidR="00731F80" w:rsidRPr="00B66212" w:rsidRDefault="00731F80" w:rsidP="00731F80">
      <w:pPr>
        <w:spacing w:after="120"/>
        <w:rPr>
          <w:rFonts w:ascii="Times New Roman" w:hAnsi="Times New Roman"/>
          <w:szCs w:val="24"/>
          <w:lang w:val="fr-BE"/>
        </w:rPr>
      </w:pPr>
      <w:r w:rsidRPr="00B66212">
        <w:rPr>
          <w:rFonts w:ascii="Times New Roman" w:hAnsi="Times New Roman"/>
          <w:lang w:val="fr-BE"/>
        </w:rPr>
        <w:t>La Commission se félicite du soutien général apporté par le Parlement à ses propositions, ainsi que des recommandations de la résolution.</w:t>
      </w:r>
    </w:p>
    <w:p w:rsidR="00731F80" w:rsidRPr="00B66212" w:rsidRDefault="00731F80" w:rsidP="00731F80">
      <w:pPr>
        <w:spacing w:after="120"/>
        <w:rPr>
          <w:rFonts w:ascii="Times New Roman" w:hAnsi="Times New Roman"/>
          <w:szCs w:val="24"/>
          <w:lang w:val="fr-BE"/>
        </w:rPr>
      </w:pPr>
      <w:r w:rsidRPr="00B66212">
        <w:rPr>
          <w:rFonts w:ascii="Times New Roman" w:hAnsi="Times New Roman"/>
          <w:lang w:val="fr-BE"/>
        </w:rPr>
        <w:t>Ces actions prioritaires et recommandations font déjà partie, dans une large mesure, des travaux en cours de la Commission.</w:t>
      </w:r>
    </w:p>
    <w:p w:rsidR="00731F80" w:rsidRPr="00B66212" w:rsidRDefault="00731F80" w:rsidP="00731F80">
      <w:pPr>
        <w:numPr>
          <w:ilvl w:val="0"/>
          <w:numId w:val="1"/>
        </w:numPr>
        <w:spacing w:after="120"/>
        <w:rPr>
          <w:rFonts w:ascii="Times New Roman" w:hAnsi="Times New Roman"/>
          <w:i/>
          <w:szCs w:val="24"/>
          <w:u w:val="single"/>
          <w:lang w:val="fr-BE"/>
        </w:rPr>
      </w:pPr>
      <w:r w:rsidRPr="00B66212">
        <w:rPr>
          <w:rFonts w:ascii="Times New Roman" w:hAnsi="Times New Roman"/>
          <w:i/>
          <w:u w:val="single"/>
          <w:lang w:val="fr-BE"/>
        </w:rPr>
        <w:t>Cadre législatif et mise en œuvre</w:t>
      </w:r>
    </w:p>
    <w:p w:rsidR="00731F80" w:rsidRPr="00B66212" w:rsidRDefault="00731F80" w:rsidP="00731F80">
      <w:pPr>
        <w:spacing w:after="120"/>
        <w:rPr>
          <w:rFonts w:ascii="Times New Roman" w:hAnsi="Times New Roman"/>
          <w:szCs w:val="24"/>
          <w:lang w:val="fr-BE"/>
        </w:rPr>
      </w:pPr>
      <w:r w:rsidRPr="00B66212">
        <w:rPr>
          <w:rFonts w:ascii="Times New Roman" w:hAnsi="Times New Roman"/>
          <w:lang w:val="fr-BE"/>
        </w:rPr>
        <w:t>La Commission déplore les nombreux retards concernant la transposition dans les États membres. Cependant, la quasi-totalité d’entre eux respectent désormais leurs obligations de transposition et la Commission évaluera de manière approfondie la conformité des mesures nationales de mise en œuvre des directives de </w:t>
      </w:r>
      <w:r w:rsidRPr="004F6D80">
        <w:rPr>
          <w:rFonts w:ascii="Times New Roman" w:hAnsi="Times New Roman"/>
          <w:lang w:val="fr-BE"/>
        </w:rPr>
        <w:t>2014</w:t>
      </w:r>
      <w:r w:rsidRPr="00B66212">
        <w:rPr>
          <w:rFonts w:ascii="Times New Roman" w:hAnsi="Times New Roman"/>
          <w:lang w:val="fr-BE"/>
        </w:rPr>
        <w:t xml:space="preserve"> relatives à la passation de marchés publics. Un rapport sera publié en </w:t>
      </w:r>
      <w:r w:rsidRPr="004F6D80">
        <w:rPr>
          <w:rFonts w:ascii="Times New Roman" w:hAnsi="Times New Roman"/>
          <w:lang w:val="fr-BE"/>
        </w:rPr>
        <w:t>2019</w:t>
      </w:r>
      <w:r w:rsidRPr="00B66212">
        <w:rPr>
          <w:rFonts w:ascii="Times New Roman" w:hAnsi="Times New Roman"/>
          <w:lang w:val="fr-BE"/>
        </w:rPr>
        <w:t>, qui reposera essentiellement sur les informations provenant des rapports de suivi des États membres établis en vertu de l’article </w:t>
      </w:r>
      <w:r w:rsidRPr="004F6D80">
        <w:rPr>
          <w:rFonts w:ascii="Times New Roman" w:hAnsi="Times New Roman"/>
          <w:lang w:val="fr-BE"/>
        </w:rPr>
        <w:t>83</w:t>
      </w:r>
      <w:r w:rsidRPr="00B66212">
        <w:rPr>
          <w:rFonts w:ascii="Times New Roman" w:hAnsi="Times New Roman"/>
          <w:lang w:val="fr-BE"/>
        </w:rPr>
        <w:t xml:space="preserve"> de la directive </w:t>
      </w:r>
      <w:r w:rsidRPr="004F6D80">
        <w:rPr>
          <w:rFonts w:ascii="Times New Roman" w:hAnsi="Times New Roman"/>
          <w:lang w:val="fr-BE"/>
        </w:rPr>
        <w:t>2014</w:t>
      </w:r>
      <w:r w:rsidRPr="00B66212">
        <w:rPr>
          <w:rFonts w:ascii="Times New Roman" w:hAnsi="Times New Roman"/>
          <w:lang w:val="fr-BE"/>
        </w:rPr>
        <w:t>/</w:t>
      </w:r>
      <w:r w:rsidRPr="004F6D80">
        <w:rPr>
          <w:rFonts w:ascii="Times New Roman" w:hAnsi="Times New Roman"/>
          <w:lang w:val="fr-BE"/>
        </w:rPr>
        <w:t>24</w:t>
      </w:r>
      <w:r w:rsidRPr="00B66212">
        <w:rPr>
          <w:rFonts w:ascii="Times New Roman" w:hAnsi="Times New Roman"/>
          <w:lang w:val="fr-BE"/>
        </w:rPr>
        <w:t>/UE, de l’article </w:t>
      </w:r>
      <w:r w:rsidRPr="004F6D80">
        <w:rPr>
          <w:rFonts w:ascii="Times New Roman" w:hAnsi="Times New Roman"/>
          <w:lang w:val="fr-BE"/>
        </w:rPr>
        <w:t>99</w:t>
      </w:r>
      <w:r w:rsidRPr="00B66212">
        <w:rPr>
          <w:rFonts w:ascii="Times New Roman" w:hAnsi="Times New Roman"/>
          <w:lang w:val="fr-BE"/>
        </w:rPr>
        <w:t xml:space="preserve"> de la directive </w:t>
      </w:r>
      <w:r w:rsidRPr="004F6D80">
        <w:rPr>
          <w:rFonts w:ascii="Times New Roman" w:hAnsi="Times New Roman"/>
          <w:lang w:val="fr-BE"/>
        </w:rPr>
        <w:t>2014</w:t>
      </w:r>
      <w:r w:rsidRPr="00B66212">
        <w:rPr>
          <w:rFonts w:ascii="Times New Roman" w:hAnsi="Times New Roman"/>
          <w:lang w:val="fr-BE"/>
        </w:rPr>
        <w:t>/</w:t>
      </w:r>
      <w:r w:rsidRPr="004F6D80">
        <w:rPr>
          <w:rFonts w:ascii="Times New Roman" w:hAnsi="Times New Roman"/>
          <w:lang w:val="fr-BE"/>
        </w:rPr>
        <w:t>25</w:t>
      </w:r>
      <w:r w:rsidRPr="00B66212">
        <w:rPr>
          <w:rFonts w:ascii="Times New Roman" w:hAnsi="Times New Roman"/>
          <w:lang w:val="fr-BE"/>
        </w:rPr>
        <w:t>/UE et de l’article </w:t>
      </w:r>
      <w:r w:rsidRPr="004F6D80">
        <w:rPr>
          <w:rFonts w:ascii="Times New Roman" w:hAnsi="Times New Roman"/>
          <w:lang w:val="fr-BE"/>
        </w:rPr>
        <w:t>45</w:t>
      </w:r>
      <w:r w:rsidRPr="00B66212">
        <w:rPr>
          <w:rFonts w:ascii="Times New Roman" w:hAnsi="Times New Roman"/>
          <w:lang w:val="fr-BE"/>
        </w:rPr>
        <w:t xml:space="preserve"> de la directive </w:t>
      </w:r>
      <w:r w:rsidRPr="004F6D80">
        <w:rPr>
          <w:rFonts w:ascii="Times New Roman" w:hAnsi="Times New Roman"/>
          <w:lang w:val="fr-BE"/>
        </w:rPr>
        <w:t>2014</w:t>
      </w:r>
      <w:r w:rsidRPr="00B66212">
        <w:rPr>
          <w:rFonts w:ascii="Times New Roman" w:hAnsi="Times New Roman"/>
          <w:lang w:val="fr-BE"/>
        </w:rPr>
        <w:t>/</w:t>
      </w:r>
      <w:r w:rsidRPr="004F6D80">
        <w:rPr>
          <w:rFonts w:ascii="Times New Roman" w:hAnsi="Times New Roman"/>
          <w:lang w:val="fr-BE"/>
        </w:rPr>
        <w:t>23</w:t>
      </w:r>
      <w:r w:rsidRPr="00B66212">
        <w:rPr>
          <w:rFonts w:ascii="Times New Roman" w:hAnsi="Times New Roman"/>
          <w:lang w:val="fr-BE"/>
        </w:rPr>
        <w:t xml:space="preserve">/UE. En outre, la Commission a l’intention de procéder à une évaluation </w:t>
      </w:r>
      <w:r w:rsidRPr="00B66212">
        <w:rPr>
          <w:rFonts w:ascii="Times New Roman" w:hAnsi="Times New Roman"/>
          <w:lang w:val="fr-BE"/>
        </w:rPr>
        <w:lastRenderedPageBreak/>
        <w:t>conformément à l’article </w:t>
      </w:r>
      <w:r w:rsidRPr="004F6D80">
        <w:rPr>
          <w:rFonts w:ascii="Times New Roman" w:hAnsi="Times New Roman"/>
          <w:lang w:val="fr-BE"/>
        </w:rPr>
        <w:t>92</w:t>
      </w:r>
      <w:r w:rsidRPr="00B66212">
        <w:rPr>
          <w:rFonts w:ascii="Times New Roman" w:hAnsi="Times New Roman"/>
          <w:lang w:val="fr-BE"/>
        </w:rPr>
        <w:t xml:space="preserve"> de la directive </w:t>
      </w:r>
      <w:r w:rsidRPr="004F6D80">
        <w:rPr>
          <w:rFonts w:ascii="Times New Roman" w:hAnsi="Times New Roman"/>
          <w:lang w:val="fr-BE"/>
        </w:rPr>
        <w:t>2014</w:t>
      </w:r>
      <w:r w:rsidRPr="00B66212">
        <w:rPr>
          <w:rFonts w:ascii="Times New Roman" w:hAnsi="Times New Roman"/>
          <w:lang w:val="fr-BE"/>
        </w:rPr>
        <w:t>/</w:t>
      </w:r>
      <w:r w:rsidRPr="004F6D80">
        <w:rPr>
          <w:rFonts w:ascii="Times New Roman" w:hAnsi="Times New Roman"/>
          <w:lang w:val="fr-BE"/>
        </w:rPr>
        <w:t>24</w:t>
      </w:r>
      <w:r w:rsidRPr="00B66212">
        <w:rPr>
          <w:rFonts w:ascii="Times New Roman" w:hAnsi="Times New Roman"/>
          <w:lang w:val="fr-BE"/>
        </w:rPr>
        <w:t>/UE. Étant donné les retards pris dans la transposition et la nécessité de disposer de suffisamment d’expérience concernant l’application des directives, ce rapport sera élaboré après </w:t>
      </w:r>
      <w:r w:rsidRPr="004F6D80">
        <w:rPr>
          <w:rFonts w:ascii="Times New Roman" w:hAnsi="Times New Roman"/>
          <w:lang w:val="fr-BE"/>
        </w:rPr>
        <w:t>2019</w:t>
      </w:r>
      <w:r w:rsidRPr="00B66212">
        <w:rPr>
          <w:rFonts w:ascii="Times New Roman" w:hAnsi="Times New Roman"/>
          <w:lang w:val="fr-BE"/>
        </w:rPr>
        <w:t>.</w:t>
      </w:r>
    </w:p>
    <w:p w:rsidR="00731F80" w:rsidRPr="00B66212" w:rsidRDefault="00731F80" w:rsidP="00731F80">
      <w:pPr>
        <w:spacing w:after="120"/>
        <w:rPr>
          <w:rFonts w:ascii="Times New Roman" w:hAnsi="Times New Roman"/>
          <w:szCs w:val="24"/>
          <w:lang w:val="fr-BE"/>
        </w:rPr>
      </w:pPr>
      <w:r w:rsidRPr="00B66212">
        <w:rPr>
          <w:rFonts w:ascii="Times New Roman" w:hAnsi="Times New Roman"/>
          <w:lang w:val="fr-BE"/>
        </w:rPr>
        <w:t>L’amélioration des procédures de passation des marchés publics sur le terrain est une part importante des efforts visant à renforcer le marché unique</w:t>
      </w:r>
      <w:r>
        <w:rPr>
          <w:rStyle w:val="FootnoteReference"/>
          <w:rFonts w:ascii="Times New Roman" w:hAnsi="Times New Roman"/>
        </w:rPr>
        <w:footnoteReference w:id="1"/>
      </w:r>
      <w:r w:rsidRPr="00B66212">
        <w:rPr>
          <w:rFonts w:ascii="Times New Roman" w:hAnsi="Times New Roman"/>
          <w:lang w:val="fr-BE"/>
        </w:rPr>
        <w:t xml:space="preserve">. L’amélioration de la qualité des investissements publics est également essentielle pour le troisième pilier du plan d’investissement visant à améliorer l’environnement des entreprises, notamment dans le cadre de la mise en œuvre de la passation de marchés publics en ligne. Conformément aux propositions relatives au </w:t>
      </w:r>
      <w:r w:rsidRPr="00B66212">
        <w:rPr>
          <w:rStyle w:val="st1"/>
          <w:rFonts w:ascii="Times New Roman" w:hAnsi="Times New Roman"/>
          <w:lang w:val="fr-BE"/>
        </w:rPr>
        <w:t>cadre financier pluriannuel (CFP)</w:t>
      </w:r>
      <w:r w:rsidRPr="00B66212">
        <w:rPr>
          <w:rStyle w:val="st1"/>
          <w:rFonts w:ascii="Arial" w:hAnsi="Arial"/>
          <w:lang w:val="fr-BE"/>
        </w:rPr>
        <w:t xml:space="preserve"> </w:t>
      </w:r>
      <w:r w:rsidRPr="004F6D80">
        <w:rPr>
          <w:rFonts w:ascii="Times New Roman" w:hAnsi="Times New Roman"/>
          <w:lang w:val="fr-BE"/>
        </w:rPr>
        <w:t>2021</w:t>
      </w:r>
      <w:r w:rsidRPr="00B66212">
        <w:rPr>
          <w:rFonts w:ascii="Times New Roman" w:hAnsi="Times New Roman"/>
          <w:lang w:val="fr-BE"/>
        </w:rPr>
        <w:t>-</w:t>
      </w:r>
      <w:r w:rsidRPr="004F6D80">
        <w:rPr>
          <w:rFonts w:ascii="Times New Roman" w:hAnsi="Times New Roman"/>
          <w:lang w:val="fr-BE"/>
        </w:rPr>
        <w:t>2027</w:t>
      </w:r>
      <w:r w:rsidRPr="00B66212">
        <w:rPr>
          <w:rFonts w:ascii="Times New Roman" w:hAnsi="Times New Roman"/>
          <w:lang w:val="fr-BE"/>
        </w:rPr>
        <w:t>, la Commission entend continuer à soutenir la mise en œuvre effective des marchés publics, notamment dans le cadre des activités prévues dans le programme en faveur du marché unique</w:t>
      </w:r>
      <w:r>
        <w:rPr>
          <w:rStyle w:val="FootnoteReference"/>
          <w:rFonts w:ascii="Times New Roman" w:hAnsi="Times New Roman"/>
        </w:rPr>
        <w:footnoteReference w:id="2"/>
      </w:r>
      <w:r w:rsidRPr="00B66212">
        <w:rPr>
          <w:rFonts w:ascii="Times New Roman" w:hAnsi="Times New Roman"/>
          <w:lang w:val="fr-BE"/>
        </w:rPr>
        <w:t>.</w:t>
      </w:r>
    </w:p>
    <w:p w:rsidR="00731F80" w:rsidRPr="00F95510" w:rsidRDefault="00731F80" w:rsidP="00731F80">
      <w:pPr>
        <w:spacing w:after="120"/>
        <w:rPr>
          <w:rFonts w:ascii="Times New Roman" w:hAnsi="Times New Roman"/>
          <w:szCs w:val="24"/>
          <w:lang w:val="fr-BE"/>
        </w:rPr>
      </w:pPr>
      <w:r w:rsidRPr="00B66212">
        <w:rPr>
          <w:rFonts w:ascii="Times New Roman" w:hAnsi="Times New Roman"/>
          <w:lang w:val="fr-BE"/>
        </w:rPr>
        <w:t xml:space="preserve">S’agissant de la facilitation de la mise en œuvre, la Commission progresse actuellement dans l’élaboration de plusieurs documents d’orientation. </w:t>
      </w:r>
      <w:r w:rsidRPr="00F95510">
        <w:rPr>
          <w:rFonts w:ascii="Times New Roman" w:hAnsi="Times New Roman"/>
          <w:lang w:val="fr-BE"/>
        </w:rPr>
        <w:t>Afin de proposer les orientations et outils disponibles de manière plus conviviale, le centre de compétences numériques pour les acheteurs publics</w:t>
      </w:r>
      <w:r>
        <w:rPr>
          <w:rStyle w:val="FootnoteReference"/>
          <w:rFonts w:ascii="Times New Roman" w:hAnsi="Times New Roman"/>
        </w:rPr>
        <w:footnoteReference w:id="3"/>
      </w:r>
      <w:r w:rsidRPr="00F95510">
        <w:rPr>
          <w:rFonts w:ascii="Times New Roman" w:hAnsi="Times New Roman"/>
          <w:lang w:val="fr-BE"/>
        </w:rPr>
        <w:t xml:space="preserve"> a été mis en place et est disponible depuis décembre </w:t>
      </w:r>
      <w:r w:rsidRPr="004F6D80">
        <w:rPr>
          <w:rFonts w:ascii="Times New Roman" w:hAnsi="Times New Roman"/>
          <w:lang w:val="fr-BE"/>
        </w:rPr>
        <w:t>2017</w:t>
      </w:r>
      <w:r w:rsidRPr="00F95510">
        <w:rPr>
          <w:rFonts w:ascii="Times New Roman" w:hAnsi="Times New Roman"/>
          <w:lang w:val="fr-BE"/>
        </w:rPr>
        <w:t>. Ce portail web est un point d’accès unique regroupant des informations sur les outils de soutien développés par différents services au sein de la Commission, ainsi que des bonnes pratiques et des points de contact au niveau national. Dans une large mesure, les informations sont disponibles dans toutes les langues officielles de l’Union européenne.</w:t>
      </w:r>
    </w:p>
    <w:p w:rsidR="00731F80" w:rsidRPr="00F95510" w:rsidRDefault="00731F80" w:rsidP="00731F80">
      <w:pPr>
        <w:numPr>
          <w:ilvl w:val="0"/>
          <w:numId w:val="1"/>
        </w:numPr>
        <w:spacing w:after="120"/>
        <w:rPr>
          <w:rFonts w:ascii="Times New Roman" w:hAnsi="Times New Roman"/>
          <w:i/>
          <w:szCs w:val="24"/>
          <w:u w:val="single"/>
          <w:lang w:val="fr-BE"/>
        </w:rPr>
      </w:pPr>
      <w:r w:rsidRPr="00F95510">
        <w:rPr>
          <w:rFonts w:ascii="Times New Roman" w:hAnsi="Times New Roman"/>
          <w:i/>
          <w:u w:val="single"/>
          <w:lang w:val="fr-BE"/>
        </w:rPr>
        <w:t>Passation stratégique et coordonnée des marchés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se félicite de l’importance accordée par le Parlement au recours accru à la passation de marchés stratégiques et aux critères de qualité. La Commission a mis en lumière les avantages liés à l’attribution de marchés publics fondée sur des critères de qualité et a l’intention de continuer à le faire. Elle entend également continuer à promouvoir le recours à des critères de durabilité.</w:t>
      </w:r>
    </w:p>
    <w:p w:rsidR="00731F80" w:rsidRPr="00F95510" w:rsidRDefault="00731F80" w:rsidP="00731F80">
      <w:pPr>
        <w:spacing w:after="120"/>
        <w:ind w:right="57"/>
        <w:rPr>
          <w:rFonts w:ascii="Times New Roman" w:hAnsi="Times New Roman"/>
          <w:szCs w:val="24"/>
          <w:lang w:val="fr-BE"/>
        </w:rPr>
      </w:pPr>
      <w:r w:rsidRPr="00F95510">
        <w:rPr>
          <w:rFonts w:ascii="Times New Roman" w:hAnsi="Times New Roman"/>
          <w:lang w:val="fr-BE"/>
        </w:rPr>
        <w:t xml:space="preserve">Les orientations sur la passation de marchés de solutions innovantes ont été adoptées le </w:t>
      </w:r>
      <w:r w:rsidRPr="004F6D80">
        <w:rPr>
          <w:rFonts w:ascii="Times New Roman" w:hAnsi="Times New Roman"/>
          <w:lang w:val="fr-BE"/>
        </w:rPr>
        <w:t>15</w:t>
      </w:r>
      <w:r w:rsidRPr="00F95510">
        <w:rPr>
          <w:rFonts w:ascii="Times New Roman" w:hAnsi="Times New Roman"/>
          <w:lang w:val="fr-BE"/>
        </w:rPr>
        <w:t> mai </w:t>
      </w:r>
      <w:r w:rsidRPr="004F6D80">
        <w:rPr>
          <w:rFonts w:ascii="Times New Roman" w:hAnsi="Times New Roman"/>
          <w:lang w:val="fr-BE"/>
        </w:rPr>
        <w:t>2018</w:t>
      </w:r>
      <w:r>
        <w:rPr>
          <w:rStyle w:val="FootnoteReference"/>
        </w:rPr>
        <w:footnoteReference w:id="4"/>
      </w:r>
      <w:r w:rsidRPr="00F95510">
        <w:rPr>
          <w:lang w:val="fr-BE"/>
        </w:rPr>
        <w:t>.</w:t>
      </w:r>
      <w:r w:rsidRPr="00F95510">
        <w:rPr>
          <w:rFonts w:ascii="Times New Roman" w:hAnsi="Times New Roman"/>
          <w:lang w:val="fr-BE"/>
        </w:rPr>
        <w:t xml:space="preserve"> Des orientations sur la passation de marchés socialement responsables sont actuellement en cours d’élaboration.</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S’agissant de l’analyse requise sur le recours à la passation de marchés stratégiques, la Commission tiendra compte de ces aspects dans son évaluation des rapports remis par les États membres conformément à l’article </w:t>
      </w:r>
      <w:r w:rsidRPr="004F6D80">
        <w:rPr>
          <w:rFonts w:ascii="Times New Roman" w:hAnsi="Times New Roman"/>
          <w:lang w:val="fr-BE"/>
        </w:rPr>
        <w:t>83</w:t>
      </w:r>
      <w:r w:rsidRPr="00F95510">
        <w:rPr>
          <w:rFonts w:ascii="Times New Roman" w:hAnsi="Times New Roman"/>
          <w:lang w:val="fr-BE"/>
        </w:rPr>
        <w:t xml:space="preserve"> de la directive </w:t>
      </w:r>
      <w:r w:rsidRPr="004F6D80">
        <w:rPr>
          <w:rFonts w:ascii="Times New Roman" w:hAnsi="Times New Roman"/>
          <w:lang w:val="fr-BE"/>
        </w:rPr>
        <w:t>2014</w:t>
      </w:r>
      <w:r w:rsidRPr="00F95510">
        <w:rPr>
          <w:rFonts w:ascii="Times New Roman" w:hAnsi="Times New Roman"/>
          <w:lang w:val="fr-BE"/>
        </w:rPr>
        <w:t>/</w:t>
      </w:r>
      <w:r w:rsidRPr="004F6D80">
        <w:rPr>
          <w:rFonts w:ascii="Times New Roman" w:hAnsi="Times New Roman"/>
          <w:lang w:val="fr-BE"/>
        </w:rPr>
        <w:t>24</w:t>
      </w:r>
      <w:r w:rsidRPr="00F95510">
        <w:rPr>
          <w:rFonts w:ascii="Times New Roman" w:hAnsi="Times New Roman"/>
          <w:lang w:val="fr-BE"/>
        </w:rPr>
        <w:t>/UE.</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reconnaît l’importance de l’intégrité et du comportement éthique de tous les acteurs concernés.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convient de la nécessité de promouvoir l’approche du calcul du coût du cycle de vie, tout en soulignant les difficultés relatives aux ressources à mobiliser pour mettre au point ces méthodes pour des produits spécifiques. Elle conçoit actuellement un outil destiné à calculer le coût du cycle de vie pour certains produits consommateurs d’énergie. Elle tient également compte des considérations relatives au calcul du coût du cycle de vie lors de l’élaboration ou de la révision des critères volontaires de l’Union en matière de marchés publics écologiques.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 xml:space="preserve">La Commission reconnaît qu’il serait souhaitable que les États membres adoptent des stratégies nationales de passation des marchés publics. Cette évolution est encouragée dans le </w:t>
      </w:r>
      <w:r w:rsidRPr="00F95510">
        <w:rPr>
          <w:rFonts w:ascii="Times New Roman" w:hAnsi="Times New Roman"/>
          <w:lang w:val="fr-BE"/>
        </w:rPr>
        <w:lastRenderedPageBreak/>
        <w:t xml:space="preserve">cadre des dialogues politiques avec les États membres et le partenariat stratégique relatif aux marchés publics n’a été établi par la Slovaquie que récemment, le </w:t>
      </w:r>
      <w:r w:rsidRPr="004F6D80">
        <w:rPr>
          <w:rFonts w:ascii="Times New Roman" w:hAnsi="Times New Roman"/>
          <w:lang w:val="fr-BE"/>
        </w:rPr>
        <w:t>19</w:t>
      </w:r>
      <w:r w:rsidRPr="00F95510">
        <w:rPr>
          <w:rFonts w:ascii="Times New Roman" w:hAnsi="Times New Roman"/>
          <w:lang w:val="fr-BE"/>
        </w:rPr>
        <w:t> juin </w:t>
      </w:r>
      <w:r w:rsidRPr="004F6D80">
        <w:rPr>
          <w:rFonts w:ascii="Times New Roman" w:hAnsi="Times New Roman"/>
          <w:lang w:val="fr-BE"/>
        </w:rPr>
        <w:t>2018</w:t>
      </w:r>
      <w:r w:rsidRPr="00F95510">
        <w:rPr>
          <w:rFonts w:ascii="Times New Roman" w:hAnsi="Times New Roman"/>
          <w:lang w:val="fr-BE"/>
        </w:rPr>
        <w:t>.</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convient qu’il faut recourir davantage au regroupement des marchés publics, le cas échéant, et améliorer la connaissance des marchés et le partage d’expertise. Les centrales d’achat peuvent jouer un rôle essentiel à cet égard.</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 xml:space="preserve">La Commission se félicite du soutien apporté au mécanisme d’évaluation </w:t>
      </w:r>
      <w:r w:rsidRPr="00F95510">
        <w:rPr>
          <w:rFonts w:ascii="Times New Roman" w:hAnsi="Times New Roman"/>
          <w:i/>
          <w:lang w:val="fr-BE"/>
        </w:rPr>
        <w:t>ex ante</w:t>
      </w:r>
      <w:r w:rsidRPr="00F95510">
        <w:rPr>
          <w:rFonts w:ascii="Times New Roman" w:hAnsi="Times New Roman"/>
          <w:lang w:val="fr-BE"/>
        </w:rPr>
        <w:t xml:space="preserve"> des projets d’infrastructure de grande envergure. La fonction de notification et le service d’assistance sont pleinement disponibles. Le mécanisme d’échange des informations est actuellement en cours de développement.</w:t>
      </w:r>
    </w:p>
    <w:p w:rsidR="00731F80" w:rsidRPr="00F95510" w:rsidRDefault="00731F80" w:rsidP="00731F80">
      <w:pPr>
        <w:numPr>
          <w:ilvl w:val="0"/>
          <w:numId w:val="1"/>
        </w:numPr>
        <w:spacing w:after="120"/>
        <w:rPr>
          <w:rFonts w:ascii="Times New Roman" w:hAnsi="Times New Roman"/>
          <w:i/>
          <w:szCs w:val="24"/>
          <w:u w:val="single"/>
          <w:lang w:val="fr-BE"/>
        </w:rPr>
      </w:pPr>
      <w:r w:rsidRPr="00F95510">
        <w:rPr>
          <w:rFonts w:ascii="Times New Roman" w:hAnsi="Times New Roman"/>
          <w:i/>
          <w:u w:val="single"/>
          <w:lang w:val="fr-BE"/>
        </w:rPr>
        <w:t>Numérisation et gestion judicieuse des procédures de passation des marchés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reconnaît les avantages potentiels que représente le renforcement de la numérisation des étapes de la passation de marchés publics et l’importance de la mise à jour planifiée des formulaires standard, connus sous le nom de formulaires électroniques. Le règlement d’exécution devrait être adopté début </w:t>
      </w:r>
      <w:r w:rsidRPr="004F6D80">
        <w:rPr>
          <w:rFonts w:ascii="Times New Roman" w:hAnsi="Times New Roman"/>
          <w:lang w:val="fr-BE"/>
        </w:rPr>
        <w:t>2019</w:t>
      </w:r>
      <w:r w:rsidRPr="00F95510">
        <w:rPr>
          <w:rFonts w:ascii="Times New Roman" w:hAnsi="Times New Roman"/>
          <w:lang w:val="fr-BE"/>
        </w:rPr>
        <w:t>. La mise en œuvre nécessitera toutefois des efforts supplémentaires.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 xml:space="preserve">S’agissant de la possibilité d’interconnecter les registres des marchés nationaux avec le Tenders </w:t>
      </w:r>
      <w:proofErr w:type="spellStart"/>
      <w:r w:rsidRPr="00F95510">
        <w:rPr>
          <w:rFonts w:ascii="Times New Roman" w:hAnsi="Times New Roman"/>
          <w:lang w:val="fr-BE"/>
        </w:rPr>
        <w:t>Electronic</w:t>
      </w:r>
      <w:proofErr w:type="spellEnd"/>
      <w:r w:rsidRPr="00F95510">
        <w:rPr>
          <w:rFonts w:ascii="Times New Roman" w:hAnsi="Times New Roman"/>
          <w:lang w:val="fr-BE"/>
        </w:rPr>
        <w:t xml:space="preserve"> Daily (TED), la Commission souligne que les États membres peuvent actuellement, et ce pour la première fois, obtenir une aide financière pour ces initiatives dans le cadre de l’appel d’offres actuel </w:t>
      </w:r>
      <w:r w:rsidRPr="004F6D80">
        <w:rPr>
          <w:rFonts w:ascii="Times New Roman" w:hAnsi="Times New Roman"/>
          <w:lang w:val="fr-BE"/>
        </w:rPr>
        <w:t>4</w:t>
      </w:r>
      <w:r w:rsidRPr="00F95510">
        <w:rPr>
          <w:rFonts w:ascii="Times New Roman" w:hAnsi="Times New Roman"/>
          <w:lang w:val="fr-BE"/>
        </w:rPr>
        <w:t>-</w:t>
      </w:r>
      <w:r w:rsidRPr="004F6D80">
        <w:rPr>
          <w:rFonts w:ascii="Times New Roman" w:hAnsi="Times New Roman"/>
          <w:lang w:val="fr-BE"/>
        </w:rPr>
        <w:t>2018</w:t>
      </w:r>
      <w:r w:rsidRPr="00F95510">
        <w:rPr>
          <w:rFonts w:ascii="Times New Roman" w:hAnsi="Times New Roman"/>
          <w:lang w:val="fr-BE"/>
        </w:rPr>
        <w:t xml:space="preserve"> du programme Télécom du mécanisme pour l’interconnexion en Europe.</w:t>
      </w:r>
    </w:p>
    <w:p w:rsidR="00731F80" w:rsidRPr="00F95510" w:rsidRDefault="00731F80" w:rsidP="00731F80">
      <w:pPr>
        <w:numPr>
          <w:ilvl w:val="0"/>
          <w:numId w:val="1"/>
        </w:numPr>
        <w:spacing w:after="120"/>
        <w:rPr>
          <w:rFonts w:ascii="Times New Roman" w:hAnsi="Times New Roman"/>
          <w:i/>
          <w:szCs w:val="24"/>
          <w:u w:val="single"/>
          <w:lang w:val="fr-BE"/>
        </w:rPr>
      </w:pPr>
      <w:r w:rsidRPr="00F95510">
        <w:rPr>
          <w:rFonts w:ascii="Times New Roman" w:hAnsi="Times New Roman"/>
          <w:i/>
          <w:u w:val="single"/>
          <w:lang w:val="fr-BE"/>
        </w:rPr>
        <w:t>Marché unique et amélioration de l’accès aux marchés publics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est consciente du fait que les petites et moyennes entreprises sont encore confrontées à des obstacles pour participer à des procédures de passation des marchés publics et a lancé une série d’activités afin de soutenir leur participation à ces procédures, notamment au niveau transfrontière. Pour atteindre cet objectif, la Commission soutient les intermédiaires économiques (chambres de commerce, agences de promotion, etc.) en vue de développer des services d’aide aux petites et moyennes entreprises.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a notamment lancé en septembre </w:t>
      </w:r>
      <w:r w:rsidRPr="004F6D80">
        <w:rPr>
          <w:rFonts w:ascii="Times New Roman" w:hAnsi="Times New Roman"/>
          <w:lang w:val="fr-BE"/>
        </w:rPr>
        <w:t>2018</w:t>
      </w:r>
      <w:r w:rsidRPr="00F95510">
        <w:rPr>
          <w:rFonts w:ascii="Times New Roman" w:hAnsi="Times New Roman"/>
          <w:lang w:val="fr-BE"/>
        </w:rPr>
        <w:t xml:space="preserve"> un projet pilote intitulé</w:t>
      </w:r>
      <w:proofErr w:type="gramStart"/>
      <w:r w:rsidRPr="00F95510">
        <w:rPr>
          <w:rFonts w:ascii="Times New Roman" w:hAnsi="Times New Roman"/>
          <w:lang w:val="fr-BE"/>
        </w:rPr>
        <w:t xml:space="preserve"> «Courtier</w:t>
      </w:r>
      <w:proofErr w:type="gramEnd"/>
      <w:r w:rsidRPr="00F95510">
        <w:rPr>
          <w:rFonts w:ascii="Times New Roman" w:hAnsi="Times New Roman"/>
          <w:lang w:val="fr-BE"/>
        </w:rPr>
        <w:t xml:space="preserve"> en passation de marchés de solutions innovantes». Ce projet est l’une des initiatives suggérées dans l’initiative en faveur des start-up et des </w:t>
      </w:r>
      <w:proofErr w:type="spellStart"/>
      <w:r w:rsidRPr="00F95510">
        <w:rPr>
          <w:rFonts w:ascii="Times New Roman" w:hAnsi="Times New Roman"/>
          <w:lang w:val="fr-BE"/>
        </w:rPr>
        <w:t>scale</w:t>
      </w:r>
      <w:proofErr w:type="spellEnd"/>
      <w:r w:rsidRPr="00F95510">
        <w:rPr>
          <w:rFonts w:ascii="Times New Roman" w:hAnsi="Times New Roman"/>
          <w:lang w:val="fr-BE"/>
        </w:rPr>
        <w:t>-up. Les courtiers sont censés combler une lacune dans la relation entre les acheteurs publics souhaitant acheter des solutions innovantes et les petites et moyennes entreprises innovantes, notamment les start-up. Les courtiers faciliteront et créeront ces liens de manière proactive. Le projet pilote est axé sur le domaine stratégique de la durabilité et de l’efficacité énergétique.</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En ce qui concerne l’analyse demandée sur les dispositions de la réforme de </w:t>
      </w:r>
      <w:r w:rsidRPr="004F6D80">
        <w:rPr>
          <w:rFonts w:ascii="Times New Roman" w:hAnsi="Times New Roman"/>
          <w:lang w:val="fr-BE"/>
        </w:rPr>
        <w:t>2014</w:t>
      </w:r>
      <w:r w:rsidRPr="00F95510">
        <w:rPr>
          <w:rFonts w:ascii="Times New Roman" w:hAnsi="Times New Roman"/>
          <w:lang w:val="fr-BE"/>
        </w:rPr>
        <w:t xml:space="preserve"> visant à accroître la participation des petites et moyennes entreprises, la Commission tiendra compte de ces aspects dans son évaluation des rapports remis par les États membres conformément à l’article </w:t>
      </w:r>
      <w:r w:rsidRPr="004F6D80">
        <w:rPr>
          <w:rFonts w:ascii="Times New Roman" w:hAnsi="Times New Roman"/>
          <w:lang w:val="fr-BE"/>
        </w:rPr>
        <w:t>83</w:t>
      </w:r>
      <w:r w:rsidRPr="00F95510">
        <w:rPr>
          <w:rFonts w:ascii="Times New Roman" w:hAnsi="Times New Roman"/>
          <w:lang w:val="fr-BE"/>
        </w:rPr>
        <w:t xml:space="preserve"> de la directive </w:t>
      </w:r>
      <w:r w:rsidRPr="004F6D80">
        <w:rPr>
          <w:rFonts w:ascii="Times New Roman" w:hAnsi="Times New Roman"/>
          <w:lang w:val="fr-BE"/>
        </w:rPr>
        <w:t>2014</w:t>
      </w:r>
      <w:r w:rsidRPr="00F95510">
        <w:rPr>
          <w:rFonts w:ascii="Times New Roman" w:hAnsi="Times New Roman"/>
          <w:lang w:val="fr-BE"/>
        </w:rPr>
        <w:t>/</w:t>
      </w:r>
      <w:r w:rsidRPr="004F6D80">
        <w:rPr>
          <w:rFonts w:ascii="Times New Roman" w:hAnsi="Times New Roman"/>
          <w:lang w:val="fr-BE"/>
        </w:rPr>
        <w:t>24</w:t>
      </w:r>
      <w:r w:rsidRPr="00F95510">
        <w:rPr>
          <w:rFonts w:ascii="Times New Roman" w:hAnsi="Times New Roman"/>
          <w:lang w:val="fr-BE"/>
        </w:rPr>
        <w:t>/UE.</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S’agissant de l’analyse demandée sur les obstacles aux marchés publics transfrontières, la Commission renvoie à ses obligations en vertu de l’article </w:t>
      </w:r>
      <w:r w:rsidRPr="004F6D80">
        <w:rPr>
          <w:rFonts w:ascii="Times New Roman" w:hAnsi="Times New Roman"/>
          <w:lang w:val="fr-BE"/>
        </w:rPr>
        <w:t>92</w:t>
      </w:r>
      <w:r w:rsidRPr="00F95510">
        <w:rPr>
          <w:rFonts w:ascii="Times New Roman" w:hAnsi="Times New Roman"/>
          <w:lang w:val="fr-BE"/>
        </w:rPr>
        <w:t xml:space="preserve"> de la directive </w:t>
      </w:r>
      <w:r w:rsidRPr="004F6D80">
        <w:rPr>
          <w:rFonts w:ascii="Times New Roman" w:hAnsi="Times New Roman"/>
          <w:lang w:val="fr-BE"/>
        </w:rPr>
        <w:t>2014</w:t>
      </w:r>
      <w:r w:rsidRPr="00F95510">
        <w:rPr>
          <w:rFonts w:ascii="Times New Roman" w:hAnsi="Times New Roman"/>
          <w:lang w:val="fr-BE"/>
        </w:rPr>
        <w:t>/</w:t>
      </w:r>
      <w:r w:rsidRPr="004F6D80">
        <w:rPr>
          <w:rFonts w:ascii="Times New Roman" w:hAnsi="Times New Roman"/>
          <w:lang w:val="fr-BE"/>
        </w:rPr>
        <w:t>24</w:t>
      </w:r>
      <w:r w:rsidRPr="00F95510">
        <w:rPr>
          <w:rFonts w:ascii="Times New Roman" w:hAnsi="Times New Roman"/>
          <w:lang w:val="fr-BE"/>
        </w:rPr>
        <w:t xml:space="preserve">/UE, tout en soulignant </w:t>
      </w:r>
      <w:r w:rsidRPr="004F6D80">
        <w:rPr>
          <w:rFonts w:ascii="Times New Roman" w:hAnsi="Times New Roman"/>
          <w:lang w:val="fr-BE"/>
        </w:rPr>
        <w:t>1</w:t>
      </w:r>
      <w:r w:rsidRPr="00F95510">
        <w:rPr>
          <w:rFonts w:ascii="Times New Roman" w:hAnsi="Times New Roman"/>
          <w:lang w:val="fr-BE"/>
        </w:rPr>
        <w:t xml:space="preserve">) l’importance d’avoir suffisamment d’expérience avec les nouvelles dispositions avant de publier l’analyse et </w:t>
      </w:r>
      <w:r w:rsidRPr="004F6D80">
        <w:rPr>
          <w:rFonts w:ascii="Times New Roman" w:hAnsi="Times New Roman"/>
          <w:lang w:val="fr-BE"/>
        </w:rPr>
        <w:t>2</w:t>
      </w:r>
      <w:r w:rsidRPr="00F95510">
        <w:rPr>
          <w:rFonts w:ascii="Times New Roman" w:hAnsi="Times New Roman"/>
          <w:lang w:val="fr-BE"/>
        </w:rPr>
        <w:t>) les nombreux retards au niveau de la transposition dans les États membres.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 xml:space="preserve">La coopération entre les organes de recours nationaux se renforce. Après quatre réunions du réseau d’organes de recours de première instance en </w:t>
      </w:r>
      <w:r w:rsidRPr="004F6D80">
        <w:rPr>
          <w:rFonts w:ascii="Times New Roman" w:hAnsi="Times New Roman"/>
          <w:lang w:val="fr-BE"/>
        </w:rPr>
        <w:t>2017</w:t>
      </w:r>
      <w:r w:rsidRPr="00F95510">
        <w:rPr>
          <w:rFonts w:ascii="Times New Roman" w:hAnsi="Times New Roman"/>
          <w:lang w:val="fr-BE"/>
        </w:rPr>
        <w:t xml:space="preserve"> et </w:t>
      </w:r>
      <w:r w:rsidRPr="004F6D80">
        <w:rPr>
          <w:rFonts w:ascii="Times New Roman" w:hAnsi="Times New Roman"/>
          <w:lang w:val="fr-BE"/>
        </w:rPr>
        <w:t>2018</w:t>
      </w:r>
      <w:r w:rsidRPr="00F95510">
        <w:rPr>
          <w:rFonts w:ascii="Times New Roman" w:hAnsi="Times New Roman"/>
          <w:lang w:val="fr-BE"/>
        </w:rPr>
        <w:t xml:space="preserve">, le groupe est désormais </w:t>
      </w:r>
      <w:r w:rsidRPr="00F95510">
        <w:rPr>
          <w:rFonts w:ascii="Times New Roman" w:hAnsi="Times New Roman"/>
          <w:lang w:val="fr-BE"/>
        </w:rPr>
        <w:lastRenderedPageBreak/>
        <w:t>officiellement créé</w:t>
      </w:r>
      <w:r>
        <w:rPr>
          <w:rStyle w:val="FootnoteReference"/>
          <w:rFonts w:ascii="Times New Roman" w:hAnsi="Times New Roman"/>
        </w:rPr>
        <w:footnoteReference w:id="5"/>
      </w:r>
      <w:r w:rsidRPr="00F95510">
        <w:rPr>
          <w:rFonts w:ascii="Times New Roman" w:hAnsi="Times New Roman"/>
          <w:lang w:val="fr-BE"/>
        </w:rPr>
        <w:t xml:space="preserve"> en tant que groupe d’experts de la Commission. L’initiative a été saluée par les États membres, qui participent non seulement à des discussions approfondies et fructueuses, mais également à l’organisation des réunions et à la promotion du réseau. Le réseau continuera à encourager les échanges et la collaboration afin de soutenir le fonctionnement efficace des organes de recours nationaux.</w:t>
      </w:r>
    </w:p>
    <w:p w:rsidR="00731F80" w:rsidRPr="008663B4" w:rsidRDefault="00731F80" w:rsidP="00731F80">
      <w:pPr>
        <w:keepNext/>
        <w:numPr>
          <w:ilvl w:val="0"/>
          <w:numId w:val="1"/>
        </w:numPr>
        <w:spacing w:after="120"/>
        <w:rPr>
          <w:rFonts w:ascii="Times New Roman" w:hAnsi="Times New Roman"/>
          <w:i/>
          <w:szCs w:val="24"/>
          <w:u w:val="single"/>
        </w:rPr>
      </w:pPr>
      <w:proofErr w:type="spellStart"/>
      <w:r>
        <w:rPr>
          <w:rFonts w:ascii="Times New Roman" w:hAnsi="Times New Roman"/>
          <w:i/>
          <w:u w:val="single"/>
        </w:rPr>
        <w:t>Marchés</w:t>
      </w:r>
      <w:proofErr w:type="spellEnd"/>
      <w:r>
        <w:rPr>
          <w:rFonts w:ascii="Times New Roman" w:hAnsi="Times New Roman"/>
          <w:i/>
          <w:u w:val="single"/>
        </w:rPr>
        <w:t xml:space="preserve"> publics</w:t>
      </w:r>
      <w:r w:rsidRPr="00BD49B0">
        <w:rPr>
          <w:rFonts w:ascii="Times New Roman" w:hAnsi="Times New Roman"/>
          <w:i/>
          <w:u w:val="single"/>
          <w:lang w:val="fr-BE"/>
        </w:rPr>
        <w:t xml:space="preserve"> internationaux</w:t>
      </w:r>
    </w:p>
    <w:p w:rsidR="00731F80" w:rsidRPr="00F95510" w:rsidRDefault="00731F80" w:rsidP="00731F80">
      <w:pPr>
        <w:keepNext/>
        <w:spacing w:after="120"/>
        <w:rPr>
          <w:rFonts w:ascii="Times New Roman" w:hAnsi="Times New Roman"/>
          <w:szCs w:val="24"/>
          <w:lang w:val="fr-BE"/>
        </w:rPr>
      </w:pPr>
      <w:r w:rsidRPr="00F95510">
        <w:rPr>
          <w:rFonts w:ascii="Times New Roman" w:hAnsi="Times New Roman"/>
          <w:lang w:val="fr-BE"/>
        </w:rPr>
        <w:t>La Commission se félicite de l’importance accordée par le Parlement à l’amélioration de l’accès des entreprises de l’Union européenne aux marchés publics internationaux. Elle souligne ses multiples efforts à cet égard, notamment les négociations commerciales bilatérales, multilatérales et plurilatérales.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 xml:space="preserve">Elle reconnaît la nécessité de proposer un accès ouvert et réciproque aux marchés publics dans le monde entier. Elle appelle de nouveau les </w:t>
      </w:r>
      <w:proofErr w:type="spellStart"/>
      <w:r w:rsidRPr="00F95510">
        <w:rPr>
          <w:rFonts w:ascii="Times New Roman" w:hAnsi="Times New Roman"/>
          <w:lang w:val="fr-BE"/>
        </w:rPr>
        <w:t>colégislateurs</w:t>
      </w:r>
      <w:proofErr w:type="spellEnd"/>
      <w:r w:rsidRPr="00F95510">
        <w:rPr>
          <w:rFonts w:ascii="Times New Roman" w:hAnsi="Times New Roman"/>
          <w:lang w:val="fr-BE"/>
        </w:rPr>
        <w:t xml:space="preserve"> à trouver un accord sur la proposition législative relative à l’instrument international sur les marchés publics, qui pourrait constituer un moyen de créer un effet de levier en vue d’améliorer l’accès au marché et de corriger le déséquilibre concernant l’accès aux marchés publics des pays tiers.</w:t>
      </w:r>
    </w:p>
    <w:p w:rsidR="00731F80" w:rsidRPr="00F95510" w:rsidRDefault="00731F80" w:rsidP="00731F80">
      <w:pPr>
        <w:spacing w:after="120"/>
        <w:rPr>
          <w:rFonts w:ascii="Times New Roman" w:hAnsi="Times New Roman"/>
          <w:szCs w:val="24"/>
          <w:lang w:val="fr-BE"/>
        </w:rPr>
      </w:pPr>
      <w:r w:rsidRPr="00F95510">
        <w:rPr>
          <w:rFonts w:ascii="Times New Roman" w:hAnsi="Times New Roman"/>
          <w:lang w:val="fr-BE"/>
        </w:rPr>
        <w:t>La Commission poursuit également ses efforts en vue de promouvoir l’adhésion des grandes économies à l’accord sur les marchés publics de l’Organisation mondiale du commerce (AMP)</w:t>
      </w:r>
      <w:r>
        <w:rPr>
          <w:rStyle w:val="FootnoteReference"/>
          <w:rFonts w:ascii="Times New Roman" w:hAnsi="Times New Roman"/>
        </w:rPr>
        <w:footnoteReference w:id="6"/>
      </w:r>
      <w:r w:rsidRPr="00F95510">
        <w:rPr>
          <w:rFonts w:ascii="Times New Roman" w:hAnsi="Times New Roman"/>
          <w:lang w:val="fr-BE"/>
        </w:rPr>
        <w:t xml:space="preserve"> et souligne la décision récente du comité de l’AMP permettant à l’Australie d’adhérer à l’AMP.</w:t>
      </w:r>
    </w:p>
    <w:p w:rsidR="00731F80" w:rsidRPr="00BD49B0" w:rsidRDefault="00731F80" w:rsidP="00731F80">
      <w:pPr>
        <w:spacing w:after="120"/>
        <w:rPr>
          <w:rFonts w:ascii="Times New Roman" w:hAnsi="Times New Roman"/>
          <w:szCs w:val="24"/>
          <w:lang w:val="fr-BE"/>
        </w:rPr>
      </w:pPr>
      <w:r w:rsidRPr="00B66212">
        <w:rPr>
          <w:rFonts w:ascii="Times New Roman" w:hAnsi="Times New Roman"/>
          <w:lang w:val="fr-BE"/>
        </w:rPr>
        <w:t>Pour les PME dans le contexte international, l’Union européenne co-préside actuellement avec la Nouvelle-Zélande le programme de travail de l’AMP sur les petites et moyennes entreprises et travaille sur un rapport du comité de l’AMP concernant les bonnes pratiques en vue de promouvoir et de faciliter la participation des petites et moyennes entreprises aux marchés publics.</w:t>
      </w:r>
    </w:p>
    <w:p w:rsidR="00731F80" w:rsidRPr="008663B4" w:rsidRDefault="00731F80" w:rsidP="00731F80">
      <w:pPr>
        <w:numPr>
          <w:ilvl w:val="0"/>
          <w:numId w:val="1"/>
        </w:numPr>
        <w:spacing w:after="120"/>
        <w:rPr>
          <w:rFonts w:ascii="Times New Roman" w:hAnsi="Times New Roman"/>
          <w:i/>
          <w:szCs w:val="24"/>
          <w:u w:val="single"/>
        </w:rPr>
      </w:pPr>
      <w:r w:rsidRPr="00BD49B0">
        <w:rPr>
          <w:rFonts w:ascii="Times New Roman" w:hAnsi="Times New Roman"/>
          <w:i/>
          <w:u w:val="single"/>
          <w:lang w:val="fr-BE"/>
        </w:rPr>
        <w:t>Professionnalisation</w:t>
      </w:r>
    </w:p>
    <w:p w:rsidR="00731F80" w:rsidRPr="00B66212" w:rsidRDefault="00731F80" w:rsidP="00731F80">
      <w:pPr>
        <w:spacing w:after="120"/>
        <w:rPr>
          <w:rFonts w:ascii="Times New Roman" w:hAnsi="Times New Roman"/>
          <w:szCs w:val="24"/>
          <w:lang w:val="fr-BE"/>
        </w:rPr>
      </w:pPr>
      <w:r w:rsidRPr="00B66212">
        <w:rPr>
          <w:rFonts w:ascii="Times New Roman" w:hAnsi="Times New Roman"/>
          <w:lang w:val="fr-BE"/>
        </w:rPr>
        <w:t>La Commission se félicite du soutien apporté au renforcement de la professionnalisation des acheteurs publics, notamment dans le cadre d’échanges d’expériences, de bonnes pratiques, d’outils et d’orientations. Un référentiel européen des compétences est actuellement en cours d’élaboration afin d’établir une connaissance commune des compétences nécessaires à une passation efficace des marchés publics. La Commission est favorable à la fourniture d’une aide financière aux États membres et souligne les possibilités de financement des initiatives de professionnalisation dans le cadre du programme d’appui aux réformes structurelles</w:t>
      </w:r>
      <w:r>
        <w:rPr>
          <w:rFonts w:ascii="Times New Roman" w:hAnsi="Times New Roman"/>
          <w:vertAlign w:val="superscript"/>
        </w:rPr>
        <w:footnoteReference w:id="7"/>
      </w:r>
      <w:r w:rsidRPr="00B66212">
        <w:rPr>
          <w:rFonts w:ascii="Times New Roman" w:hAnsi="Times New Roman"/>
          <w:lang w:val="fr-BE"/>
        </w:rPr>
        <w:t xml:space="preserve"> et des fonds structurels tels que le programme «TAIEX REGIO Peer to Peer»</w:t>
      </w:r>
      <w:r>
        <w:rPr>
          <w:rFonts w:ascii="Times New Roman" w:hAnsi="Times New Roman"/>
          <w:vertAlign w:val="superscript"/>
        </w:rPr>
        <w:footnoteReference w:id="8"/>
      </w:r>
      <w:r w:rsidRPr="00B66212">
        <w:rPr>
          <w:rFonts w:ascii="Times New Roman" w:hAnsi="Times New Roman"/>
          <w:lang w:val="fr-BE"/>
        </w:rPr>
        <w:t>.</w:t>
      </w:r>
    </w:p>
    <w:sectPr w:rsidR="00731F80" w:rsidRPr="00B662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80" w:rsidRDefault="00731F80" w:rsidP="00731F80">
      <w:pPr>
        <w:spacing w:after="0"/>
      </w:pPr>
      <w:r>
        <w:separator/>
      </w:r>
    </w:p>
  </w:endnote>
  <w:endnote w:type="continuationSeparator" w:id="0">
    <w:p w:rsidR="00731F80" w:rsidRDefault="00731F80" w:rsidP="00731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80" w:rsidRDefault="00731F80" w:rsidP="00731F80">
      <w:pPr>
        <w:spacing w:after="0"/>
      </w:pPr>
      <w:r>
        <w:separator/>
      </w:r>
    </w:p>
  </w:footnote>
  <w:footnote w:type="continuationSeparator" w:id="0">
    <w:p w:rsidR="00731F80" w:rsidRDefault="00731F80" w:rsidP="00731F80">
      <w:pPr>
        <w:spacing w:after="0"/>
      </w:pPr>
      <w:r>
        <w:continuationSeparator/>
      </w:r>
    </w:p>
  </w:footnote>
  <w:footnote w:id="1">
    <w:p w:rsidR="00731F80" w:rsidRPr="00324EB2" w:rsidRDefault="00731F80" w:rsidP="00731F80">
      <w:pPr>
        <w:pStyle w:val="FootnoteText"/>
        <w:spacing w:after="0"/>
        <w:ind w:left="426" w:hanging="426"/>
        <w:rPr>
          <w:rFonts w:ascii="Times New Roman" w:hAnsi="Times New Roman"/>
          <w:lang w:val="pt-PT"/>
        </w:rPr>
      </w:pPr>
      <w:r>
        <w:rPr>
          <w:rStyle w:val="FootnoteReference"/>
          <w:rFonts w:ascii="Times New Roman" w:hAnsi="Times New Roman"/>
        </w:rPr>
        <w:footnoteRef/>
      </w:r>
      <w:r w:rsidRPr="00F95510">
        <w:rPr>
          <w:rFonts w:ascii="Times New Roman" w:hAnsi="Times New Roman"/>
          <w:lang w:val="pt-PT"/>
        </w:rPr>
        <w:t xml:space="preserve"> </w:t>
      </w:r>
      <w:r w:rsidRPr="00F95510">
        <w:rPr>
          <w:lang w:val="pt-PT"/>
        </w:rPr>
        <w:tab/>
      </w:r>
      <w:r w:rsidRPr="00F95510">
        <w:rPr>
          <w:rFonts w:ascii="Times New Roman" w:hAnsi="Times New Roman"/>
          <w:lang w:val="pt-PT"/>
        </w:rPr>
        <w:t>COM (</w:t>
      </w:r>
      <w:r w:rsidRPr="004F6D80">
        <w:rPr>
          <w:rFonts w:ascii="Times New Roman" w:hAnsi="Times New Roman"/>
          <w:lang w:val="pt-PT"/>
        </w:rPr>
        <w:t>2018</w:t>
      </w:r>
      <w:r w:rsidRPr="00F95510">
        <w:rPr>
          <w:rFonts w:ascii="Times New Roman" w:hAnsi="Times New Roman"/>
          <w:lang w:val="pt-PT"/>
        </w:rPr>
        <w:t>) </w:t>
      </w:r>
      <w:r w:rsidRPr="004F6D80">
        <w:rPr>
          <w:rFonts w:ascii="Times New Roman" w:hAnsi="Times New Roman"/>
          <w:lang w:val="pt-PT"/>
        </w:rPr>
        <w:t>772</w:t>
      </w:r>
      <w:r w:rsidRPr="00F95510">
        <w:rPr>
          <w:rFonts w:ascii="Times New Roman" w:hAnsi="Times New Roman"/>
          <w:lang w:val="pt-PT"/>
        </w:rPr>
        <w:t xml:space="preserve"> final.</w:t>
      </w:r>
    </w:p>
  </w:footnote>
  <w:footnote w:id="2">
    <w:p w:rsidR="00731F80" w:rsidRPr="00324EB2" w:rsidRDefault="00731F80" w:rsidP="00731F80">
      <w:pPr>
        <w:pStyle w:val="FootnoteText"/>
        <w:spacing w:after="0"/>
        <w:ind w:left="426" w:hanging="426"/>
        <w:rPr>
          <w:rFonts w:ascii="Times New Roman" w:hAnsi="Times New Roman"/>
          <w:lang w:val="pt-PT"/>
        </w:rPr>
      </w:pPr>
      <w:r>
        <w:rPr>
          <w:rStyle w:val="FootnoteReference"/>
          <w:rFonts w:ascii="Times New Roman" w:hAnsi="Times New Roman"/>
        </w:rPr>
        <w:footnoteRef/>
      </w:r>
      <w:r w:rsidRPr="00F95510">
        <w:rPr>
          <w:lang w:val="pt-PT"/>
        </w:rPr>
        <w:tab/>
      </w:r>
      <w:r w:rsidRPr="00F95510">
        <w:rPr>
          <w:rFonts w:ascii="Times New Roman" w:hAnsi="Times New Roman"/>
          <w:lang w:val="pt-PT"/>
        </w:rPr>
        <w:t>COM (</w:t>
      </w:r>
      <w:r w:rsidRPr="004F6D80">
        <w:rPr>
          <w:rFonts w:ascii="Times New Roman" w:hAnsi="Times New Roman"/>
          <w:lang w:val="pt-PT"/>
        </w:rPr>
        <w:t>2018</w:t>
      </w:r>
      <w:r w:rsidRPr="00F95510">
        <w:rPr>
          <w:rFonts w:ascii="Times New Roman" w:hAnsi="Times New Roman"/>
          <w:lang w:val="pt-PT"/>
        </w:rPr>
        <w:t>) </w:t>
      </w:r>
      <w:r w:rsidRPr="004F6D80">
        <w:rPr>
          <w:rFonts w:ascii="Times New Roman" w:hAnsi="Times New Roman"/>
          <w:lang w:val="pt-PT"/>
        </w:rPr>
        <w:t>441</w:t>
      </w:r>
      <w:r w:rsidRPr="00F95510">
        <w:rPr>
          <w:rFonts w:ascii="Times New Roman" w:hAnsi="Times New Roman"/>
          <w:lang w:val="pt-PT"/>
        </w:rPr>
        <w:t xml:space="preserve"> final.</w:t>
      </w:r>
    </w:p>
  </w:footnote>
  <w:footnote w:id="3">
    <w:p w:rsidR="00731F80" w:rsidRPr="00324EB2" w:rsidRDefault="00731F80" w:rsidP="00731F80">
      <w:pPr>
        <w:pStyle w:val="FootnoteText"/>
        <w:spacing w:after="0"/>
        <w:ind w:left="426" w:hanging="426"/>
        <w:rPr>
          <w:rFonts w:ascii="Times New Roman" w:hAnsi="Times New Roman"/>
          <w:lang w:val="pt-PT"/>
        </w:rPr>
      </w:pPr>
      <w:r>
        <w:rPr>
          <w:rStyle w:val="FootnoteReference"/>
          <w:rFonts w:ascii="Times New Roman" w:hAnsi="Times New Roman"/>
        </w:rPr>
        <w:footnoteRef/>
      </w:r>
      <w:r w:rsidRPr="00F95510">
        <w:rPr>
          <w:rFonts w:ascii="Times New Roman" w:hAnsi="Times New Roman"/>
          <w:lang w:val="pt-PT"/>
        </w:rPr>
        <w:t xml:space="preserve"> </w:t>
      </w:r>
      <w:r w:rsidRPr="00F95510">
        <w:rPr>
          <w:lang w:val="pt-PT"/>
        </w:rPr>
        <w:tab/>
      </w:r>
      <w:hyperlink r:id="rId1">
        <w:r w:rsidRPr="00F95510">
          <w:rPr>
            <w:rStyle w:val="Hyperlink"/>
            <w:rFonts w:ascii="Times New Roman" w:hAnsi="Times New Roman"/>
            <w:lang w:val="pt-PT"/>
          </w:rPr>
          <w:t>https://ec.europa.eu/info/policies/public-procurement/support-tools-public-buyers_en</w:t>
        </w:r>
      </w:hyperlink>
      <w:r w:rsidRPr="00F95510">
        <w:rPr>
          <w:rFonts w:ascii="Times New Roman" w:hAnsi="Times New Roman"/>
          <w:lang w:val="pt-PT"/>
        </w:rPr>
        <w:t xml:space="preserve"> </w:t>
      </w:r>
    </w:p>
  </w:footnote>
  <w:footnote w:id="4">
    <w:p w:rsidR="00731F80" w:rsidRPr="00324EB2" w:rsidRDefault="00731F80" w:rsidP="00731F80">
      <w:pPr>
        <w:spacing w:after="0"/>
        <w:ind w:left="426" w:hanging="426"/>
        <w:rPr>
          <w:rFonts w:ascii="Times New Roman" w:hAnsi="Times New Roman"/>
          <w:sz w:val="20"/>
          <w:lang w:val="pt-PT"/>
        </w:rPr>
      </w:pPr>
      <w:r>
        <w:rPr>
          <w:rStyle w:val="FootnoteReference"/>
          <w:rFonts w:ascii="Times New Roman" w:hAnsi="Times New Roman"/>
          <w:sz w:val="20"/>
        </w:rPr>
        <w:footnoteRef/>
      </w:r>
      <w:r w:rsidRPr="00F95510">
        <w:rPr>
          <w:rFonts w:ascii="Times New Roman" w:hAnsi="Times New Roman"/>
          <w:sz w:val="20"/>
          <w:lang w:val="pt-PT"/>
        </w:rPr>
        <w:t xml:space="preserve"> </w:t>
      </w:r>
      <w:r w:rsidRPr="00F95510">
        <w:rPr>
          <w:lang w:val="pt-PT"/>
        </w:rPr>
        <w:tab/>
      </w:r>
      <w:hyperlink r:id="rId2">
        <w:r w:rsidRPr="00F95510">
          <w:rPr>
            <w:rStyle w:val="Hyperlink"/>
            <w:rFonts w:ascii="Times New Roman" w:hAnsi="Times New Roman"/>
            <w:sz w:val="20"/>
            <w:lang w:val="pt-PT"/>
          </w:rPr>
          <w:t>http://ec.europa.eu/growth/content/commission-advises-public-buyers-how-capitalise-innovation_en</w:t>
        </w:r>
      </w:hyperlink>
      <w:r w:rsidRPr="00F95510">
        <w:rPr>
          <w:rFonts w:ascii="Times New Roman" w:hAnsi="Times New Roman"/>
          <w:sz w:val="20"/>
          <w:lang w:val="pt-PT"/>
        </w:rPr>
        <w:t xml:space="preserve"> </w:t>
      </w:r>
    </w:p>
  </w:footnote>
  <w:footnote w:id="5">
    <w:p w:rsidR="00731F80" w:rsidRPr="00731F80" w:rsidRDefault="00731F80" w:rsidP="00731F80">
      <w:pPr>
        <w:pStyle w:val="FootnoteText"/>
        <w:spacing w:after="0"/>
        <w:rPr>
          <w:rFonts w:ascii="Times New Roman" w:hAnsi="Times New Roman"/>
          <w:lang w:val="fr-BE"/>
        </w:rPr>
      </w:pPr>
      <w:r>
        <w:rPr>
          <w:rStyle w:val="FootnoteReference"/>
          <w:rFonts w:ascii="Times New Roman" w:hAnsi="Times New Roman"/>
        </w:rPr>
        <w:footnoteRef/>
      </w:r>
      <w:r w:rsidRPr="00F95510">
        <w:rPr>
          <w:rFonts w:ascii="Times New Roman" w:hAnsi="Times New Roman"/>
          <w:lang w:val="fr-BE"/>
        </w:rPr>
        <w:t xml:space="preserve"> </w:t>
      </w:r>
      <w:r w:rsidRPr="00F95510">
        <w:rPr>
          <w:lang w:val="fr-BE"/>
        </w:rPr>
        <w:tab/>
      </w:r>
      <w:r w:rsidRPr="00F95510">
        <w:rPr>
          <w:rFonts w:ascii="Times New Roman" w:hAnsi="Times New Roman"/>
          <w:lang w:val="fr-BE"/>
        </w:rPr>
        <w:t xml:space="preserve">Conformément à la décision de la Commission établissant des règles horizontales relatives à la création et au </w:t>
      </w:r>
      <w:r w:rsidRPr="00731F80">
        <w:rPr>
          <w:rFonts w:ascii="Times New Roman" w:hAnsi="Times New Roman"/>
          <w:lang w:val="fr-BE"/>
        </w:rPr>
        <w:t xml:space="preserve">fonctionnement des groupes d’experts de la Commission, </w:t>
      </w:r>
      <w:proofErr w:type="gramStart"/>
      <w:r w:rsidRPr="00731F80">
        <w:rPr>
          <w:rFonts w:ascii="Times New Roman" w:hAnsi="Times New Roman"/>
          <w:lang w:val="fr-BE"/>
        </w:rPr>
        <w:t>C(</w:t>
      </w:r>
      <w:proofErr w:type="gramEnd"/>
      <w:r w:rsidRPr="00731F80">
        <w:rPr>
          <w:rFonts w:ascii="Times New Roman" w:hAnsi="Times New Roman"/>
          <w:lang w:val="fr-BE"/>
        </w:rPr>
        <w:t>2016) 3301 final du 30.5.2016.</w:t>
      </w:r>
    </w:p>
  </w:footnote>
  <w:footnote w:id="6">
    <w:p w:rsidR="00731F80" w:rsidRPr="00731F80" w:rsidRDefault="00731F80" w:rsidP="00731F80">
      <w:pPr>
        <w:pStyle w:val="FootnoteText"/>
        <w:spacing w:after="0"/>
        <w:rPr>
          <w:rFonts w:ascii="Times New Roman" w:hAnsi="Times New Roman"/>
          <w:lang w:val="fr-BE"/>
        </w:rPr>
      </w:pPr>
      <w:r w:rsidRPr="00731F80">
        <w:rPr>
          <w:rStyle w:val="FootnoteReference"/>
          <w:rFonts w:ascii="Times New Roman" w:hAnsi="Times New Roman"/>
        </w:rPr>
        <w:footnoteRef/>
      </w:r>
      <w:r w:rsidRPr="00731F80">
        <w:rPr>
          <w:rFonts w:ascii="Times New Roman" w:hAnsi="Times New Roman"/>
          <w:lang w:val="fr-BE"/>
        </w:rPr>
        <w:t xml:space="preserve"> </w:t>
      </w:r>
      <w:r w:rsidRPr="00731F80">
        <w:rPr>
          <w:lang w:val="fr-BE"/>
        </w:rPr>
        <w:tab/>
      </w:r>
      <w:hyperlink r:id="rId3">
        <w:r w:rsidRPr="00731F80">
          <w:rPr>
            <w:rStyle w:val="Hyperlink"/>
            <w:rFonts w:ascii="Times New Roman" w:hAnsi="Times New Roman"/>
            <w:color w:val="auto"/>
            <w:lang w:val="fr-BE"/>
          </w:rPr>
          <w:t>https://www.wto.org/french/tratop_f/gproc_f/gp_gpa_f.htm</w:t>
        </w:r>
      </w:hyperlink>
      <w:r w:rsidRPr="00731F80">
        <w:rPr>
          <w:rFonts w:ascii="Times New Roman" w:hAnsi="Times New Roman"/>
          <w:lang w:val="fr-BE"/>
        </w:rPr>
        <w:t xml:space="preserve"> </w:t>
      </w:r>
    </w:p>
  </w:footnote>
  <w:footnote w:id="7">
    <w:p w:rsidR="00731F80" w:rsidRPr="00731F80" w:rsidRDefault="00731F80" w:rsidP="00731F80">
      <w:pPr>
        <w:pStyle w:val="FootnoteText"/>
        <w:tabs>
          <w:tab w:val="left" w:pos="284"/>
        </w:tabs>
        <w:spacing w:after="0"/>
        <w:ind w:left="426" w:hanging="426"/>
        <w:rPr>
          <w:rFonts w:ascii="Times New Roman" w:hAnsi="Times New Roman"/>
          <w:lang w:val="fr-BE"/>
        </w:rPr>
      </w:pPr>
      <w:r w:rsidRPr="00731F80">
        <w:rPr>
          <w:rStyle w:val="FootnoteReference"/>
          <w:rFonts w:ascii="Times New Roman" w:hAnsi="Times New Roman"/>
        </w:rPr>
        <w:footnoteRef/>
      </w:r>
      <w:r w:rsidRPr="00731F80">
        <w:rPr>
          <w:rFonts w:ascii="Times New Roman" w:hAnsi="Times New Roman"/>
          <w:lang w:val="fr-BE"/>
        </w:rPr>
        <w:t xml:space="preserve"> </w:t>
      </w:r>
      <w:r w:rsidRPr="00731F80">
        <w:rPr>
          <w:lang w:val="fr-BE"/>
        </w:rPr>
        <w:tab/>
      </w:r>
      <w:r>
        <w:rPr>
          <w:rFonts w:ascii="Times New Roman" w:hAnsi="Times New Roman"/>
          <w:lang w:val="fr-BE"/>
        </w:rPr>
        <w:t xml:space="preserve"> </w:t>
      </w:r>
      <w:hyperlink r:id="rId4">
        <w:r w:rsidRPr="00731F80">
          <w:rPr>
            <w:rStyle w:val="Hyperlink"/>
            <w:rFonts w:ascii="Times New Roman" w:hAnsi="Times New Roman"/>
            <w:color w:val="auto"/>
            <w:lang w:val="fr-BE"/>
          </w:rPr>
          <w:t>https://ec.europa.eu/info/funding-tenders/funding-opportunities/funding-programmes/overview-funding-programmes/structural-reform-support-programme-srsp_en</w:t>
        </w:r>
      </w:hyperlink>
      <w:r w:rsidRPr="00731F80">
        <w:rPr>
          <w:rFonts w:ascii="Times New Roman" w:hAnsi="Times New Roman"/>
          <w:lang w:val="fr-BE"/>
        </w:rPr>
        <w:t xml:space="preserve"> </w:t>
      </w:r>
    </w:p>
  </w:footnote>
  <w:footnote w:id="8">
    <w:p w:rsidR="00731F80" w:rsidRPr="00F95510" w:rsidRDefault="00731F80" w:rsidP="00731F80">
      <w:pPr>
        <w:pStyle w:val="FootnoteText"/>
        <w:tabs>
          <w:tab w:val="left" w:pos="426"/>
        </w:tabs>
        <w:spacing w:after="0"/>
        <w:ind w:left="426" w:hanging="426"/>
        <w:rPr>
          <w:rFonts w:ascii="Times New Roman" w:hAnsi="Times New Roman"/>
          <w:lang w:val="fr-BE"/>
        </w:rPr>
      </w:pPr>
      <w:r w:rsidRPr="00731F80">
        <w:rPr>
          <w:rStyle w:val="FootnoteReference"/>
          <w:rFonts w:ascii="Times New Roman" w:hAnsi="Times New Roman"/>
        </w:rPr>
        <w:footnoteRef/>
      </w:r>
      <w:r w:rsidRPr="00731F80">
        <w:rPr>
          <w:rFonts w:ascii="Times New Roman" w:hAnsi="Times New Roman"/>
          <w:lang w:val="fr-BE"/>
        </w:rPr>
        <w:t xml:space="preserve"> </w:t>
      </w:r>
      <w:r w:rsidRPr="00731F80">
        <w:rPr>
          <w:lang w:val="fr-BE"/>
        </w:rPr>
        <w:tab/>
      </w:r>
      <w:hyperlink r:id="rId5">
        <w:r w:rsidRPr="00731F80">
          <w:rPr>
            <w:rStyle w:val="Hyperlink"/>
            <w:rFonts w:ascii="Times New Roman" w:hAnsi="Times New Roman"/>
            <w:color w:val="auto"/>
            <w:lang w:val="fr-BE"/>
          </w:rPr>
          <w:t>http://ec.europa.eu/regional_policy/fr/policy/how/improving-investment/taiex-regio-peer-2-peer/</w:t>
        </w:r>
      </w:hyperlink>
      <w:r w:rsidRPr="00731F80">
        <w:rPr>
          <w:rFonts w:ascii="Times New Roman" w:hAnsi="Times New Roman"/>
          <w:lang w:val="fr-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34532"/>
    <w:multiLevelType w:val="hybridMultilevel"/>
    <w:tmpl w:val="CEE0E7F4"/>
    <w:lvl w:ilvl="0" w:tplc="08090017">
      <w:start w:val="1"/>
      <w:numFmt w:val="lowerLetter"/>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80"/>
    <w:rsid w:val="00131AC6"/>
    <w:rsid w:val="00680EFD"/>
    <w:rsid w:val="00731F80"/>
    <w:rsid w:val="00B34A98"/>
    <w:rsid w:val="00ED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169C"/>
  <w15:chartTrackingRefBased/>
  <w15:docId w15:val="{0065DD93-214A-4532-8340-218555B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F80"/>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rsid w:val="00731F80"/>
    <w:pPr>
      <w:ind w:left="357" w:hanging="357"/>
    </w:pPr>
    <w:rPr>
      <w:sz w:val="20"/>
    </w:rPr>
  </w:style>
  <w:style w:type="character" w:customStyle="1" w:styleId="FootnoteTextChar">
    <w:name w:val="Footnote Text Char"/>
    <w:basedOn w:val="DefaultParagraphFont"/>
    <w:uiPriority w:val="99"/>
    <w:semiHidden/>
    <w:rsid w:val="00731F80"/>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731F80"/>
    <w:rPr>
      <w:vertAlign w:val="superscript"/>
    </w:rPr>
  </w:style>
  <w:style w:type="character" w:styleId="Hyperlink">
    <w:name w:val="Hyperlink"/>
    <w:aliases w:val="Char1"/>
    <w:uiPriority w:val="99"/>
    <w:rsid w:val="00731F80"/>
    <w:rPr>
      <w:color w:val="0000FF"/>
      <w:u w:val="single"/>
    </w:rPr>
  </w:style>
  <w:style w:type="paragraph" w:styleId="NormalWeb">
    <w:name w:val="Normal (Web)"/>
    <w:aliases w:val=" webb,webb"/>
    <w:basedOn w:val="Normal"/>
    <w:link w:val="NormalWebChar1"/>
    <w:uiPriority w:val="99"/>
    <w:rsid w:val="00731F80"/>
    <w:pPr>
      <w:spacing w:before="100" w:beforeAutospacing="1" w:after="100" w:afterAutospacing="1"/>
      <w:jc w:val="left"/>
    </w:pPr>
    <w:rPr>
      <w:rFonts w:ascii="Times New Roman" w:hAnsi="Times New Roman"/>
      <w:szCs w:val="24"/>
    </w:rPr>
  </w:style>
  <w:style w:type="character" w:customStyle="1" w:styleId="NormalWebChar1">
    <w:name w:val="Normal (Web) Char1"/>
    <w:aliases w:val=" webb Char,webb Char1"/>
    <w:link w:val="NormalWeb"/>
    <w:uiPriority w:val="99"/>
    <w:rsid w:val="00731F80"/>
    <w:rPr>
      <w:rFonts w:ascii="Times New Roman" w:eastAsia="Times New Roman" w:hAnsi="Times New Roman" w:cs="Times New Roman"/>
      <w:sz w:val="24"/>
      <w:szCs w:val="24"/>
      <w:lang w:eastAsia="en-GB"/>
    </w:rPr>
  </w:style>
  <w:style w:type="character" w:customStyle="1" w:styleId="contents">
    <w:name w:val="contents"/>
    <w:basedOn w:val="DefaultParagraphFont"/>
    <w:rsid w:val="00731F80"/>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731F80"/>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731F80"/>
    <w:pPr>
      <w:spacing w:after="160" w:line="240" w:lineRule="exact"/>
      <w:jc w:val="left"/>
    </w:pPr>
    <w:rPr>
      <w:rFonts w:asciiTheme="minorHAnsi" w:eastAsiaTheme="minorHAnsi" w:hAnsiTheme="minorHAnsi" w:cstheme="minorBidi"/>
      <w:sz w:val="22"/>
      <w:szCs w:val="22"/>
      <w:vertAlign w:val="superscript"/>
      <w:lang w:eastAsia="en-US"/>
    </w:rPr>
  </w:style>
  <w:style w:type="paragraph" w:customStyle="1" w:styleId="CoverBold">
    <w:name w:val="CoverBold"/>
    <w:basedOn w:val="Normal"/>
    <w:rsid w:val="00731F80"/>
    <w:pPr>
      <w:widowControl w:val="0"/>
      <w:spacing w:after="0"/>
      <w:ind w:left="1418"/>
      <w:jc w:val="left"/>
    </w:pPr>
    <w:rPr>
      <w:rFonts w:ascii="Times New Roman" w:hAnsi="Times New Roman"/>
      <w:b/>
    </w:rPr>
  </w:style>
  <w:style w:type="paragraph" w:customStyle="1" w:styleId="ZnakZnak">
    <w:name w:val="Znak Znak"/>
    <w:basedOn w:val="Normal"/>
    <w:uiPriority w:val="99"/>
    <w:rsid w:val="00731F80"/>
    <w:pPr>
      <w:spacing w:after="0" w:line="360" w:lineRule="auto"/>
    </w:pPr>
    <w:rPr>
      <w:rFonts w:ascii="Verdana" w:hAnsi="Verdana"/>
      <w:sz w:val="20"/>
      <w:lang w:val="pl-PL" w:eastAsia="pl-PL"/>
    </w:rPr>
  </w:style>
  <w:style w:type="character" w:customStyle="1" w:styleId="st1">
    <w:name w:val="st1"/>
    <w:rsid w:val="0073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french/tratop_f/gproc_f/gp_gpa_f.htm" TargetMode="External"/><Relationship Id="rId2" Type="http://schemas.openxmlformats.org/officeDocument/2006/relationships/hyperlink" Target="http://ec.europa.eu/growth/content/commission-advises-public-buyers-how-capitalise-innovation_en" TargetMode="External"/><Relationship Id="rId1" Type="http://schemas.openxmlformats.org/officeDocument/2006/relationships/hyperlink" Target="https://ec.europa.eu/info/policies/public-procurement/support-tools-public-buyers_en" TargetMode="External"/><Relationship Id="rId5" Type="http://schemas.openxmlformats.org/officeDocument/2006/relationships/hyperlink" Target="http://ec.europa.eu/regional_policy/fr/policy/how/improving-investment/taiex-regio-peer-2-peer/" TargetMode="External"/><Relationship Id="rId4" Type="http://schemas.openxmlformats.org/officeDocument/2006/relationships/hyperlink" Target="https://ec.europa.eu/info/funding-tenders/funding-opportunities/funding-programmes/overview-funding-programmes/structural-reform-support-programme-srsp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1875</Words>
  <Characters>10600</Characters>
  <Application>Microsoft Office Word</Application>
  <DocSecurity>0</DocSecurity>
  <Lines>168</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1</cp:revision>
  <dcterms:created xsi:type="dcterms:W3CDTF">2019-02-21T14:14:00Z</dcterms:created>
  <dcterms:modified xsi:type="dcterms:W3CDTF">2019-02-21T14:15:00Z</dcterms:modified>
</cp:coreProperties>
</file>