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B5" w:rsidRPr="00D34D09" w:rsidRDefault="004810B5" w:rsidP="004810B5">
      <w:pPr>
        <w:spacing w:after="720"/>
        <w:jc w:val="center"/>
        <w:rPr>
          <w:rFonts w:ascii="Times New Roman" w:hAnsi="Times New Roman"/>
          <w:b/>
          <w:bCs/>
          <w:lang w:val="fr-BE"/>
        </w:rPr>
      </w:pPr>
      <w:r w:rsidRPr="00D34D09">
        <w:rPr>
          <w:rFonts w:ascii="Times New Roman" w:hAnsi="Times New Roman"/>
          <w:b/>
          <w:lang w:val="fr-BE"/>
        </w:rPr>
        <w:t xml:space="preserve">Suite donnée à la résolution non législative du Parlement européen sur </w:t>
      </w:r>
      <w:r w:rsidRPr="00D34D09">
        <w:rPr>
          <w:rFonts w:ascii="Times New Roman" w:hAnsi="Times New Roman"/>
          <w:b/>
          <w:bCs/>
          <w:lang w:val="fr-BE"/>
        </w:rPr>
        <w:br/>
      </w:r>
      <w:r w:rsidRPr="00D34D09">
        <w:rPr>
          <w:rFonts w:ascii="Times New Roman" w:hAnsi="Times New Roman"/>
          <w:b/>
          <w:lang w:val="fr-BE"/>
        </w:rPr>
        <w:t>les produits de qualité différenciée sur le marché intérieur</w:t>
      </w:r>
    </w:p>
    <w:p w:rsidR="004810B5" w:rsidRPr="00781060" w:rsidRDefault="004810B5" w:rsidP="004434BB">
      <w:pPr>
        <w:numPr>
          <w:ilvl w:val="0"/>
          <w:numId w:val="1"/>
        </w:numPr>
        <w:ind w:left="567" w:right="-28" w:hanging="567"/>
        <w:rPr>
          <w:rFonts w:ascii="Times New Roman" w:hAnsi="Times New Roman"/>
          <w:b/>
          <w:szCs w:val="24"/>
        </w:rPr>
      </w:pPr>
      <w:r>
        <w:rPr>
          <w:rFonts w:ascii="Times New Roman" w:hAnsi="Times New Roman"/>
          <w:b/>
        </w:rPr>
        <w:t xml:space="preserve">Rapporteure: </w:t>
      </w:r>
      <w:r>
        <w:rPr>
          <w:rFonts w:ascii="Times New Roman" w:hAnsi="Times New Roman"/>
        </w:rPr>
        <w:t xml:space="preserve">Olga </w:t>
      </w:r>
      <w:hyperlink r:id="rId7">
        <w:r>
          <w:rPr>
            <w:rFonts w:ascii="Times New Roman" w:hAnsi="Times New Roman"/>
          </w:rPr>
          <w:t xml:space="preserve">SEHNALOVÁ (S&amp;D / CZ) </w:t>
        </w:r>
      </w:hyperlink>
    </w:p>
    <w:p w:rsidR="004810B5" w:rsidRPr="00D34D09" w:rsidRDefault="004810B5" w:rsidP="004434BB">
      <w:pPr>
        <w:numPr>
          <w:ilvl w:val="0"/>
          <w:numId w:val="1"/>
        </w:numPr>
        <w:ind w:left="567" w:right="-28" w:hanging="567"/>
        <w:rPr>
          <w:rFonts w:ascii="Times New Roman" w:hAnsi="Times New Roman"/>
          <w:i/>
          <w:szCs w:val="24"/>
          <w:lang w:val="fr-BE"/>
        </w:rPr>
      </w:pPr>
      <w:r w:rsidRPr="00D34D09">
        <w:rPr>
          <w:rFonts w:ascii="Times New Roman" w:hAnsi="Times New Roman"/>
          <w:b/>
          <w:lang w:val="fr-BE"/>
        </w:rPr>
        <w:t xml:space="preserve">Numéro de référence du PE: </w:t>
      </w:r>
      <w:r w:rsidRPr="00D34D09">
        <w:rPr>
          <w:rFonts w:ascii="Times New Roman" w:hAnsi="Times New Roman"/>
          <w:lang w:val="fr-BE"/>
        </w:rPr>
        <w:t>2018/2008(INI) /</w:t>
      </w:r>
      <w:r w:rsidRPr="00D34D09">
        <w:rPr>
          <w:rFonts w:ascii="Times New Roman" w:hAnsi="Times New Roman"/>
          <w:b/>
          <w:lang w:val="fr-BE"/>
        </w:rPr>
        <w:t xml:space="preserve"> </w:t>
      </w:r>
      <w:r w:rsidRPr="00D34D09">
        <w:rPr>
          <w:rFonts w:ascii="Times New Roman" w:hAnsi="Times New Roman"/>
          <w:lang w:val="fr-BE"/>
        </w:rPr>
        <w:t>A8-0267/2018 / P8_TA-PROV(2018)0357</w:t>
      </w:r>
    </w:p>
    <w:p w:rsidR="004810B5" w:rsidRPr="00D34D09" w:rsidRDefault="004810B5" w:rsidP="004434BB">
      <w:pPr>
        <w:numPr>
          <w:ilvl w:val="0"/>
          <w:numId w:val="1"/>
        </w:numPr>
        <w:ind w:left="567" w:right="-28" w:hanging="567"/>
        <w:rPr>
          <w:rFonts w:ascii="Times New Roman" w:hAnsi="Times New Roman"/>
          <w:szCs w:val="24"/>
          <w:lang w:val="fr-BE"/>
        </w:rPr>
      </w:pPr>
      <w:r w:rsidRPr="00D34D09">
        <w:rPr>
          <w:rFonts w:ascii="Times New Roman" w:hAnsi="Times New Roman"/>
          <w:b/>
          <w:lang w:val="fr-BE"/>
        </w:rPr>
        <w:t xml:space="preserve">Date d'adoption de la résolution: </w:t>
      </w:r>
      <w:r w:rsidRPr="00D34D09">
        <w:rPr>
          <w:rFonts w:ascii="Times New Roman" w:hAnsi="Times New Roman"/>
          <w:lang w:val="fr-BE"/>
        </w:rPr>
        <w:t>13 septembre 2018</w:t>
      </w:r>
    </w:p>
    <w:p w:rsidR="004810B5" w:rsidRPr="00D34D09" w:rsidRDefault="004810B5" w:rsidP="004434BB">
      <w:pPr>
        <w:numPr>
          <w:ilvl w:val="0"/>
          <w:numId w:val="1"/>
        </w:numPr>
        <w:ind w:left="567" w:right="-28" w:hanging="567"/>
        <w:rPr>
          <w:rFonts w:ascii="Times New Roman" w:hAnsi="Times New Roman"/>
          <w:szCs w:val="24"/>
          <w:lang w:val="fr-BE"/>
        </w:rPr>
      </w:pPr>
      <w:r w:rsidRPr="00D34D09">
        <w:rPr>
          <w:rFonts w:ascii="Times New Roman" w:hAnsi="Times New Roman"/>
          <w:b/>
          <w:lang w:val="fr-BE"/>
        </w:rPr>
        <w:t>Objet:</w:t>
      </w:r>
      <w:r w:rsidRPr="00D34D09">
        <w:rPr>
          <w:rFonts w:ascii="Times New Roman" w:hAnsi="Times New Roman"/>
          <w:lang w:val="fr-BE"/>
        </w:rPr>
        <w:t xml:space="preserve"> les produits de qualité différenciée sur le marché intérieur</w:t>
      </w:r>
    </w:p>
    <w:p w:rsidR="004810B5" w:rsidRPr="00D34D09" w:rsidRDefault="004810B5" w:rsidP="004434BB">
      <w:pPr>
        <w:numPr>
          <w:ilvl w:val="0"/>
          <w:numId w:val="1"/>
        </w:numPr>
        <w:ind w:left="567" w:right="-28" w:hanging="567"/>
        <w:rPr>
          <w:rFonts w:ascii="Times New Roman" w:hAnsi="Times New Roman"/>
          <w:i/>
          <w:szCs w:val="24"/>
          <w:lang w:val="fr-BE"/>
        </w:rPr>
      </w:pPr>
      <w:r w:rsidRPr="00D34D09">
        <w:rPr>
          <w:rFonts w:ascii="Times New Roman" w:hAnsi="Times New Roman"/>
          <w:b/>
          <w:lang w:val="fr-BE"/>
        </w:rPr>
        <w:t>Commission parlementaire compétente</w:t>
      </w:r>
      <w:r w:rsidRPr="00D34D09">
        <w:rPr>
          <w:b/>
          <w:lang w:val="fr-BE"/>
        </w:rPr>
        <w:t xml:space="preserve">: </w:t>
      </w:r>
      <w:r w:rsidRPr="00D34D09">
        <w:rPr>
          <w:rFonts w:ascii="Times New Roman" w:hAnsi="Times New Roman"/>
          <w:lang w:val="fr-BE"/>
        </w:rPr>
        <w:t>commission du marché intérieur et de la protection des consommateurs (IMCO)</w:t>
      </w:r>
    </w:p>
    <w:p w:rsidR="004810B5" w:rsidRPr="00D34D09" w:rsidRDefault="004810B5" w:rsidP="004434BB">
      <w:pPr>
        <w:widowControl w:val="0"/>
        <w:numPr>
          <w:ilvl w:val="0"/>
          <w:numId w:val="1"/>
        </w:numPr>
        <w:ind w:left="567" w:right="-28" w:hanging="567"/>
        <w:rPr>
          <w:rFonts w:ascii="Times New Roman" w:hAnsi="Times New Roman"/>
          <w:szCs w:val="24"/>
          <w:lang w:val="fr-BE"/>
        </w:rPr>
      </w:pPr>
      <w:r w:rsidRPr="00D34D09">
        <w:rPr>
          <w:rFonts w:ascii="Times New Roman" w:hAnsi="Times New Roman"/>
          <w:b/>
          <w:lang w:val="fr-BE"/>
        </w:rPr>
        <w:t>Analyse/évaluation succincte de la résolution et des demandes qu’elle contient</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résolution salue globalement l’action menée par la Commission en réponse au problème du double niveau de qualité des produits.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Plus important encore, elle accueille favorablement la décision de la Commission de clarifier la législation applicable de l’Union et d’introduire une disposition juridique explicite en la matière en modifiant la directive 2005/29/CE [directive sur les pratiques commerciales déloyales (DPCD)] dans le cadre de l'initiative de la Commission du 11 avril 2018 intitulée «Une nouvelle donne pour les consommateurs» (ci-après la «nouvelle donne»). Néanmoins, la résolution indique que la proposition de la Commission contient un certain nombre de dispositions peu claires et qu’il serait préférable de modifier l'annexe I de la directive, laquelle contient une liste de pratiques qui doivent être considérées comme déloyales en toutes circonstances («liste noire»).</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Par ailleurs, la résolution salue expressément les mesures non législatives de la Commission visant à aider les autorités chargées de faire appliquer la législation et, en particulier, l'élaboration d’une méthode de test commune par le Centre commun de recherche de la Commission (JRC) en vue de créer une base de données fiables et comparables.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outre, la résolution formule un certain nombre de recommandations spécifiques afin de répondre à la problématique soulevée:</w:t>
      </w:r>
    </w:p>
    <w:p w:rsidR="004810B5" w:rsidRPr="00D34D09" w:rsidRDefault="004810B5" w:rsidP="004810B5">
      <w:pPr>
        <w:widowControl w:val="0"/>
        <w:numPr>
          <w:ilvl w:val="0"/>
          <w:numId w:val="2"/>
        </w:numPr>
        <w:spacing w:after="120"/>
        <w:ind w:right="-28"/>
        <w:rPr>
          <w:rFonts w:ascii="Times New Roman" w:hAnsi="Times New Roman"/>
          <w:szCs w:val="24"/>
          <w:lang w:val="fr-BE"/>
        </w:rPr>
      </w:pPr>
      <w:r w:rsidRPr="00D34D09">
        <w:rPr>
          <w:rFonts w:ascii="Times New Roman" w:hAnsi="Times New Roman"/>
          <w:lang w:val="fr-BE"/>
        </w:rPr>
        <w:t>une application plus efficace de la législation existante de l’Union par les autorités nationales compétentes grâce à une coopération transfrontière entre les autorités nationales chargées des denrées alimentaires et de la protection des consommateurs, les associations de consommateurs et la Commission;</w:t>
      </w:r>
    </w:p>
    <w:p w:rsidR="004810B5" w:rsidRPr="00D34D09" w:rsidRDefault="004810B5" w:rsidP="004810B5">
      <w:pPr>
        <w:widowControl w:val="0"/>
        <w:numPr>
          <w:ilvl w:val="0"/>
          <w:numId w:val="2"/>
        </w:numPr>
        <w:spacing w:after="120"/>
        <w:ind w:right="-28"/>
        <w:rPr>
          <w:rFonts w:ascii="Times New Roman" w:hAnsi="Times New Roman"/>
          <w:szCs w:val="24"/>
          <w:lang w:val="fr-BE"/>
        </w:rPr>
      </w:pPr>
      <w:r w:rsidRPr="00D34D09">
        <w:rPr>
          <w:rFonts w:ascii="Times New Roman" w:hAnsi="Times New Roman"/>
          <w:lang w:val="fr-BE"/>
        </w:rPr>
        <w:t>un rôle plus actif dévolu aux organisations de défense des consommateurs auxquelles les États membres et la Commission doivent maintenir leur aide par des mécanismes juridiques et financiers;</w:t>
      </w:r>
    </w:p>
    <w:p w:rsidR="004810B5" w:rsidRPr="00D34D09" w:rsidRDefault="004810B5" w:rsidP="004810B5">
      <w:pPr>
        <w:widowControl w:val="0"/>
        <w:numPr>
          <w:ilvl w:val="0"/>
          <w:numId w:val="2"/>
        </w:numPr>
        <w:spacing w:after="120"/>
        <w:ind w:right="-28"/>
        <w:rPr>
          <w:rFonts w:ascii="Times New Roman" w:hAnsi="Times New Roman"/>
          <w:szCs w:val="24"/>
          <w:lang w:val="fr-BE"/>
        </w:rPr>
      </w:pPr>
      <w:r w:rsidRPr="00D34D09">
        <w:rPr>
          <w:rFonts w:ascii="Times New Roman" w:hAnsi="Times New Roman"/>
          <w:lang w:val="fr-BE"/>
        </w:rPr>
        <w:t>l’extension de la méthode de test du JRC et des essais aux produits non alimentaires;</w:t>
      </w:r>
    </w:p>
    <w:p w:rsidR="004810B5" w:rsidRPr="00D34D09" w:rsidRDefault="004810B5" w:rsidP="004810B5">
      <w:pPr>
        <w:widowControl w:val="0"/>
        <w:numPr>
          <w:ilvl w:val="0"/>
          <w:numId w:val="2"/>
        </w:numPr>
        <w:spacing w:after="120"/>
        <w:ind w:right="-28"/>
        <w:rPr>
          <w:rFonts w:ascii="Times New Roman" w:hAnsi="Times New Roman"/>
          <w:szCs w:val="24"/>
          <w:lang w:val="fr-BE"/>
        </w:rPr>
      </w:pPr>
      <w:r w:rsidRPr="00D34D09">
        <w:rPr>
          <w:rFonts w:ascii="Times New Roman" w:hAnsi="Times New Roman"/>
          <w:lang w:val="fr-BE"/>
        </w:rPr>
        <w:t xml:space="preserve">une meilleure surveillance et le recueil de nouvelles données concernant, par exemple, les normes nationales applicables aux produits, l'incidence sur la production régionale et locale, ainsi que les contraintes territoriales en matière d’approvisionnement et leurs effets négatifs sur le choix des consommateurs. La résolution invite la Commission à </w:t>
      </w:r>
      <w:r w:rsidRPr="00D34D09">
        <w:rPr>
          <w:rFonts w:ascii="Times New Roman" w:hAnsi="Times New Roman"/>
          <w:lang w:val="fr-BE"/>
        </w:rPr>
        <w:lastRenderedPageBreak/>
        <w:t>développer les capacités de surveillance au sein d'un organe existant de l’Union afin de veiller à ce que des produits alimentaires apparemment identiques présentent une même composition.</w:t>
      </w:r>
    </w:p>
    <w:p w:rsidR="004810B5" w:rsidRPr="00D34D09" w:rsidRDefault="004810B5" w:rsidP="004810B5">
      <w:pPr>
        <w:keepNext/>
        <w:keepLines/>
        <w:spacing w:after="120"/>
        <w:ind w:right="-28"/>
        <w:rPr>
          <w:rFonts w:ascii="Times New Roman" w:hAnsi="Times New Roman"/>
          <w:b/>
          <w:szCs w:val="24"/>
          <w:u w:val="single"/>
          <w:lang w:val="fr-BE"/>
        </w:rPr>
      </w:pPr>
      <w:r w:rsidRPr="00D34D09">
        <w:rPr>
          <w:rFonts w:ascii="Times New Roman" w:hAnsi="Times New Roman"/>
          <w:b/>
          <w:u w:val="single"/>
          <w:lang w:val="fr-BE"/>
        </w:rPr>
        <w:t>Évaluation succincte de la résolution</w:t>
      </w:r>
    </w:p>
    <w:p w:rsidR="004810B5" w:rsidRPr="00D34D09" w:rsidRDefault="004810B5" w:rsidP="004810B5">
      <w:pPr>
        <w:keepNext/>
        <w:keepLines/>
        <w:spacing w:after="120"/>
        <w:ind w:right="-28"/>
        <w:rPr>
          <w:rFonts w:ascii="Times New Roman" w:hAnsi="Times New Roman"/>
          <w:szCs w:val="24"/>
          <w:lang w:val="fr-BE"/>
        </w:rPr>
      </w:pPr>
      <w:r w:rsidRPr="00D34D09">
        <w:rPr>
          <w:rFonts w:ascii="Times New Roman" w:hAnsi="Times New Roman"/>
          <w:lang w:val="fr-BE"/>
        </w:rPr>
        <w:t>La Commission se félicite de la résolution, qui aborde les principaux problèmes actuels rencontrés dans le traitement du double niveau de qualité des produits et formule plusieurs recommandations. Un grand nombre d’entre elles sont déjà mises en œuvre par la Commission, qui considère avoir déjà proposé les mesures législatives et non législatives nécessaires pour remédier au problème du double niveau de qualité.</w:t>
      </w:r>
    </w:p>
    <w:p w:rsidR="004810B5" w:rsidRPr="00D34D09" w:rsidRDefault="004810B5" w:rsidP="004434BB">
      <w:pPr>
        <w:widowControl w:val="0"/>
        <w:numPr>
          <w:ilvl w:val="0"/>
          <w:numId w:val="1"/>
        </w:numPr>
        <w:spacing w:before="240"/>
        <w:ind w:left="567" w:right="-28" w:hanging="567"/>
        <w:rPr>
          <w:rFonts w:ascii="Times New Roman" w:hAnsi="Times New Roman"/>
          <w:b/>
          <w:szCs w:val="24"/>
          <w:lang w:val="fr-BE"/>
        </w:rPr>
      </w:pPr>
      <w:bookmarkStart w:id="0" w:name="_GoBack"/>
      <w:bookmarkEnd w:id="0"/>
      <w:r w:rsidRPr="00D34D09">
        <w:rPr>
          <w:rFonts w:ascii="Times New Roman" w:hAnsi="Times New Roman"/>
          <w:b/>
          <w:lang w:val="fr-BE"/>
        </w:rPr>
        <w:t>Réponse aux demandes contenues dans la résolution et aperçu des mesures que la Commission a prises ou envisage de prendre</w:t>
      </w:r>
    </w:p>
    <w:p w:rsidR="004810B5" w:rsidRPr="00D34D09" w:rsidRDefault="004810B5" w:rsidP="004810B5">
      <w:pPr>
        <w:widowControl w:val="0"/>
        <w:spacing w:after="120"/>
        <w:ind w:right="-28"/>
        <w:rPr>
          <w:rFonts w:ascii="Times New Roman" w:hAnsi="Times New Roman"/>
          <w:b/>
          <w:szCs w:val="24"/>
          <w:u w:val="single"/>
          <w:lang w:val="fr-BE"/>
        </w:rPr>
      </w:pPr>
      <w:r w:rsidRPr="00D34D09">
        <w:rPr>
          <w:rFonts w:ascii="Times New Roman" w:hAnsi="Times New Roman"/>
          <w:b/>
          <w:u w:val="single"/>
          <w:lang w:val="fr-BE"/>
        </w:rPr>
        <w:t>Clarifier la législation applicable de l’Union européenne pour mieux répondre au problème du double niveau de qualité des produits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Depuis mars 2017, la Commission a pris des mesures décisives afin de permettre aux autorités compétentes chargées de la protection des consommateurs et des denrées alimentaires de mettre un terme aux pratiques commerciales déloyales qui trompent le consommateur sur la composition et les caractéristiques des produits, des mesures considérées comme une priorité absolue dans le domaine de l'alimentation.</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a publié un guide concret sur l’application et l’exécution de la législation européenne applicable en matière d'alimentation et de protection des consommateurs [C (2017) 6532 final] qui complète le document d’orientation générale relatif à l’application de la directive sur les pratiques commerciales déloyales [SWD (2016) 163 final]. En outre, la Commission a proposé un cofinancement spécifique aux autorités compétentes des États membres au titre du programme «Consommateurs» afin de développer les capacités d'exécution nécessaires et d'engager des mesures d’enquête supplémentaires.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dépit de ces efforts, l’expérience en matière d'application de la législation a démontré que les autorités nationales gagneraient à s’appuyer sur un ensemble explicite de dispositions permettant de mieux lutter contre toute pratique commerciale déloyale liée à des problèmes de «double niveau de qualité».</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a dès lors décidé de proposer une modification de la directive sur les pratiques commerciales déloyales dans le cadre de son paquet de mesures sur la «nouvelle donne» [COM (2018) 185 final]. L’amendement proposé précise de manière explicite que les activités de marketing qui présentent un produit comme identique à un même produit commercialisé dans plusieurs autres États membres, alors que ces produits ont une composition ou des caractéristiques sensiblement différentes, constitueraient une pratique commerciale déloyale, sous réserve d'une appréciation au cas par cas. Les actions de marketing menées dans divers États membres qui présentent des produits comme identiques, alors qu’ils ont en réalité une composition ou des caractéristiques sensiblement différentes, peuvent induire les consommateurs en erreur et les amener à prendre une décision commerciale qu’ils n’auraient pas prise autrement.</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 xml:space="preserve">En particulier, la Commission estime qu’il est nécessaire de continuer à traiter le problème du double niveau de qualité dans le cadre de la réglementation générale de la directive sur les pratiques commerciales déloyales, en exigeant des autorités compétentes chargées de l'application de la législation qu'elles établissent, au cas par cas, tant le caractère trompeur des activités de commercialisation que leur incidence sur le comportement économique du </w:t>
      </w:r>
      <w:r w:rsidRPr="00D34D09">
        <w:rPr>
          <w:rFonts w:ascii="Times New Roman" w:hAnsi="Times New Roman"/>
          <w:lang w:val="fr-BE"/>
        </w:rPr>
        <w:lastRenderedPageBreak/>
        <w:t>consommateur moyen. Il s'agit de la solution la plus proportionnée et la plus efficace pour traiter le problème.</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disposition proposée établit également un juste équilibre entre les intérêts légitimes de tous les acteurs du marché concernés et offre ainsi un niveau plus élevé de sécurité juridique, non seulement pour les autorités compétentes mais également pour les consommateurs et les entreprises. À cet égard, il est en outre exposé dans les considérants qui accompagnent la disposition proposée que certains produits peuvent être différenciés pour des motifs légitimes, tels que des préférences définies des consommateurs, la disponibilité ou le caractère saisonnier des matières premières, ou encore des stratégies volontaires visant à améliorer l’accès à des aliments sains et nutritifs. La Commission convient avec le Parlement européen que ces facteurs ne devraient pas être invoqués de manière abstraite par les opérateurs comme un prétexte pour offrir une qualité moindre.</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conséquence, la proposition exige des autorités compétentes qu'elles s'assurent de la légitimité réelle de ces facteurs lorsqu'elles procèdent à leur évaluation au cas par cas au titre de la directive sur les pratiques commerciales déloyales. Il appartient dès lors aux autorités compétentes des États membres de déterminer si les professionnels responsables d’une pratique commerciale, compte tenu des spécificités et des circonstances qui la caractérisent — y compris les éventuels facteurs légitimes de différenciation des produits — enfreignent les dispositions de la directive relative aux pratiques commerciales déloyales.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Le Parlement européen déclare que la proposition de la Commission contient des dispositions peu claires et qu’il n’existe pas de définition claire du «double niveau de qualité». À cet égard, la Commission tient à souligner que le double niveau de qualité renvoie à des pratiques commerciales pour des produits différents qui ne peuvent être appréciées qu’au cas par cas et qui ne peuvent donc pas être définies de manière normative (comme ce devrait être le cas pour toute inclusion dans l’annexe I de la directive, qui énumère la liste des pratiques réputées déloyales en toutes circonstances). Au contraire, toutes les circonstances spécifiques doivent être prises en compte afin d’évaluer l’effet de ces pratiques sur les consommateurs. En outre, les résultats du projet du JRC aideront les autorités compétentes par l’élaboration de critères applicables à des concepts tels que des compositions «sensiblement» différentes.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convient avec le Parlement européen que le problème du double niveau de qualité ne se limite pas aux denrées alimentaires mais peut également avoir une incidence sur d’autres produits, tels que les détergents, et tient à souligner que le champ d'application des nouvelles dispositions de la directive sur les pratiques commerciales déloyales ne sera pas limité aux denrées alimentaires. La Commission est convaincue que la méthode de test et les enseignements tirés de sa mise en œuvre dans le domaine de l'alimentation constitueront un solide point de départ pour d’éventuels futurs travaux sur les produits non alimentaires.</w:t>
      </w:r>
    </w:p>
    <w:p w:rsidR="004810B5" w:rsidRPr="00D34D09" w:rsidRDefault="004810B5" w:rsidP="004810B5">
      <w:pPr>
        <w:widowControl w:val="0"/>
        <w:spacing w:after="120"/>
        <w:ind w:right="-28"/>
        <w:rPr>
          <w:rFonts w:ascii="Times New Roman" w:hAnsi="Times New Roman"/>
          <w:b/>
          <w:szCs w:val="24"/>
          <w:u w:val="single"/>
          <w:lang w:val="fr-BE"/>
        </w:rPr>
      </w:pPr>
      <w:r w:rsidRPr="00D34D09">
        <w:rPr>
          <w:rFonts w:ascii="Times New Roman" w:hAnsi="Times New Roman"/>
          <w:b/>
          <w:u w:val="single"/>
          <w:lang w:val="fr-BE"/>
        </w:rPr>
        <w:t>Instaurer une nouvelle manière d'appliquer la législation relative aux consommateurs et renforcer les capacités des associations de consommateurs</w:t>
      </w:r>
    </w:p>
    <w:p w:rsidR="004810B5" w:rsidRPr="00D34D09" w:rsidRDefault="004810B5" w:rsidP="004810B5">
      <w:pPr>
        <w:widowControl w:val="0"/>
        <w:spacing w:after="120"/>
        <w:ind w:right="-28"/>
        <w:rPr>
          <w:rFonts w:ascii="Times New Roman" w:hAnsi="Times New Roman"/>
          <w:b/>
          <w:szCs w:val="24"/>
          <w:lang w:val="fr-BE"/>
        </w:rPr>
      </w:pPr>
      <w:r w:rsidRPr="00D34D09">
        <w:rPr>
          <w:rFonts w:ascii="Times New Roman" w:hAnsi="Times New Roman"/>
          <w:b/>
          <w:lang w:val="fr-BE"/>
        </w:rPr>
        <w:t>La «nouvelle donne» et une nouvelle application de la législation</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ce qui concerne la demande du Parlement européen invitant la Commission à soutenir et coordonner davantage les autorités compétentes des États membres dans les efforts qu'elles déploient pour assurer le respect des lois protégeant les consommateurs, la Commission tient à souligner que la «nouvelle donne» constitue un paquet législatif qui va bien au-delà du double niveau de qualité.</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 xml:space="preserve">Ce train de mesures, comme le souligne tout particulièrement la communication [COM (2018) 183 final], vise non seulement à moderniser l’acquis en matière de protection des consommateurs de l’Union pour l'adapter à l’ère numérique mais également à modifier </w:t>
      </w:r>
      <w:r w:rsidRPr="00D34D09">
        <w:rPr>
          <w:rFonts w:ascii="Times New Roman" w:hAnsi="Times New Roman"/>
          <w:lang w:val="fr-BE"/>
        </w:rPr>
        <w:lastRenderedPageBreak/>
        <w:t>considérablement son application.</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proposition de la Commission relative aux actions représentatives [COM (2018) 184 final] permettra à certaines entités qualifiées, telles que des associations de consommateurs, d'intenter des actions collectives en vue de demander réparation au nom d’un groupe de consommateurs qui ont été lésés par une infraction au droit de la consommation, y compris dans le cas de violation de la directive sur les pratiques commerciales déloyales. La proposition renforce ainsi considérablement le rôle des associations de consommateurs dans l’application de la législation relative à la protection des consommateurs. En outre, s'il est constaté par une décision judiciaire ou administrative qu'une infraction porte préjudice aux intérêts collectifs des consommateurs, les consommateurs lésés ont la possibilité faire valoir également le résultat de cette décision pour demander réparation dans le cadre de l'action individuelle intentée à l'encontre du professionnel dans le même État membre ou dans un autre.</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Dans ce cadre, la Commission se félicite du projet pilote proposé par le Parlement européen, qui vise à renforcer les capacités des associations de consommateurs aux fins des essais et des comparaisons de produits de consommation de base. Ce projet contribuera de manière significative à l’échange de bonnes pratiques entre les associations de consommateurs et d’autres acteurs, dont les autorités compétentes.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outre, la «nouvelle donne» propose davantage de règles harmonisées en matière de sanctions, y compris en cas de violation de la directive relative aux pratiques commerciales déloyales. Elle prévoit en particulier que, pour les infractions au droit de la consommation qui affectent au moins trois États membres et qui sont conjointement examinées par les États membres dans le cadre du réseau de coopération en matière de protection des consommateurs, les États membres devraient prévoir dans leur législation nationale des amendes maximales dont le niveau représente au moins 4 % du chiffre d’affaires annuel du professionnel. Une telle mesure incitera fortement les professionnels à respecter les droits des consommateurs, y compris en ce qui concerne le double niveau de qualité.</w:t>
      </w:r>
    </w:p>
    <w:p w:rsidR="004810B5" w:rsidRPr="00D34D09" w:rsidRDefault="004810B5" w:rsidP="004810B5">
      <w:pPr>
        <w:keepNext/>
        <w:spacing w:after="120"/>
        <w:ind w:right="-28"/>
        <w:rPr>
          <w:rFonts w:ascii="Times New Roman" w:hAnsi="Times New Roman"/>
          <w:b/>
          <w:szCs w:val="24"/>
          <w:lang w:val="fr-BE"/>
        </w:rPr>
      </w:pPr>
      <w:r w:rsidRPr="00D34D09">
        <w:rPr>
          <w:rFonts w:ascii="Times New Roman" w:hAnsi="Times New Roman"/>
          <w:b/>
          <w:lang w:val="fr-BE"/>
        </w:rPr>
        <w:t>Le nouveau règlement relatif à la coopération en matière de protection des consommateurs</w:t>
      </w:r>
    </w:p>
    <w:p w:rsidR="004810B5" w:rsidRPr="00D34D09" w:rsidRDefault="004810B5" w:rsidP="004810B5">
      <w:pPr>
        <w:keepNext/>
        <w:spacing w:after="120"/>
        <w:ind w:right="-28"/>
        <w:rPr>
          <w:rFonts w:ascii="Times New Roman" w:hAnsi="Times New Roman"/>
          <w:szCs w:val="24"/>
          <w:lang w:val="fr-BE"/>
        </w:rPr>
      </w:pPr>
      <w:r w:rsidRPr="00D34D09">
        <w:rPr>
          <w:rFonts w:ascii="Times New Roman" w:hAnsi="Times New Roman"/>
          <w:lang w:val="fr-BE"/>
        </w:rPr>
        <w:t>Dans le cadre de l'application de la législation et du renforcement des capacités des organisations de consommateurs, la Commission aimerait également attirer l’attention du Parlement européen sur le nouveau règlement relatif à la coopération en matière de protection des consommateurs («règlement CPC») [règlement (UE) 2017/2394], qui sera applicable à partir du 17 janvier 2020.</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Ce règlement va considérablement renforcer l’application de la législation, notamment en conférant de nouveaux pouvoirs d’enquête et d’exécution aux autorités nationales compétentes afin de lutter contre les infractions au droit de la consommation. En outre, ce règlement permettra de clarifier et de rationaliser les règles en matière d’assistance mutuelle et accordera à la Commission un nouveau rôle de coordination, y compris le pouvoir d’activer et de coordonner le réseau en cas d’infraction touchant la plupart des États membres.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Ce nouveau règlement prévoit également un plus grand rôle pour les organisations de consommateurs, lesquelles peuvent lancer des alertes externes au sein du réseau d'autorités compétentes, lorsqu’elles souhaitent signaler des infractions à la législation européenne en matière de consommation.</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travaille actuellement en étroite collaboration avec les autorités compétentes des États membres et les associations de consommateurs afin de préparer la mise en application en temps voulu du présent règlement.</w:t>
      </w:r>
    </w:p>
    <w:p w:rsidR="004810B5" w:rsidRPr="00D34D09" w:rsidRDefault="004810B5" w:rsidP="004810B5">
      <w:pPr>
        <w:widowControl w:val="0"/>
        <w:spacing w:after="120"/>
        <w:ind w:right="-28"/>
        <w:rPr>
          <w:rFonts w:ascii="Times New Roman" w:hAnsi="Times New Roman"/>
          <w:b/>
          <w:szCs w:val="24"/>
          <w:lang w:val="fr-BE"/>
        </w:rPr>
      </w:pPr>
      <w:r w:rsidRPr="00D34D09">
        <w:rPr>
          <w:rFonts w:ascii="Times New Roman" w:hAnsi="Times New Roman"/>
          <w:b/>
          <w:lang w:val="fr-BE"/>
        </w:rPr>
        <w:lastRenderedPageBreak/>
        <w:t>Soutien financier en faveur des organisations de consommateurs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a, en outre, proposé des mécanismes financiers afin de donner plus de moyens aux organisations de consommateurs dans le cadre du nouveau programme en faveur du marché unique, qui succédera à l’actuel programme «Consommateurs» et mettra en œuvre le cadre financier pluriannuel de l’Union pour la période 2021-2027. Outre les possibilités de cofinancement offertes aux autorités compétentes, ce nouveau programme prévoit également le financement de projets menés par des organisations non gouvernementales telles que les organisations de consommateurs.</w:t>
      </w:r>
    </w:p>
    <w:p w:rsidR="004810B5" w:rsidRPr="00D34D09" w:rsidRDefault="004810B5" w:rsidP="004810B5">
      <w:pPr>
        <w:widowControl w:val="0"/>
        <w:spacing w:after="120"/>
        <w:ind w:right="-28"/>
        <w:rPr>
          <w:rFonts w:ascii="Times New Roman" w:hAnsi="Times New Roman"/>
          <w:b/>
          <w:szCs w:val="24"/>
          <w:u w:val="single"/>
          <w:lang w:val="fr-BE"/>
        </w:rPr>
      </w:pPr>
      <w:r w:rsidRPr="00D34D09">
        <w:rPr>
          <w:rFonts w:ascii="Times New Roman" w:hAnsi="Times New Roman"/>
          <w:b/>
          <w:u w:val="single"/>
          <w:lang w:val="fr-BE"/>
        </w:rPr>
        <w:t>Sensibiliser les consommateurs et renforcer la transparence en matière de différenciation des produits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convient avec le Parlement européen que la sensibilisation des consommateurs quant à leurs droits, ainsi que le renforcement de la transparence en matière de différenciation des produits, contribueront à combattre efficacement les pratiques commerciales déloyales en ce qui concerne le double niveau de qualité.</w:t>
      </w:r>
    </w:p>
    <w:p w:rsidR="004810B5" w:rsidRPr="00D34D09" w:rsidRDefault="004810B5" w:rsidP="004810B5">
      <w:pPr>
        <w:widowControl w:val="0"/>
        <w:ind w:right="-28"/>
        <w:rPr>
          <w:rFonts w:ascii="Times New Roman" w:hAnsi="Times New Roman"/>
          <w:szCs w:val="24"/>
          <w:lang w:val="fr-BE"/>
        </w:rPr>
      </w:pPr>
      <w:r w:rsidRPr="00D34D09">
        <w:rPr>
          <w:rFonts w:ascii="Times New Roman" w:hAnsi="Times New Roman"/>
          <w:lang w:val="fr-BE"/>
        </w:rPr>
        <w:t>À cet effet, il importe de conclure la campagne d'essais à l’échelle de l’Union et d'en diffuser les résultats aux consommateurs de manière complète et en temps utile. Il s’agit toutefois d’un projet très long et complexe dans la mesure où il associera, comme convenu par les experts, l’ensemble des principales parties prenantes à toutes les phases d’essais, et où il impliquera une analyse sensorielle destinée à évaluer l’importance de la différenciation des produits. La Commission évaluera attentivement les moyens les plus appropriés pour la diffusion des résultats une fois que les données seront disponibles au cours du premier trimestre de 2019. Les résultats préliminaires d’une étude de faisabilité, que le Centre commun de recherche de la Commission a menée dans le cadre de la préparation de la campagne d’essais paneuropéenne, devraient toutefois être disponibles d’ici à la fin de 2018.</w:t>
      </w:r>
    </w:p>
    <w:p w:rsidR="004810B5" w:rsidRPr="00D34D09" w:rsidRDefault="004810B5" w:rsidP="004810B5">
      <w:pPr>
        <w:widowControl w:val="0"/>
        <w:ind w:right="-28"/>
        <w:rPr>
          <w:rFonts w:ascii="Times New Roman" w:hAnsi="Times New Roman"/>
          <w:szCs w:val="24"/>
          <w:lang w:val="fr-BE"/>
        </w:rPr>
      </w:pPr>
      <w:r w:rsidRPr="00D34D09">
        <w:rPr>
          <w:rFonts w:ascii="Times New Roman" w:hAnsi="Times New Roman"/>
          <w:lang w:val="fr-BE"/>
        </w:rPr>
        <w:t>En outre, le Conseil européen du 9 mars 2017 a approuvé la proposition de la Commission visant à entamer un dialogue pluripartite constructif dans le cadre du forum à haut niveau sur l'amélioration du fonctionnement de la chaîne d'approvisionnement alimentaire (ci-après le «forum»).</w:t>
      </w:r>
    </w:p>
    <w:p w:rsidR="004810B5" w:rsidRPr="00D34D09" w:rsidRDefault="004810B5" w:rsidP="004810B5">
      <w:pPr>
        <w:widowControl w:val="0"/>
        <w:ind w:right="-28"/>
        <w:rPr>
          <w:rFonts w:ascii="Times New Roman" w:hAnsi="Times New Roman"/>
          <w:szCs w:val="24"/>
          <w:lang w:val="fr-BE"/>
        </w:rPr>
      </w:pPr>
      <w:r w:rsidRPr="00D34D09">
        <w:rPr>
          <w:rFonts w:ascii="Times New Roman" w:hAnsi="Times New Roman"/>
          <w:lang w:val="fr-BE"/>
        </w:rPr>
        <w:t>Le forum a élaboré un document contenant des recommandations sur la manière dont les membres, en réponse au problème du double niveau de qualité, pourraient améliorer la transparence au niveau tant de leurs pratiques commerciales que de la différenciation des produits. Le rapport final de ce forum sera soumis à adoption au début de l’année 2019. La Commission tient à souligner que, même si elle contribue aux travaux du forum, le rapport final est un document qui reflète les points de vue des membres du forum.</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outre, la Commission a créé un réseau de parties prenantes externes en vue de l'élaboration de la méthode de test commune. Ce réseau a insisté sur la nécessité de procédures transparentes permettant à toutes les parties (professionnels, autorités compétentes, représentants des consommateurs) de participer et de coopérer dans un esprit d’ouverture et de consensus.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La Commission est résolue à poursuivre ce dialogue constructif avec l'ensemble des principaux acteurs de la chaîne d’approvisionnement.</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 xml:space="preserve">De manière plus générale, la Commission entame actuellement une campagne de sensibilisation dans le cadre de son initiative «nouvelle donne». Au cours de ces «dialogues avec les consommateurs», la Commission se rend dans tous les États membres non seulement pour susciter une prise de conscience générale sur les droits des consommateurs et leur </w:t>
      </w:r>
      <w:r w:rsidRPr="00D34D09">
        <w:rPr>
          <w:rFonts w:ascii="Times New Roman" w:hAnsi="Times New Roman"/>
          <w:lang w:val="fr-BE"/>
        </w:rPr>
        <w:lastRenderedPageBreak/>
        <w:t>application mais également pour être à l’écoute des besoins et des préoccupations des consommateurs et des autres parties prenantes.</w:t>
      </w:r>
    </w:p>
    <w:p w:rsidR="004810B5" w:rsidRPr="00D34D09" w:rsidRDefault="004810B5" w:rsidP="004810B5">
      <w:pPr>
        <w:widowControl w:val="0"/>
        <w:spacing w:after="120"/>
        <w:ind w:right="-28"/>
        <w:rPr>
          <w:rFonts w:ascii="Times New Roman" w:hAnsi="Times New Roman"/>
          <w:b/>
          <w:szCs w:val="24"/>
          <w:u w:val="single"/>
          <w:lang w:val="fr-BE"/>
        </w:rPr>
      </w:pPr>
      <w:r w:rsidRPr="00D34D09">
        <w:rPr>
          <w:rFonts w:ascii="Times New Roman" w:hAnsi="Times New Roman"/>
          <w:b/>
          <w:u w:val="single"/>
          <w:lang w:val="fr-BE"/>
        </w:rPr>
        <w:t>Améliorer la surveillance et recueillir de nouvelles données sur les problèmes liés au double niveau de qualité</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ce qui concerne la demande du Parlement européen en faveur d'une meilleure surveillance par le renforcement des capacités de surveillance au sein d'un organe existant de l’Union afin de veiller à ce que des produits apparemment identiques présentent une même composition, il convient de noter que l’Union a déjà engagé un volume important de ressources pour remédier au problème du double niveau de qualité. La Commission estime dès lors qu’il faut en priorité achever le projet du JRC, de manière à mieux appréhender l’ampleur du problème, avant le lancement de nouvelles actions.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Il convient en outre de noter qu'une fois que les modifications législatives proposées dans la «nouvelle donne» seront devenues effectives, les autorités compétentes des États membres seront bien mieux à même de prendre les mesures d’exécution nécessaires. Le centre de connaissances sur la fraude alimentaire et la qualité des denrées alimentaires de la Commission européenne, dont le fonctionnement est assuré par le JRC, pourrait aider davantage les États membres, étant donné que sa mission principale est de recueillir et de consolider les informations concernant les caractéristiques d’authenticité et de qualité des denrées alimentaires et de transmettre des connaissances valables sur le plan scientifique aux institutions européennes et aux autorités compétentes au sein des États membres.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décembre 2017, le Parlement européen a lancé un projet pilote sur «l'évaluation des différences entre les produits dans le marché unique», qui vise à combler les disparités importantes existant dans la connaissance des implications économiques et des effets sur les consommateurs entraînés par la différenciation de la composition de produits alimentaires apparemment identiques.</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Les éléments probants recueillis au cours de ce projet, sur lesquels la Commission devrait faire rapport d’ici à la fin de son mandat, permettront d’éclairer les décideurs politiques et de contribuer ainsi à l’élaboration de solutions politiques optimales dans le domaine de l'alimentation. En outre, ces éléments probants devraient susciter de nouvelles discussions entre les parties prenantes, y compris plus particulièrement les autorités compétentes et les associations de consommateurs, sur la façon de remédier à l'avenir au problème du double niveau de qualité.</w:t>
      </w:r>
    </w:p>
    <w:p w:rsidR="004810B5" w:rsidRPr="00D34D09" w:rsidRDefault="004810B5" w:rsidP="004810B5">
      <w:pPr>
        <w:widowControl w:val="0"/>
        <w:spacing w:after="120"/>
        <w:ind w:right="-28"/>
        <w:rPr>
          <w:rFonts w:ascii="Times New Roman" w:hAnsi="Times New Roman"/>
          <w:szCs w:val="24"/>
          <w:lang w:val="fr-BE"/>
        </w:rPr>
      </w:pPr>
      <w:r w:rsidRPr="00D34D09">
        <w:rPr>
          <w:rFonts w:ascii="Times New Roman" w:hAnsi="Times New Roman"/>
          <w:lang w:val="fr-BE"/>
        </w:rPr>
        <w:t>En ce qui concerne la cartographie des normes nationales et d’autres mesures pertinentes susceptibles de contribuer au double niveau de qualité, la Commission tient à attirer l’attention du Parlement européen sur les travaux du forum à haut niveau sur l'amélioration du fonctionnement de la chaîne d'approvisionnement alimentaire, qui ont relevé la nécessité de renforcer l’accès des consommateurs aux informations utiles sur le marché. Dans son projet de recommandations, le forum étudie la possibilité d’une base de données interactive contenant toutes les informations ayant une incidence sur la commercialisation des produits alimentaires dans les États membres.</w:t>
      </w:r>
    </w:p>
    <w:p w:rsidR="004810B5" w:rsidRDefault="004810B5" w:rsidP="004810B5">
      <w:pPr>
        <w:widowControl w:val="0"/>
        <w:spacing w:after="120"/>
        <w:ind w:right="-28"/>
        <w:rPr>
          <w:rFonts w:ascii="Times New Roman" w:hAnsi="Times New Roman"/>
          <w:lang w:val="fr-BE"/>
        </w:rPr>
      </w:pPr>
      <w:r w:rsidRPr="00D34D09">
        <w:rPr>
          <w:rFonts w:ascii="Times New Roman" w:hAnsi="Times New Roman"/>
          <w:lang w:val="fr-BE"/>
        </w:rPr>
        <w:t>Enfin, la Commission est bien consciente des «contraintes territoriales en matière d’approvisionnement» imposées par les opérateurs privés, qui peuvent limiter les possibilités pour les détaillants de fournir des produits à travers les frontières des États membres, et qui ont un effet négatif sur le marché unique. Dans sa communication «Adapter le commerce de détail de l’UE aux exigences du XXI</w:t>
      </w:r>
      <w:r w:rsidRPr="00D34D09">
        <w:rPr>
          <w:rFonts w:ascii="Times New Roman" w:hAnsi="Times New Roman"/>
          <w:vertAlign w:val="superscript"/>
          <w:lang w:val="fr-BE"/>
        </w:rPr>
        <w:t>e</w:t>
      </w:r>
      <w:r w:rsidRPr="00D34D09">
        <w:rPr>
          <w:rFonts w:ascii="Times New Roman" w:hAnsi="Times New Roman"/>
          <w:lang w:val="fr-BE"/>
        </w:rPr>
        <w:t xml:space="preserve"> siècle» d'avril 2018, la Commission a demandé aux fournisseurs de mettre un terme volontairement à de telles pratiques et a informé qu’elle procéderait à de nouvelles inspections sur les effets qu’ont ces pratiques sur le marché unique. </w:t>
      </w:r>
      <w:r w:rsidRPr="00D34D09">
        <w:rPr>
          <w:rFonts w:ascii="Times New Roman" w:hAnsi="Times New Roman"/>
          <w:lang w:val="fr-BE"/>
        </w:rPr>
        <w:lastRenderedPageBreak/>
        <w:t>Dans leur projet de document de décembre 2017, les experts du sous-groupe «marché intérieur» du forum ont également pointé le problème et ont invité la Commission à évaluer l’incidence de telles pratiques. Il convient de noter que la possibilité de lutter contre ces pratiques en appliquant le droit de la concurrence, comme suggéré par le Parlement européen, est limitée lorsque de telles instructions sont données par des fournisseurs intégrés verticalement à leurs filiales nationales</w:t>
      </w:r>
      <w:r>
        <w:rPr>
          <w:rFonts w:ascii="Times New Roman" w:hAnsi="Times New Roman"/>
          <w:lang w:val="fr-BE"/>
        </w:rPr>
        <w:t>.</w:t>
      </w:r>
    </w:p>
    <w:p w:rsidR="00680EFD" w:rsidRPr="004810B5" w:rsidRDefault="00680EFD" w:rsidP="004810B5">
      <w:pPr>
        <w:rPr>
          <w:lang w:val="fr-BE"/>
        </w:rPr>
      </w:pPr>
    </w:p>
    <w:sectPr w:rsidR="00680EFD" w:rsidRPr="004810B5">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34BB">
      <w:pPr>
        <w:spacing w:after="0"/>
      </w:pPr>
      <w:r>
        <w:separator/>
      </w:r>
    </w:p>
  </w:endnote>
  <w:endnote w:type="continuationSeparator" w:id="0">
    <w:p w:rsidR="00000000" w:rsidRDefault="00443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FB" w:rsidRDefault="004810B5">
    <w:pPr>
      <w:pStyle w:val="Footer"/>
      <w:jc w:val="center"/>
    </w:pPr>
    <w:r>
      <w:fldChar w:fldCharType="begin"/>
    </w:r>
    <w:r>
      <w:instrText xml:space="preserve"> PAGE   \* MERGEFORMAT </w:instrText>
    </w:r>
    <w:r>
      <w:fldChar w:fldCharType="separate"/>
    </w:r>
    <w:r w:rsidR="004434BB">
      <w:rPr>
        <w:noProof/>
      </w:rPr>
      <w:t>1</w:t>
    </w:r>
    <w:r>
      <w:rPr>
        <w:noProof/>
      </w:rPr>
      <w:fldChar w:fldCharType="end"/>
    </w:r>
  </w:p>
  <w:p w:rsidR="000120FB" w:rsidRDefault="00443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FB" w:rsidRDefault="004810B5">
    <w:pPr>
      <w:pStyle w:val="Footer"/>
      <w:jc w:val="center"/>
    </w:pPr>
    <w:r>
      <w:fldChar w:fldCharType="begin"/>
    </w:r>
    <w:r>
      <w:instrText xml:space="preserve"> PAGE   \* MERGEFORMAT </w:instrText>
    </w:r>
    <w:r>
      <w:fldChar w:fldCharType="separate"/>
    </w:r>
    <w:r>
      <w:rPr>
        <w:noProof/>
      </w:rPr>
      <w:t>1</w:t>
    </w:r>
    <w:r>
      <w:rPr>
        <w:noProof/>
      </w:rPr>
      <w:fldChar w:fldCharType="end"/>
    </w:r>
  </w:p>
  <w:p w:rsidR="000120FB" w:rsidRDefault="0044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34BB">
      <w:pPr>
        <w:spacing w:after="0"/>
      </w:pPr>
      <w:r>
        <w:separator/>
      </w:r>
    </w:p>
  </w:footnote>
  <w:footnote w:type="continuationSeparator" w:id="0">
    <w:p w:rsidR="00000000" w:rsidRDefault="00443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3D2"/>
    <w:multiLevelType w:val="hybridMultilevel"/>
    <w:tmpl w:val="EF842186"/>
    <w:lvl w:ilvl="0" w:tplc="8B7C8A76">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B67C75"/>
    <w:multiLevelType w:val="hybridMultilevel"/>
    <w:tmpl w:val="CB60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B5"/>
    <w:rsid w:val="00131AC6"/>
    <w:rsid w:val="004434BB"/>
    <w:rsid w:val="004810B5"/>
    <w:rsid w:val="00680EFD"/>
    <w:rsid w:val="00B34A98"/>
    <w:rsid w:val="00E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5F856-3482-4FC4-82B4-D56ECD4A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0B5"/>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0B5"/>
    <w:pPr>
      <w:spacing w:after="0"/>
      <w:ind w:right="-567"/>
      <w:jc w:val="left"/>
    </w:pPr>
    <w:rPr>
      <w:rFonts w:ascii="Arial" w:hAnsi="Arial"/>
      <w:sz w:val="16"/>
    </w:rPr>
  </w:style>
  <w:style w:type="character" w:customStyle="1" w:styleId="FooterChar">
    <w:name w:val="Footer Char"/>
    <w:basedOn w:val="DefaultParagraphFont"/>
    <w:link w:val="Footer"/>
    <w:uiPriority w:val="99"/>
    <w:rsid w:val="004810B5"/>
    <w:rPr>
      <w:rFonts w:ascii="Arial" w:eastAsia="Times New Roman" w:hAnsi="Arial" w:cs="Times New Roman"/>
      <w:sz w:val="16"/>
      <w:szCs w:val="20"/>
      <w:lang w:eastAsia="en-GB"/>
    </w:rPr>
  </w:style>
  <w:style w:type="paragraph" w:customStyle="1" w:styleId="ZnakZnak">
    <w:name w:val="Znak Znak"/>
    <w:basedOn w:val="Normal"/>
    <w:uiPriority w:val="99"/>
    <w:rsid w:val="004810B5"/>
    <w:pPr>
      <w:spacing w:after="0" w:line="360" w:lineRule="auto"/>
    </w:pPr>
    <w:rPr>
      <w:rFonts w:ascii="Verdana" w:hAnsi="Verdana"/>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parl.europa.eu/meps/fr/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3274</Words>
  <Characters>19027</Characters>
  <Application>Microsoft Office Word</Application>
  <DocSecurity>0</DocSecurity>
  <Lines>279</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2</cp:revision>
  <dcterms:created xsi:type="dcterms:W3CDTF">2019-03-06T13:09:00Z</dcterms:created>
  <dcterms:modified xsi:type="dcterms:W3CDTF">2019-03-11T14:20:00Z</dcterms:modified>
</cp:coreProperties>
</file>