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5C0" w:rsidRPr="00B435C0" w:rsidRDefault="00B435C0" w:rsidP="00B435C0">
      <w:pPr>
        <w:spacing w:after="240"/>
        <w:jc w:val="center"/>
        <w:rPr>
          <w:lang w:val="fr-FR"/>
        </w:rPr>
      </w:pPr>
      <w:r w:rsidRPr="00B435C0">
        <w:rPr>
          <w:b/>
          <w:caps/>
          <w:lang w:val="fr-FR"/>
        </w:rPr>
        <w:t>Procédure</w:t>
      </w:r>
      <w:r w:rsidRPr="00B435C0">
        <w:rPr>
          <w:b/>
          <w:lang w:val="fr-FR"/>
        </w:rPr>
        <w:t xml:space="preserve"> LÉGISLATIVE ORDINAIRE – Première lecture</w:t>
      </w:r>
    </w:p>
    <w:p w:rsidR="00B435C0" w:rsidRPr="00B435C0" w:rsidRDefault="00B435C0" w:rsidP="00B435C0">
      <w:pPr>
        <w:spacing w:after="720"/>
        <w:jc w:val="center"/>
        <w:rPr>
          <w:b/>
          <w:lang w:val="fr-FR"/>
        </w:rPr>
      </w:pPr>
      <w:r w:rsidRPr="00B435C0">
        <w:rPr>
          <w:b/>
          <w:lang w:val="fr-FR"/>
        </w:rPr>
        <w:t>Suite donnée à la résolution législative du Parlement européen sur la proposition de règlement du Parlement européen et du Conseil établissant un plan pluriannuel applicable aux stocks de petits pélagiques de la mer Adriatique et aux pêcheries exploitant ces stocks</w:t>
      </w:r>
    </w:p>
    <w:p w:rsidR="00B435C0" w:rsidRPr="00B435C0" w:rsidRDefault="00B435C0" w:rsidP="00B435C0">
      <w:pPr>
        <w:numPr>
          <w:ilvl w:val="0"/>
          <w:numId w:val="2"/>
        </w:numPr>
        <w:spacing w:after="240"/>
        <w:ind w:left="0" w:firstLine="0"/>
        <w:rPr>
          <w:rFonts w:ascii="inherit" w:hAnsi="inherit" w:cs="Arial"/>
          <w:color w:val="363636"/>
          <w:sz w:val="15"/>
          <w:szCs w:val="15"/>
          <w:lang w:val="fr-FR"/>
        </w:rPr>
      </w:pPr>
      <w:proofErr w:type="spellStart"/>
      <w:r w:rsidRPr="00B435C0">
        <w:rPr>
          <w:b/>
          <w:lang w:val="fr-FR"/>
        </w:rPr>
        <w:t>Rapporteure</w:t>
      </w:r>
      <w:proofErr w:type="spellEnd"/>
      <w:r w:rsidRPr="00B435C0">
        <w:rPr>
          <w:b/>
          <w:lang w:val="fr-FR"/>
        </w:rPr>
        <w:t xml:space="preserve">: </w:t>
      </w:r>
      <w:proofErr w:type="spellStart"/>
      <w:r w:rsidRPr="00B435C0">
        <w:rPr>
          <w:lang w:val="fr-FR"/>
        </w:rPr>
        <w:t>Ruža</w:t>
      </w:r>
      <w:proofErr w:type="spellEnd"/>
      <w:r w:rsidRPr="00B435C0">
        <w:rPr>
          <w:lang w:val="fr-FR"/>
        </w:rPr>
        <w:t xml:space="preserve"> </w:t>
      </w:r>
      <w:proofErr w:type="spellStart"/>
      <w:r w:rsidRPr="00B435C0">
        <w:rPr>
          <w:lang w:val="fr-FR"/>
        </w:rPr>
        <w:t>Tomašić</w:t>
      </w:r>
      <w:proofErr w:type="spellEnd"/>
      <w:r w:rsidRPr="00B435C0">
        <w:rPr>
          <w:lang w:val="fr-FR"/>
        </w:rPr>
        <w:t xml:space="preserve"> (ECR/HR)</w:t>
      </w:r>
    </w:p>
    <w:p w:rsidR="00B435C0" w:rsidRPr="00B435C0" w:rsidRDefault="00B435C0" w:rsidP="00B435C0">
      <w:pPr>
        <w:numPr>
          <w:ilvl w:val="0"/>
          <w:numId w:val="2"/>
        </w:numPr>
        <w:spacing w:after="240"/>
        <w:ind w:left="709" w:hanging="709"/>
        <w:rPr>
          <w:rFonts w:ascii="inherit" w:hAnsi="inherit" w:cs="Arial"/>
          <w:color w:val="363636"/>
          <w:sz w:val="15"/>
          <w:szCs w:val="15"/>
          <w:lang w:val="fr-FR"/>
        </w:rPr>
      </w:pPr>
      <w:r w:rsidRPr="00B435C0">
        <w:rPr>
          <w:b/>
          <w:lang w:val="fr-FR"/>
        </w:rPr>
        <w:t>Numéro de référence: </w:t>
      </w:r>
      <w:r w:rsidRPr="00B435C0">
        <w:rPr>
          <w:lang w:val="fr-FR"/>
        </w:rPr>
        <w:t>2017/0043 (COD) / A8-0337/2018 / P8_TA-</w:t>
      </w:r>
      <w:proofErr w:type="gramStart"/>
      <w:r w:rsidRPr="00B435C0">
        <w:rPr>
          <w:lang w:val="fr-FR"/>
        </w:rPr>
        <w:t>PROV(</w:t>
      </w:r>
      <w:proofErr w:type="gramEnd"/>
      <w:r w:rsidRPr="00B435C0">
        <w:rPr>
          <w:lang w:val="fr-FR"/>
        </w:rPr>
        <w:t>2018)0445</w:t>
      </w:r>
    </w:p>
    <w:p w:rsidR="00B435C0" w:rsidRPr="00B435C0" w:rsidRDefault="00B435C0" w:rsidP="00B435C0">
      <w:pPr>
        <w:spacing w:after="240"/>
        <w:rPr>
          <w:lang w:val="fr-FR"/>
        </w:rPr>
      </w:pPr>
      <w:r w:rsidRPr="00B435C0">
        <w:rPr>
          <w:b/>
          <w:lang w:val="fr-FR"/>
        </w:rPr>
        <w:t>3.</w:t>
      </w:r>
      <w:r w:rsidRPr="00B435C0">
        <w:rPr>
          <w:lang w:val="fr-FR"/>
        </w:rPr>
        <w:tab/>
      </w:r>
      <w:r w:rsidRPr="00B435C0">
        <w:rPr>
          <w:b/>
          <w:lang w:val="fr-FR"/>
        </w:rPr>
        <w:t xml:space="preserve">Date d'adoption de la résolution: </w:t>
      </w:r>
      <w:r w:rsidRPr="00B435C0">
        <w:rPr>
          <w:lang w:val="fr-FR"/>
        </w:rPr>
        <w:t>13 novembre 2018</w:t>
      </w:r>
    </w:p>
    <w:p w:rsidR="00B435C0" w:rsidRPr="00B435C0" w:rsidRDefault="00B435C0" w:rsidP="00B435C0">
      <w:pPr>
        <w:spacing w:after="240"/>
        <w:ind w:left="709" w:hanging="709"/>
        <w:rPr>
          <w:lang w:val="fr-FR"/>
        </w:rPr>
      </w:pPr>
      <w:r w:rsidRPr="00B435C0">
        <w:rPr>
          <w:b/>
          <w:lang w:val="fr-FR"/>
        </w:rPr>
        <w:t>4.</w:t>
      </w:r>
      <w:r w:rsidRPr="00B435C0">
        <w:rPr>
          <w:lang w:val="fr-FR"/>
        </w:rPr>
        <w:tab/>
      </w:r>
      <w:r w:rsidRPr="00B435C0">
        <w:rPr>
          <w:b/>
          <w:lang w:val="fr-FR"/>
        </w:rPr>
        <w:t xml:space="preserve">Base juridique: </w:t>
      </w:r>
      <w:r w:rsidRPr="00B435C0">
        <w:rPr>
          <w:lang w:val="fr-FR"/>
        </w:rPr>
        <w:t>article 43, paragraphe 2,</w:t>
      </w:r>
      <w:r w:rsidRPr="00B435C0">
        <w:rPr>
          <w:b/>
          <w:lang w:val="fr-FR"/>
        </w:rPr>
        <w:t xml:space="preserve"> </w:t>
      </w:r>
      <w:r w:rsidRPr="00B435C0">
        <w:rPr>
          <w:lang w:val="fr-FR"/>
        </w:rPr>
        <w:t>du traité sur le fonctionnement de l’Union européenne</w:t>
      </w:r>
    </w:p>
    <w:p w:rsidR="00B435C0" w:rsidRPr="00B435C0" w:rsidRDefault="00B435C0" w:rsidP="00B435C0">
      <w:pPr>
        <w:spacing w:after="240"/>
        <w:rPr>
          <w:lang w:val="fr-FR"/>
        </w:rPr>
      </w:pPr>
      <w:r w:rsidRPr="00B435C0">
        <w:rPr>
          <w:b/>
          <w:lang w:val="fr-FR"/>
        </w:rPr>
        <w:t>5.</w:t>
      </w:r>
      <w:r w:rsidRPr="00B435C0">
        <w:rPr>
          <w:lang w:val="fr-FR"/>
        </w:rPr>
        <w:tab/>
      </w:r>
      <w:r w:rsidRPr="00B435C0">
        <w:rPr>
          <w:b/>
          <w:lang w:val="fr-FR"/>
        </w:rPr>
        <w:t xml:space="preserve">Commission parlementaire compétente: </w:t>
      </w:r>
      <w:r w:rsidRPr="00B435C0">
        <w:rPr>
          <w:lang w:val="fr-FR"/>
        </w:rPr>
        <w:t>commission de la</w:t>
      </w:r>
      <w:r w:rsidRPr="00B435C0">
        <w:rPr>
          <w:b/>
          <w:lang w:val="fr-FR"/>
        </w:rPr>
        <w:t xml:space="preserve"> </w:t>
      </w:r>
      <w:r w:rsidRPr="00B435C0">
        <w:rPr>
          <w:lang w:val="fr-FR"/>
        </w:rPr>
        <w:t>pêche (PECH)</w:t>
      </w:r>
    </w:p>
    <w:p w:rsidR="00B435C0" w:rsidRPr="00B435C0" w:rsidRDefault="00B435C0" w:rsidP="00B435C0">
      <w:pPr>
        <w:spacing w:after="240"/>
        <w:rPr>
          <w:b/>
          <w:lang w:val="fr-FR"/>
        </w:rPr>
      </w:pPr>
      <w:r w:rsidRPr="00B435C0">
        <w:rPr>
          <w:b/>
          <w:lang w:val="fr-FR"/>
        </w:rPr>
        <w:t>6.</w:t>
      </w:r>
      <w:r w:rsidRPr="00B435C0">
        <w:rPr>
          <w:lang w:val="fr-FR"/>
        </w:rPr>
        <w:tab/>
      </w:r>
      <w:r w:rsidRPr="00B435C0">
        <w:rPr>
          <w:b/>
          <w:lang w:val="fr-FR"/>
        </w:rPr>
        <w:t>Position de la Commission:</w:t>
      </w:r>
    </w:p>
    <w:p w:rsidR="00B435C0" w:rsidRPr="00B435C0" w:rsidRDefault="00B435C0" w:rsidP="00B435C0">
      <w:pPr>
        <w:spacing w:after="120"/>
        <w:rPr>
          <w:lang w:val="fr-FR"/>
        </w:rPr>
      </w:pPr>
      <w:r w:rsidRPr="00B435C0">
        <w:rPr>
          <w:lang w:val="fr-FR"/>
        </w:rPr>
        <w:t>La proposition de la Commission applique le règlement de base relatif à la politique commune de la pêche</w:t>
      </w:r>
      <w:r>
        <w:rPr>
          <w:rStyle w:val="FootnoteReference"/>
        </w:rPr>
        <w:footnoteReference w:id="1"/>
      </w:r>
      <w:r w:rsidRPr="00B435C0">
        <w:rPr>
          <w:lang w:val="fr-FR"/>
        </w:rPr>
        <w:t xml:space="preserve"> aux stocks de petits pélagiques de la mer Adriatique et aux pêcheries exploitant ces stocks et prévoit une gestion des pêches adaptée aux objectifs poursuivis, au moyen de la régionalisation. Elle vise principalement à aider la gestion des pêcheries en se conformant au principe du rendement maximal durable (RMD), en favorisant les mesures de conservation régionalisées et en permettant la mise en œuvre de l’obligation de débarquement de toutes les captures.</w:t>
      </w:r>
    </w:p>
    <w:p w:rsidR="00B435C0" w:rsidRPr="00B435C0" w:rsidRDefault="00B435C0" w:rsidP="00B435C0">
      <w:pPr>
        <w:spacing w:after="120"/>
        <w:rPr>
          <w:lang w:val="fr-FR"/>
        </w:rPr>
      </w:pPr>
      <w:r w:rsidRPr="00B435C0">
        <w:rPr>
          <w:lang w:val="fr-FR"/>
        </w:rPr>
        <w:t>La Commission ne peut accepter la majorité des amendements adoptés par le Parlement européen, car ils représentent une détérioration des principes de la politique commune de la pêche (PCP), ne sont pas conformes aux obligations internationales et sont susceptibles d’avoir une incidence négative sur le tissu socioéconomique des pêcheries de la région, étant donné que les mesures proposées ne sont pas conformes aux conseils scientifiques et ne pourront efficacement prévenir un possible effondrement des stocks de sardines et d’anchois.</w:t>
      </w:r>
    </w:p>
    <w:p w:rsidR="00B435C0" w:rsidRPr="00B435C0" w:rsidRDefault="00B435C0" w:rsidP="00B435C0">
      <w:pPr>
        <w:spacing w:after="120"/>
        <w:rPr>
          <w:lang w:val="fr-FR"/>
        </w:rPr>
      </w:pPr>
      <w:r w:rsidRPr="00B435C0">
        <w:rPr>
          <w:lang w:val="fr-FR"/>
        </w:rPr>
        <w:t>Ces amendements sont en outre incompatibles avec l’approche adoptée pour d’autres plans pluriannuels et ne peuvent dès lors pas être acceptés par la Commission.</w:t>
      </w:r>
    </w:p>
    <w:p w:rsidR="00B435C0" w:rsidRPr="00B435C0" w:rsidRDefault="00B435C0" w:rsidP="00B435C0">
      <w:pPr>
        <w:spacing w:after="120"/>
        <w:rPr>
          <w:lang w:val="fr-FR"/>
        </w:rPr>
      </w:pPr>
      <w:r w:rsidRPr="00B435C0">
        <w:rPr>
          <w:lang w:val="fr-FR"/>
        </w:rPr>
        <w:t xml:space="preserve">En plus des grands problèmes soulignés ci-dessus, il existe aussi un certain nombre d’amendements problématiques susceptibles de ménager des dérogations aux possibilités de soutien du Fonds européen pour les affaires maritimes et la pêche (FEAMP) en vigueur en étendant la possibilité d’octroyer des arrêts temporaires et d’accroître la contribution financière totale à cette mesure et en autorisant l’octroi d’arrêts définitifs jusqu’à la fin de 2020. </w:t>
      </w:r>
    </w:p>
    <w:p w:rsidR="00B435C0" w:rsidRPr="00B435C0" w:rsidRDefault="00B435C0" w:rsidP="00B435C0">
      <w:pPr>
        <w:spacing w:after="120"/>
        <w:rPr>
          <w:b/>
          <w:lang w:val="fr-FR"/>
        </w:rPr>
      </w:pPr>
      <w:r w:rsidRPr="00B435C0">
        <w:rPr>
          <w:lang w:val="fr-FR"/>
        </w:rPr>
        <w:t>La Commission pourrait marquer son accord de principe sur</w:t>
      </w:r>
      <w:r w:rsidRPr="00B435C0">
        <w:rPr>
          <w:color w:val="1F497D"/>
          <w:lang w:val="fr-FR"/>
        </w:rPr>
        <w:t xml:space="preserve"> </w:t>
      </w:r>
      <w:r w:rsidRPr="00B435C0">
        <w:rPr>
          <w:lang w:val="fr-FR"/>
        </w:rPr>
        <w:t>18 amendements:</w:t>
      </w:r>
    </w:p>
    <w:p w:rsidR="00B435C0" w:rsidRPr="00B435C0" w:rsidRDefault="00B435C0" w:rsidP="00B435C0">
      <w:pPr>
        <w:spacing w:after="120"/>
        <w:ind w:left="426"/>
        <w:rPr>
          <w:shd w:val="clear" w:color="auto" w:fill="FFFFFF"/>
          <w:lang w:val="fr-FR"/>
        </w:rPr>
      </w:pPr>
      <w:r w:rsidRPr="00B435C0">
        <w:rPr>
          <w:b/>
          <w:lang w:val="fr-FR"/>
        </w:rPr>
        <w:lastRenderedPageBreak/>
        <w:t>amendements 1, 2, 3, 4, 5, 9, 10, 11, 13, 16, 18, 23, 45, 50, 58, 59, 74 et 99.</w:t>
      </w:r>
      <w:r w:rsidRPr="00B435C0">
        <w:rPr>
          <w:lang w:val="fr-FR"/>
        </w:rPr>
        <w:t xml:space="preserve"> Il y a cependant lieu de noter que les amendements aux considérants </w:t>
      </w:r>
      <w:r w:rsidRPr="00B435C0">
        <w:rPr>
          <w:b/>
          <w:lang w:val="fr-FR"/>
        </w:rPr>
        <w:t>2, 11, 13, 18, 23 et 99</w:t>
      </w:r>
      <w:r w:rsidRPr="00B435C0">
        <w:rPr>
          <w:lang w:val="fr-FR"/>
        </w:rPr>
        <w:t xml:space="preserve"> ne correspondent pas à ce qui est proposé dans les amendements aux articles correspondants et un alignement du contenu des articles sera nécessaire ultérieurement pour en tenir compte.</w:t>
      </w:r>
    </w:p>
    <w:p w:rsidR="00B435C0" w:rsidRPr="00B435C0" w:rsidRDefault="00B435C0" w:rsidP="00B435C0">
      <w:pPr>
        <w:spacing w:after="120"/>
        <w:rPr>
          <w:b/>
          <w:lang w:val="fr-FR"/>
        </w:rPr>
      </w:pPr>
      <w:proofErr w:type="gramStart"/>
      <w:r w:rsidRPr="00B435C0">
        <w:rPr>
          <w:lang w:val="fr-FR"/>
        </w:rPr>
        <w:t>la</w:t>
      </w:r>
      <w:proofErr w:type="gramEnd"/>
      <w:r w:rsidRPr="00B435C0">
        <w:rPr>
          <w:lang w:val="fr-FR"/>
        </w:rPr>
        <w:t xml:space="preserve"> Commission pourrait, en principe, accepter huit amendements, sous réserve de quelques ajustements.</w:t>
      </w:r>
    </w:p>
    <w:p w:rsidR="00B435C0" w:rsidRPr="00B435C0" w:rsidRDefault="00B435C0" w:rsidP="00B435C0">
      <w:pPr>
        <w:spacing w:after="120"/>
        <w:ind w:left="426"/>
        <w:rPr>
          <w:shd w:val="clear" w:color="auto" w:fill="FFFFFF"/>
          <w:lang w:val="fr-FR"/>
        </w:rPr>
      </w:pPr>
      <w:r w:rsidRPr="00B435C0">
        <w:rPr>
          <w:b/>
          <w:shd w:val="clear" w:color="auto" w:fill="FFFFFF"/>
          <w:lang w:val="fr-FR"/>
        </w:rPr>
        <w:t xml:space="preserve">Amendements 6, 12, 14, 25, 26, 49, 57 et 104: </w:t>
      </w:r>
      <w:r w:rsidRPr="00B435C0">
        <w:rPr>
          <w:lang w:val="fr-FR"/>
        </w:rPr>
        <w:t>La Commission juge ces amendements acceptables en principe, pour peu qu’ils soient reformulés</w:t>
      </w:r>
      <w:r w:rsidRPr="00B435C0">
        <w:rPr>
          <w:b/>
          <w:shd w:val="clear" w:color="auto" w:fill="FFFFFF"/>
          <w:lang w:val="fr-FR"/>
        </w:rPr>
        <w:t xml:space="preserve">. </w:t>
      </w:r>
      <w:r w:rsidRPr="00B435C0">
        <w:rPr>
          <w:lang w:val="fr-FR"/>
        </w:rPr>
        <w:t>La Commission accepterait en principe les amendements 6 (afin de tenir compte des mesures de gestion déjà en place), 12 (précisant le contenu des plans pluriannuels), 14 (clarifiant le fait que ce plan pluriannuel n’établit pas de précédent), 15 (soulignant le besoin de compromis) et 26 (englobant des mesures temporelles et spatiales). L’amendement 49 pourrait être accepté après avoir été reformulé. L’insertion des activités de pêche récréative (amendements 25 et 57) est en principe conforme à l’approche adoptée dans le plan pluriannuel «mer du Nord» (article 10, paragraphe 4) et pourrait être acceptable, en principe. La Commission pourrait accepter en principe des amendements introduisant le concept de meilleurs avis scientifiques disponible s’ils étaient conformes à d’autres propositions (amendement°104).</w:t>
      </w:r>
    </w:p>
    <w:p w:rsidR="00B435C0" w:rsidRPr="00B435C0" w:rsidRDefault="00B435C0" w:rsidP="00B435C0">
      <w:pPr>
        <w:spacing w:after="120"/>
        <w:rPr>
          <w:lang w:val="fr-FR"/>
        </w:rPr>
      </w:pPr>
      <w:r w:rsidRPr="00B435C0">
        <w:rPr>
          <w:lang w:val="fr-FR"/>
        </w:rPr>
        <w:t>Globalement, la Commission ne peut accepter la majorité des 77</w:t>
      </w:r>
      <w:r w:rsidRPr="00B435C0">
        <w:rPr>
          <w:b/>
          <w:lang w:val="fr-FR"/>
        </w:rPr>
        <w:t> </w:t>
      </w:r>
      <w:r w:rsidRPr="00B435C0">
        <w:rPr>
          <w:lang w:val="fr-FR"/>
        </w:rPr>
        <w:t>amendements du Parlement. Ces amendements sont groupés autour de huit thèmes, certains amendements relevant de différents thèmes:</w:t>
      </w:r>
    </w:p>
    <w:p w:rsidR="00B435C0" w:rsidRPr="00B435C0" w:rsidRDefault="00B435C0" w:rsidP="00B435C0">
      <w:pPr>
        <w:numPr>
          <w:ilvl w:val="0"/>
          <w:numId w:val="1"/>
        </w:numPr>
        <w:spacing w:after="120"/>
        <w:ind w:left="426" w:hanging="426"/>
        <w:rPr>
          <w:shd w:val="clear" w:color="auto" w:fill="FFFFFF"/>
          <w:lang w:val="fr-FR"/>
        </w:rPr>
      </w:pPr>
      <w:r w:rsidRPr="00B435C0">
        <w:rPr>
          <w:b/>
          <w:u w:val="single"/>
          <w:shd w:val="clear" w:color="auto" w:fill="FFFFFF"/>
          <w:lang w:val="fr-FR"/>
        </w:rPr>
        <w:t>Amendements 15, 19, 20, 21, 22, 27, 32, 39, 41,42, 43, 47, 48, 51, 53, 54, 55, 61, 62, 84, 86 et 87</w:t>
      </w:r>
      <w:r w:rsidRPr="00B435C0">
        <w:rPr>
          <w:b/>
          <w:shd w:val="clear" w:color="auto" w:fill="FFFFFF"/>
          <w:lang w:val="fr-FR"/>
        </w:rPr>
        <w:t>:</w:t>
      </w:r>
      <w:r w:rsidRPr="00B435C0">
        <w:rPr>
          <w:lang w:val="fr-FR"/>
        </w:rPr>
        <w:t xml:space="preserve"> la Commission ne peut accepter ces amendements, car ils ne sont pas conformes aux objectifs et principes de base de la politique commune de la pêche (PCP), en particulier au concept de rendement maximal durable (RMD). Ils sont en outre incompatibles avec l’approche adoptée pour d’autres plans pluriannuels et affaiblissent les dispositions relatives à l’obligation de débarquement, qui n’est pas non plus conforme à la PCP. La possibilité d’appliquer des mesures de conservation pour les «stocks capturés comme prises accessoires» est supprimée, ce qui n’est pas compatible avec d’autres plans pluriannuels déjà en vigueur.</w:t>
      </w:r>
    </w:p>
    <w:p w:rsidR="00B435C0" w:rsidRPr="00B435C0" w:rsidRDefault="00B435C0" w:rsidP="00B435C0">
      <w:pPr>
        <w:numPr>
          <w:ilvl w:val="0"/>
          <w:numId w:val="1"/>
        </w:numPr>
        <w:spacing w:after="120"/>
        <w:ind w:left="426" w:hanging="426"/>
        <w:rPr>
          <w:shd w:val="clear" w:color="auto" w:fill="FFFFFF"/>
          <w:lang w:val="fr-FR"/>
        </w:rPr>
      </w:pPr>
      <w:r w:rsidRPr="00B435C0">
        <w:rPr>
          <w:b/>
          <w:u w:val="single"/>
          <w:shd w:val="clear" w:color="auto" w:fill="FFFFFF"/>
          <w:lang w:val="fr-FR"/>
        </w:rPr>
        <w:t>Amendements 7, 8, 17, 35, 38 et 56</w:t>
      </w:r>
      <w:r w:rsidRPr="00B435C0">
        <w:rPr>
          <w:b/>
          <w:shd w:val="clear" w:color="auto" w:fill="FFFFFF"/>
          <w:lang w:val="fr-FR"/>
        </w:rPr>
        <w:t>:</w:t>
      </w:r>
      <w:r w:rsidRPr="00B435C0">
        <w:rPr>
          <w:lang w:val="fr-FR"/>
        </w:rPr>
        <w:t xml:space="preserve"> la Commission n’est pas d’accord avec le retrait de la possibilité de fixer des possibilités de pêche, de gérer les stocks conjointement et de se baser sur un régime de gestion de l’effort, cela n’étant pas compatible avec les conseils scientifiques.</w:t>
      </w:r>
    </w:p>
    <w:p w:rsidR="00B435C0" w:rsidRPr="00B435C0" w:rsidRDefault="00B435C0" w:rsidP="00B435C0">
      <w:pPr>
        <w:numPr>
          <w:ilvl w:val="0"/>
          <w:numId w:val="1"/>
        </w:numPr>
        <w:spacing w:after="120"/>
        <w:ind w:left="426" w:hanging="426"/>
        <w:rPr>
          <w:shd w:val="clear" w:color="auto" w:fill="FFFFFF"/>
          <w:lang w:val="fr-FR"/>
        </w:rPr>
      </w:pPr>
      <w:r w:rsidRPr="00B435C0">
        <w:rPr>
          <w:b/>
          <w:u w:val="single"/>
          <w:shd w:val="clear" w:color="auto" w:fill="FFFFFF"/>
          <w:lang w:val="fr-FR"/>
        </w:rPr>
        <w:t>Amendements 31, 33, 35, 37, 38, 52, 60, 71 et 80</w:t>
      </w:r>
      <w:r w:rsidRPr="00B435C0">
        <w:rPr>
          <w:lang w:val="fr-FR"/>
        </w:rPr>
        <w:t>: la Commission ne peut accepter ces amendements, car les changements proposés ne sont pas conformes aux conseils scientifiques.</w:t>
      </w:r>
    </w:p>
    <w:p w:rsidR="00B435C0" w:rsidRPr="00B435C0" w:rsidRDefault="00B435C0" w:rsidP="00B435C0">
      <w:pPr>
        <w:numPr>
          <w:ilvl w:val="0"/>
          <w:numId w:val="1"/>
        </w:numPr>
        <w:spacing w:after="120"/>
        <w:ind w:left="426" w:hanging="426"/>
        <w:rPr>
          <w:b/>
          <w:u w:val="single"/>
          <w:shd w:val="clear" w:color="auto" w:fill="FFFFFF"/>
          <w:lang w:val="fr-FR"/>
        </w:rPr>
      </w:pPr>
      <w:r w:rsidRPr="00B435C0">
        <w:rPr>
          <w:b/>
          <w:u w:val="single"/>
          <w:shd w:val="clear" w:color="auto" w:fill="FFFFFF"/>
          <w:lang w:val="fr-FR"/>
        </w:rPr>
        <w:t>Amendement 70</w:t>
      </w:r>
      <w:r w:rsidRPr="00B435C0">
        <w:rPr>
          <w:b/>
          <w:shd w:val="clear" w:color="auto" w:fill="FFFFFF"/>
          <w:lang w:val="fr-FR"/>
        </w:rPr>
        <w:t>:</w:t>
      </w:r>
      <w:r w:rsidRPr="00B435C0">
        <w:rPr>
          <w:lang w:val="fr-FR"/>
        </w:rPr>
        <w:t xml:space="preserve"> la Commission ne peut accepter l’amendement visant à limiter les niveaux de capture à un total inférieur de plus de 2 % au niveau de capture de 2014 avec une limite de capture combinée, cela n’étant pas conforme aux conseils scientifiques et ne permettant pas d’atteindre les objectifs de la PCP.</w:t>
      </w:r>
    </w:p>
    <w:p w:rsidR="00B435C0" w:rsidRPr="00B435C0" w:rsidRDefault="00B435C0" w:rsidP="00B435C0">
      <w:pPr>
        <w:numPr>
          <w:ilvl w:val="0"/>
          <w:numId w:val="1"/>
        </w:numPr>
        <w:spacing w:after="120"/>
        <w:ind w:left="426" w:hanging="426"/>
        <w:rPr>
          <w:shd w:val="clear" w:color="auto" w:fill="FFFFFF"/>
          <w:lang w:val="fr-FR"/>
        </w:rPr>
      </w:pPr>
      <w:r w:rsidRPr="00B435C0">
        <w:rPr>
          <w:b/>
          <w:u w:val="single"/>
          <w:shd w:val="clear" w:color="auto" w:fill="FFFFFF"/>
          <w:lang w:val="fr-FR"/>
        </w:rPr>
        <w:t>Amendements 21, 63, 73, 75 et 81</w:t>
      </w:r>
      <w:r w:rsidRPr="00B435C0">
        <w:rPr>
          <w:b/>
          <w:shd w:val="clear" w:color="auto" w:fill="FFFFFF"/>
          <w:lang w:val="fr-FR"/>
        </w:rPr>
        <w:t xml:space="preserve">: </w:t>
      </w:r>
      <w:r w:rsidRPr="00B435C0">
        <w:rPr>
          <w:lang w:val="fr-FR"/>
        </w:rPr>
        <w:t>la Commission ne peut accepter des amendements limitant les pouvoirs délégués, notamment lorsque le volume des stocks est en dehors des limites biologiques sûres ou supprimant la possibilité de modifier des mesures techniques, car cela limiterait sensiblement la possibilité de prendre des mesures correctives.</w:t>
      </w:r>
    </w:p>
    <w:p w:rsidR="00B435C0" w:rsidRPr="00B435C0" w:rsidRDefault="00B435C0" w:rsidP="00B435C0">
      <w:pPr>
        <w:numPr>
          <w:ilvl w:val="0"/>
          <w:numId w:val="1"/>
        </w:numPr>
        <w:spacing w:after="120"/>
        <w:ind w:left="426" w:hanging="426"/>
        <w:rPr>
          <w:shd w:val="clear" w:color="auto" w:fill="FFFFFF"/>
          <w:lang w:val="fr-FR"/>
        </w:rPr>
      </w:pPr>
      <w:r w:rsidRPr="00B435C0">
        <w:rPr>
          <w:b/>
          <w:u w:val="single"/>
          <w:shd w:val="clear" w:color="auto" w:fill="FFFFFF"/>
          <w:lang w:val="fr-FR"/>
        </w:rPr>
        <w:lastRenderedPageBreak/>
        <w:t>Amendements 24 et 72</w:t>
      </w:r>
      <w:r w:rsidRPr="00B435C0">
        <w:rPr>
          <w:b/>
          <w:shd w:val="clear" w:color="auto" w:fill="FFFFFF"/>
          <w:lang w:val="fr-FR"/>
        </w:rPr>
        <w:t>:</w:t>
      </w:r>
      <w:r w:rsidRPr="00B435C0">
        <w:rPr>
          <w:lang w:val="fr-FR"/>
        </w:rPr>
        <w:t xml:space="preserve"> la Commission ne peut accepter des amendements fixant des dérogations permanentes aux mesures techniques du règlement Méditerranée [(CE) n° 1967/2006] et à la longueur maximale des filets tournants.</w:t>
      </w:r>
    </w:p>
    <w:p w:rsidR="00B435C0" w:rsidRPr="00B435C0" w:rsidRDefault="00B435C0" w:rsidP="00B435C0">
      <w:pPr>
        <w:numPr>
          <w:ilvl w:val="0"/>
          <w:numId w:val="1"/>
        </w:numPr>
        <w:spacing w:after="120"/>
        <w:ind w:left="426" w:hanging="426"/>
        <w:rPr>
          <w:shd w:val="clear" w:color="auto" w:fill="FFFFFF"/>
          <w:lang w:val="fr-FR"/>
        </w:rPr>
      </w:pPr>
      <w:r w:rsidRPr="00B435C0">
        <w:rPr>
          <w:b/>
          <w:u w:val="single"/>
          <w:shd w:val="clear" w:color="auto" w:fill="FFFFFF"/>
          <w:lang w:val="fr-FR"/>
        </w:rPr>
        <w:t>Amendements 28, 29, 34 et 82</w:t>
      </w:r>
      <w:r w:rsidRPr="00B435C0">
        <w:rPr>
          <w:b/>
          <w:shd w:val="clear" w:color="auto" w:fill="FFFFFF"/>
          <w:lang w:val="fr-FR"/>
        </w:rPr>
        <w:t>:</w:t>
      </w:r>
      <w:r w:rsidRPr="00B435C0">
        <w:rPr>
          <w:lang w:val="fr-FR"/>
        </w:rPr>
        <w:t xml:space="preserve"> la Commission ne peut accepter de dérogations au Fonds européen pour les affaires maritimes et la pêche.</w:t>
      </w:r>
    </w:p>
    <w:p w:rsidR="00B435C0" w:rsidRPr="00B435C0" w:rsidRDefault="00B435C0" w:rsidP="00B435C0">
      <w:pPr>
        <w:numPr>
          <w:ilvl w:val="0"/>
          <w:numId w:val="1"/>
        </w:numPr>
        <w:spacing w:after="120"/>
        <w:ind w:left="426" w:hanging="426"/>
        <w:rPr>
          <w:lang w:val="fr-FR"/>
        </w:rPr>
      </w:pPr>
      <w:r w:rsidRPr="00B435C0">
        <w:rPr>
          <w:b/>
          <w:u w:val="single"/>
          <w:shd w:val="clear" w:color="auto" w:fill="FFFFFF"/>
          <w:lang w:val="fr-FR"/>
        </w:rPr>
        <w:t>Amendements 30, 32, 40, 76, 77, 78 et 81</w:t>
      </w:r>
      <w:r w:rsidRPr="00B435C0">
        <w:rPr>
          <w:b/>
          <w:shd w:val="clear" w:color="auto" w:fill="FFFFFF"/>
          <w:lang w:val="fr-FR"/>
        </w:rPr>
        <w:t xml:space="preserve">: </w:t>
      </w:r>
      <w:r w:rsidRPr="00B435C0">
        <w:rPr>
          <w:lang w:val="fr-FR"/>
        </w:rPr>
        <w:t>la Commission ne peut accepter des amendements dérogeant au règlement relatif au régime de contrôle au moment de la notification préalable avant débarquement, qu’aux seuils pour le débarquement dans les ports désignés.</w:t>
      </w:r>
    </w:p>
    <w:p w:rsidR="008765BE" w:rsidRPr="00B435C0" w:rsidRDefault="00B435C0" w:rsidP="00B435C0">
      <w:pPr>
        <w:rPr>
          <w:lang w:val="fr-FR"/>
        </w:rPr>
      </w:pPr>
      <w:r w:rsidRPr="00B435C0">
        <w:rPr>
          <w:lang w:val="fr-FR"/>
        </w:rPr>
        <w:t>La Commission veillera aussi tout particulièrement à assurer la cohérence avec les plans pluriannuels précédemment adoptés.</w:t>
      </w:r>
      <w:r w:rsidRPr="00B435C0">
        <w:rPr>
          <w:lang w:val="fr-FR"/>
        </w:rPr>
        <w:br w:type="page"/>
      </w:r>
      <w:bookmarkStart w:id="0" w:name="_GoBack"/>
      <w:bookmarkEnd w:id="0"/>
    </w:p>
    <w:sectPr w:rsidR="008765BE" w:rsidRPr="00B435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5C0" w:rsidRDefault="00B435C0" w:rsidP="00B435C0">
      <w:r>
        <w:separator/>
      </w:r>
    </w:p>
  </w:endnote>
  <w:endnote w:type="continuationSeparator" w:id="0">
    <w:p w:rsidR="00B435C0" w:rsidRDefault="00B435C0" w:rsidP="00B4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5C0" w:rsidRDefault="00B435C0" w:rsidP="00B435C0">
      <w:r>
        <w:separator/>
      </w:r>
    </w:p>
  </w:footnote>
  <w:footnote w:type="continuationSeparator" w:id="0">
    <w:p w:rsidR="00B435C0" w:rsidRDefault="00B435C0" w:rsidP="00B435C0">
      <w:r>
        <w:continuationSeparator/>
      </w:r>
    </w:p>
  </w:footnote>
  <w:footnote w:id="1">
    <w:p w:rsidR="00B435C0" w:rsidRPr="008749FF" w:rsidRDefault="00B435C0" w:rsidP="00B435C0">
      <w:pPr>
        <w:pStyle w:val="FootnoteText"/>
        <w:spacing w:after="120"/>
        <w:ind w:left="0" w:firstLine="0"/>
        <w:rPr>
          <w:lang w:val="fr-BE"/>
        </w:rPr>
      </w:pPr>
      <w:r>
        <w:rPr>
          <w:rStyle w:val="FootnoteReference"/>
        </w:rPr>
        <w:footnoteRef/>
      </w:r>
      <w:r>
        <w:t xml:space="preserve"> Règlement (UE) nº 1380/2013 du Parlement européen et du Conseil du 11 décembre 2013 relatif à la politique commune de la pêche, modifiant les règlements (CE) nº 1954/2003 et (CE) nº 1224/2009 du Conseil et abrogeant les règlements (CE) nº 2371/2002 et (CE) nº 639/2004 du Conseil et la décision 2004/585/CE du Conseil (JO L 354 du 28.12.2013, p.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5C0"/>
    <w:rsid w:val="005762E3"/>
    <w:rsid w:val="008765BE"/>
    <w:rsid w:val="00B43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C54DF-0DC6-4B2F-906F-906D8EDC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qFormat/>
    <w:rsid w:val="00B435C0"/>
    <w:pPr>
      <w:spacing w:after="240"/>
      <w:ind w:left="357" w:hanging="357"/>
    </w:pPr>
    <w:rPr>
      <w:rFonts w:eastAsia="Times New Roman"/>
      <w:sz w:val="20"/>
      <w:szCs w:val="20"/>
      <w:lang w:val="fr-FR" w:eastAsia="fr-FR" w:bidi="fr-FR"/>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rsid w:val="00B435C0"/>
    <w:rPr>
      <w:rFonts w:ascii="Times New Roman" w:eastAsia="Times New Roman" w:hAnsi="Times New Roman"/>
      <w:sz w:val="20"/>
      <w:szCs w:val="20"/>
      <w:lang w:val="fr-FR" w:eastAsia="fr-FR" w:bidi="fr-FR"/>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B435C0"/>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B435C0"/>
    <w:pPr>
      <w:spacing w:after="160" w:line="240" w:lineRule="exact"/>
      <w:jc w:val="left"/>
    </w:pPr>
    <w:rPr>
      <w:rFonts w:asciiTheme="minorHAnsi" w:hAnsiTheme="minorHAns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5680</Characters>
  <Application>Microsoft Office Word</Application>
  <DocSecurity>0</DocSecurity>
  <Lines>47</Lines>
  <Paragraphs>13</Paragraphs>
  <ScaleCrop>false</ScaleCrop>
  <Company>European Parliament</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BALAJKOVA Tatiana</dc:creator>
  <cp:keywords/>
  <dc:description/>
  <cp:lastModifiedBy>BALAJKOVA Tatiana</cp:lastModifiedBy>
  <cp:revision>1</cp:revision>
  <dcterms:created xsi:type="dcterms:W3CDTF">2019-02-12T15:09:00Z</dcterms:created>
  <dcterms:modified xsi:type="dcterms:W3CDTF">2019-02-12T15:13:00Z</dcterms:modified>
</cp:coreProperties>
</file>