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15" w:rsidRDefault="00500315" w:rsidP="00500315">
      <w:pPr>
        <w:pStyle w:val="Default"/>
        <w:rPr>
          <w:b/>
          <w:bCs/>
          <w:sz w:val="23"/>
          <w:szCs w:val="23"/>
          <w:lang w:val="fr-FR"/>
        </w:rPr>
      </w:pPr>
      <w:r w:rsidRPr="00500315">
        <w:rPr>
          <w:b/>
          <w:bCs/>
          <w:sz w:val="23"/>
          <w:szCs w:val="23"/>
          <w:lang w:val="fr-FR"/>
        </w:rPr>
        <w:t xml:space="preserve">PROCEDURE LÉGISLATIVE ORDINAIRE – Première lecture </w:t>
      </w:r>
    </w:p>
    <w:p w:rsidR="00500315" w:rsidRPr="00500315" w:rsidRDefault="00500315" w:rsidP="00500315">
      <w:pPr>
        <w:pStyle w:val="Default"/>
        <w:rPr>
          <w:sz w:val="23"/>
          <w:szCs w:val="23"/>
          <w:lang w:val="fr-FR"/>
        </w:rPr>
      </w:pPr>
    </w:p>
    <w:p w:rsidR="00500315" w:rsidRDefault="00500315" w:rsidP="00500315">
      <w:pPr>
        <w:pStyle w:val="Default"/>
        <w:rPr>
          <w:b/>
          <w:bCs/>
          <w:sz w:val="23"/>
          <w:szCs w:val="23"/>
          <w:lang w:val="fr-FR"/>
        </w:rPr>
      </w:pPr>
      <w:r w:rsidRPr="00500315">
        <w:rPr>
          <w:b/>
          <w:bCs/>
          <w:sz w:val="23"/>
          <w:szCs w:val="23"/>
          <w:lang w:val="fr-FR"/>
        </w:rPr>
        <w:t xml:space="preserve">Suite donnée à la résolution législative du Parlement européen sur la proposition de règlement du Parlement européen et du Conseil 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 </w:t>
      </w:r>
    </w:p>
    <w:p w:rsidR="00500315" w:rsidRPr="00500315" w:rsidRDefault="00500315" w:rsidP="00500315">
      <w:pPr>
        <w:pStyle w:val="Default"/>
        <w:rPr>
          <w:sz w:val="23"/>
          <w:szCs w:val="23"/>
          <w:lang w:val="fr-FR"/>
        </w:rPr>
      </w:pPr>
      <w:bookmarkStart w:id="0" w:name="_GoBack"/>
      <w:bookmarkEnd w:id="0"/>
    </w:p>
    <w:p w:rsidR="00500315" w:rsidRPr="00500315" w:rsidRDefault="00500315" w:rsidP="00500315">
      <w:pPr>
        <w:pStyle w:val="Default"/>
        <w:rPr>
          <w:sz w:val="23"/>
          <w:szCs w:val="23"/>
          <w:lang w:val="it-IT"/>
        </w:rPr>
      </w:pPr>
      <w:r w:rsidRPr="00500315">
        <w:rPr>
          <w:b/>
          <w:bCs/>
          <w:sz w:val="23"/>
          <w:szCs w:val="23"/>
          <w:lang w:val="it-IT"/>
        </w:rPr>
        <w:t xml:space="preserve">1. </w:t>
      </w:r>
      <w:proofErr w:type="spellStart"/>
      <w:r w:rsidRPr="00500315">
        <w:rPr>
          <w:b/>
          <w:bCs/>
          <w:sz w:val="23"/>
          <w:szCs w:val="23"/>
          <w:lang w:val="it-IT"/>
        </w:rPr>
        <w:t>Rapporteur</w:t>
      </w:r>
      <w:proofErr w:type="spellEnd"/>
      <w:r w:rsidRPr="00500315">
        <w:rPr>
          <w:b/>
          <w:bCs/>
          <w:sz w:val="23"/>
          <w:szCs w:val="23"/>
          <w:lang w:val="it-IT"/>
        </w:rPr>
        <w:t xml:space="preserve">: </w:t>
      </w:r>
      <w:r w:rsidRPr="00500315">
        <w:rPr>
          <w:sz w:val="23"/>
          <w:szCs w:val="23"/>
          <w:lang w:val="it-IT"/>
        </w:rPr>
        <w:t xml:space="preserve">Nicola DANTI (S&amp;D/IT) </w:t>
      </w:r>
    </w:p>
    <w:p w:rsidR="00500315" w:rsidRPr="00500315" w:rsidRDefault="00500315" w:rsidP="00500315">
      <w:pPr>
        <w:pStyle w:val="Default"/>
        <w:rPr>
          <w:sz w:val="23"/>
          <w:szCs w:val="23"/>
          <w:lang w:val="fr-FR"/>
        </w:rPr>
      </w:pPr>
      <w:r w:rsidRPr="00500315">
        <w:rPr>
          <w:b/>
          <w:bCs/>
          <w:sz w:val="23"/>
          <w:szCs w:val="23"/>
          <w:lang w:val="fr-FR"/>
        </w:rPr>
        <w:t xml:space="preserve">2. Numéros de référence: </w:t>
      </w:r>
      <w:r w:rsidRPr="00500315">
        <w:rPr>
          <w:sz w:val="23"/>
          <w:szCs w:val="23"/>
          <w:lang w:val="fr-FR"/>
        </w:rPr>
        <w:t>2018/0231(COD) / A8-0052/2019 / P8_TA-</w:t>
      </w:r>
      <w:proofErr w:type="gramStart"/>
      <w:r w:rsidRPr="00500315">
        <w:rPr>
          <w:sz w:val="23"/>
          <w:szCs w:val="23"/>
          <w:lang w:val="fr-FR"/>
        </w:rPr>
        <w:t>PROV(</w:t>
      </w:r>
      <w:proofErr w:type="gramEnd"/>
      <w:r w:rsidRPr="00500315">
        <w:rPr>
          <w:sz w:val="23"/>
          <w:szCs w:val="23"/>
          <w:lang w:val="fr-FR"/>
        </w:rPr>
        <w:t xml:space="preserve">2019)0073 </w:t>
      </w:r>
    </w:p>
    <w:p w:rsidR="00500315" w:rsidRPr="00500315" w:rsidRDefault="00500315" w:rsidP="00500315">
      <w:pPr>
        <w:pStyle w:val="Default"/>
        <w:rPr>
          <w:sz w:val="23"/>
          <w:szCs w:val="23"/>
          <w:lang w:val="fr-FR"/>
        </w:rPr>
      </w:pPr>
      <w:r w:rsidRPr="00500315">
        <w:rPr>
          <w:b/>
          <w:bCs/>
          <w:sz w:val="23"/>
          <w:szCs w:val="23"/>
          <w:lang w:val="fr-FR"/>
        </w:rPr>
        <w:t xml:space="preserve">3. Date d’adoption de la résolution: </w:t>
      </w:r>
      <w:r w:rsidRPr="00500315">
        <w:rPr>
          <w:sz w:val="23"/>
          <w:szCs w:val="23"/>
          <w:lang w:val="fr-FR"/>
        </w:rPr>
        <w:t xml:space="preserve">12 février 2019 </w:t>
      </w:r>
    </w:p>
    <w:p w:rsidR="00500315" w:rsidRPr="00500315" w:rsidRDefault="00500315" w:rsidP="00500315">
      <w:pPr>
        <w:pStyle w:val="Default"/>
        <w:rPr>
          <w:sz w:val="23"/>
          <w:szCs w:val="23"/>
          <w:lang w:val="fr-FR"/>
        </w:rPr>
      </w:pPr>
      <w:r w:rsidRPr="00500315">
        <w:rPr>
          <w:b/>
          <w:bCs/>
          <w:sz w:val="23"/>
          <w:szCs w:val="23"/>
          <w:lang w:val="fr-FR"/>
        </w:rPr>
        <w:t xml:space="preserve">4. Base juridique: </w:t>
      </w:r>
      <w:r w:rsidRPr="00500315">
        <w:rPr>
          <w:sz w:val="23"/>
          <w:szCs w:val="23"/>
          <w:lang w:val="fr-FR"/>
        </w:rPr>
        <w:t xml:space="preserve">article 43, paragraphe 2, article 168, paragraphe 4, point b), et articles 114, 173 et 338 du traité sur le fonctionnement de l’Union européenne </w:t>
      </w:r>
    </w:p>
    <w:p w:rsidR="00500315" w:rsidRPr="00500315" w:rsidRDefault="00500315" w:rsidP="00500315">
      <w:pPr>
        <w:pStyle w:val="Default"/>
        <w:rPr>
          <w:sz w:val="23"/>
          <w:szCs w:val="23"/>
          <w:lang w:val="fr-FR"/>
        </w:rPr>
      </w:pPr>
      <w:r w:rsidRPr="00500315">
        <w:rPr>
          <w:b/>
          <w:bCs/>
          <w:sz w:val="23"/>
          <w:szCs w:val="23"/>
          <w:lang w:val="fr-FR"/>
        </w:rPr>
        <w:t xml:space="preserve">5. Commission parlementaire compétente: </w:t>
      </w:r>
      <w:r w:rsidRPr="00500315">
        <w:rPr>
          <w:sz w:val="23"/>
          <w:szCs w:val="23"/>
          <w:lang w:val="fr-FR"/>
        </w:rPr>
        <w:t xml:space="preserve">commission du marché intérieur et de la protection des consommateurs (IMCO) </w:t>
      </w:r>
    </w:p>
    <w:p w:rsidR="008765BE" w:rsidRPr="00500315" w:rsidRDefault="00500315" w:rsidP="00500315">
      <w:pPr>
        <w:rPr>
          <w:lang w:val="fr-FR"/>
        </w:rPr>
      </w:pPr>
      <w:r w:rsidRPr="00500315">
        <w:rPr>
          <w:b/>
          <w:bCs/>
          <w:sz w:val="23"/>
          <w:szCs w:val="23"/>
          <w:lang w:val="fr-FR"/>
        </w:rPr>
        <w:t xml:space="preserve">6. Position de la Commission: </w:t>
      </w:r>
      <w:r w:rsidRPr="00500315">
        <w:rPr>
          <w:sz w:val="23"/>
          <w:szCs w:val="23"/>
          <w:lang w:val="fr-FR"/>
        </w:rPr>
        <w:t>la Commission réserve sa position à l’égard de l’ensemble des amendements du Parlement européen. Toutefois, elle exprime des préoccupations particulières au sujet des amendements concernant la modification de la dotation budgétaire, la révision de l’objectif général relatif aux statistiques, le plafonnement des dépenses administratives, l’utilisation d’actes délégués pour l’adoption des programmes de travail et la modification de la liste des bénéficiaires désignés en matière de consommation.</w:t>
      </w:r>
    </w:p>
    <w:sectPr w:rsidR="008765BE" w:rsidRPr="00500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15"/>
    <w:rsid w:val="00500315"/>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618B"/>
  <w15:chartTrackingRefBased/>
  <w15:docId w15:val="{FCFDBC2D-2A8F-44C4-B2C3-96A60C56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Default">
    <w:name w:val="Default"/>
    <w:rsid w:val="005003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European Parliament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2019-07-01T13:02:00Z</dcterms:created>
  <dcterms:modified xsi:type="dcterms:W3CDTF">2019-07-01T13:08:00Z</dcterms:modified>
</cp:coreProperties>
</file>