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80" w:rsidRDefault="00AD7780" w:rsidP="00AD77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ORDINARY LEGISLATIVE PROCEDURE – First reading </w:t>
      </w:r>
    </w:p>
    <w:p w:rsidR="00AD7780" w:rsidRDefault="00AD7780" w:rsidP="00AD7780">
      <w:pPr>
        <w:pStyle w:val="Default"/>
        <w:rPr>
          <w:sz w:val="23"/>
          <w:szCs w:val="23"/>
        </w:rPr>
      </w:pPr>
    </w:p>
    <w:p w:rsidR="00AD7780" w:rsidRDefault="00AD7780" w:rsidP="00AD77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Follow up to the European Parliament legislative resolution on the proposal for a regulation of the European Parliament and of the Council amending Council Regulation (EC) No 1206/2001 of 28 May 2001 on cooperation between the courts of the Member States in the taking of evidence in civil or commercial matters </w:t>
      </w:r>
    </w:p>
    <w:p w:rsidR="00AD7780" w:rsidRDefault="00AD7780" w:rsidP="00AD7780">
      <w:pPr>
        <w:pStyle w:val="Default"/>
        <w:rPr>
          <w:sz w:val="23"/>
          <w:szCs w:val="23"/>
        </w:rPr>
      </w:pPr>
      <w:bookmarkStart w:id="0" w:name="_GoBack"/>
      <w:bookmarkEnd w:id="0"/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Rapporteur: </w:t>
      </w:r>
      <w:r>
        <w:rPr>
          <w:sz w:val="23"/>
          <w:szCs w:val="23"/>
        </w:rPr>
        <w:t xml:space="preserve">Emil RADEV (EPP / BG)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Reference numbers: </w:t>
      </w:r>
      <w:r>
        <w:rPr>
          <w:sz w:val="23"/>
          <w:szCs w:val="23"/>
        </w:rPr>
        <w:t>2018/0203 (COD) / A8-0477/2018 / P8_TA-</w:t>
      </w:r>
      <w:proofErr w:type="gramStart"/>
      <w:r>
        <w:rPr>
          <w:sz w:val="23"/>
          <w:szCs w:val="23"/>
        </w:rPr>
        <w:t>PROV(</w:t>
      </w:r>
      <w:proofErr w:type="gramEnd"/>
      <w:r>
        <w:rPr>
          <w:sz w:val="23"/>
          <w:szCs w:val="23"/>
        </w:rPr>
        <w:t xml:space="preserve">2019)0103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of adoption of the resolution: </w:t>
      </w:r>
      <w:r>
        <w:rPr>
          <w:sz w:val="23"/>
          <w:szCs w:val="23"/>
        </w:rPr>
        <w:t xml:space="preserve">13 February 2019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Legal basis: </w:t>
      </w:r>
      <w:r>
        <w:rPr>
          <w:sz w:val="23"/>
          <w:szCs w:val="23"/>
        </w:rPr>
        <w:t xml:space="preserve">Articles 81 of the Treaty on the Functioning of the European Union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Competent Parliamentary Committee: </w:t>
      </w:r>
      <w:r>
        <w:rPr>
          <w:sz w:val="23"/>
          <w:szCs w:val="23"/>
        </w:rPr>
        <w:t xml:space="preserve">Committee on Legal Affairs (JURI)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Commission's position: </w:t>
      </w:r>
      <w:r>
        <w:rPr>
          <w:sz w:val="23"/>
          <w:szCs w:val="23"/>
        </w:rPr>
        <w:t xml:space="preserve">The Commission reserves its position on all the amendments of the European Parliament. However, it expresses its particular concern regarding the following: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Amendment 5 (proposed new Recital by the Parliament) which sets up an obligation and a deadline for the Commission to make a legislative proposal with regard to </w:t>
      </w:r>
      <w:proofErr w:type="spellStart"/>
      <w:r>
        <w:rPr>
          <w:sz w:val="23"/>
          <w:szCs w:val="23"/>
        </w:rPr>
        <w:t>eCODEX</w:t>
      </w:r>
      <w:proofErr w:type="spellEnd"/>
      <w:r>
        <w:rPr>
          <w:sz w:val="23"/>
          <w:szCs w:val="23"/>
        </w:rPr>
        <w:t xml:space="preserve">.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Amendment 22 (proposed new Article 17 </w:t>
      </w:r>
      <w:proofErr w:type="gramStart"/>
      <w:r>
        <w:rPr>
          <w:sz w:val="23"/>
          <w:szCs w:val="23"/>
        </w:rPr>
        <w:t>a(</w:t>
      </w:r>
      <w:proofErr w:type="gramEnd"/>
      <w:r>
        <w:rPr>
          <w:sz w:val="23"/>
          <w:szCs w:val="23"/>
        </w:rPr>
        <w:t xml:space="preserve">1a) by the Parliament) which requires prior consent of the person to be heard via videoconference or any other appropriate distance communication technology. </w:t>
      </w:r>
    </w:p>
    <w:p w:rsidR="00AD7780" w:rsidRDefault="00AD7780" w:rsidP="00AD77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Amendment 28 (proposed new Article 17 </w:t>
      </w:r>
      <w:proofErr w:type="gramStart"/>
      <w:r>
        <w:rPr>
          <w:sz w:val="23"/>
          <w:szCs w:val="23"/>
        </w:rPr>
        <w:t>a(</w:t>
      </w:r>
      <w:proofErr w:type="gramEnd"/>
      <w:r>
        <w:rPr>
          <w:sz w:val="23"/>
          <w:szCs w:val="23"/>
        </w:rPr>
        <w:t xml:space="preserve">3b) by the Parliament) regarding procedural guarantees for the parties and their legal representatives with regard to the hearing via videoconference or via any other appropriate distance communication technology. </w:t>
      </w:r>
    </w:p>
    <w:p w:rsidR="008765BE" w:rsidRDefault="00AD7780" w:rsidP="00AD7780">
      <w:r>
        <w:rPr>
          <w:sz w:val="23"/>
          <w:szCs w:val="23"/>
        </w:rPr>
        <w:t xml:space="preserve">Amendment 30 (Article 17 </w:t>
      </w:r>
      <w:proofErr w:type="gramStart"/>
      <w:r>
        <w:rPr>
          <w:sz w:val="23"/>
          <w:szCs w:val="23"/>
        </w:rPr>
        <w:t>b(</w:t>
      </w:r>
      <w:proofErr w:type="gramEnd"/>
      <w:r>
        <w:rPr>
          <w:sz w:val="23"/>
          <w:szCs w:val="23"/>
        </w:rPr>
        <w:t>1) of the Commission proposal) with regard to the proposed supervision by a court of the taking of evidence by diplomatic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0"/>
    <w:rsid w:val="005762E3"/>
    <w:rsid w:val="008765BE"/>
    <w:rsid w:val="00A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6020"/>
  <w15:chartTrackingRefBased/>
  <w15:docId w15:val="{E4E31247-1CDC-4773-9B85-8EEF243F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AD77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European Parliament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2019-07-01T12:35:00Z</dcterms:created>
  <dcterms:modified xsi:type="dcterms:W3CDTF">2019-07-01T12:40:00Z</dcterms:modified>
</cp:coreProperties>
</file>