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33C" w:rsidRPr="00666719" w:rsidRDefault="009C733C" w:rsidP="009C733C">
      <w:pPr>
        <w:spacing w:after="600"/>
        <w:jc w:val="center"/>
        <w:rPr>
          <w:rFonts w:ascii="Times New Roman" w:hAnsi="Times New Roman"/>
          <w:b/>
          <w:bCs/>
        </w:rPr>
      </w:pPr>
      <w:r w:rsidRPr="00666719">
        <w:rPr>
          <w:rFonts w:ascii="Times New Roman" w:hAnsi="Times New Roman"/>
          <w:b/>
          <w:bCs/>
        </w:rPr>
        <w:t xml:space="preserve">Follow up to the </w:t>
      </w:r>
      <w:r w:rsidRPr="00666719">
        <w:rPr>
          <w:rFonts w:ascii="Times New Roman" w:hAnsi="Times New Roman"/>
          <w:b/>
        </w:rPr>
        <w:t xml:space="preserve">European Parliament </w:t>
      </w:r>
      <w:r w:rsidRPr="00666719">
        <w:rPr>
          <w:rFonts w:ascii="Times New Roman" w:hAnsi="Times New Roman"/>
          <w:b/>
          <w:szCs w:val="24"/>
        </w:rPr>
        <w:t xml:space="preserve">non-legislative </w:t>
      </w:r>
      <w:r w:rsidRPr="00666719">
        <w:rPr>
          <w:rFonts w:ascii="Times New Roman" w:hAnsi="Times New Roman"/>
          <w:b/>
        </w:rPr>
        <w:t>resolution on the a</w:t>
      </w:r>
      <w:r w:rsidRPr="00666719">
        <w:rPr>
          <w:rFonts w:ascii="Times New Roman" w:hAnsi="Times New Roman"/>
          <w:b/>
          <w:bCs/>
        </w:rPr>
        <w:t>dequacy of the protection of personal data afforded by Japan</w:t>
      </w:r>
    </w:p>
    <w:p w:rsidR="009C733C" w:rsidRPr="00496D9D" w:rsidRDefault="009C733C" w:rsidP="009C733C">
      <w:pPr>
        <w:numPr>
          <w:ilvl w:val="0"/>
          <w:numId w:val="1"/>
        </w:numPr>
        <w:ind w:left="567" w:right="-113" w:hanging="567"/>
        <w:rPr>
          <w:rFonts w:ascii="Times New Roman" w:hAnsi="Times New Roman"/>
          <w:b/>
          <w:szCs w:val="24"/>
        </w:rPr>
      </w:pPr>
      <w:r w:rsidRPr="00987018">
        <w:rPr>
          <w:rFonts w:ascii="Times New Roman" w:hAnsi="Times New Roman"/>
          <w:b/>
          <w:szCs w:val="24"/>
        </w:rPr>
        <w:t>Resolution tabled pursuant to Rule 123(2) of the European Parliament's Rules of procedure by the Committee on Civil Liberties (LIBE)</w:t>
      </w:r>
    </w:p>
    <w:p w:rsidR="009C733C" w:rsidRPr="00666719" w:rsidRDefault="009C733C" w:rsidP="009C733C">
      <w:pPr>
        <w:numPr>
          <w:ilvl w:val="0"/>
          <w:numId w:val="1"/>
        </w:numPr>
        <w:ind w:left="567" w:right="-28" w:hanging="567"/>
        <w:rPr>
          <w:rFonts w:ascii="Times New Roman" w:hAnsi="Times New Roman"/>
          <w:i/>
          <w:szCs w:val="24"/>
        </w:rPr>
      </w:pPr>
      <w:r w:rsidRPr="00666719">
        <w:rPr>
          <w:rFonts w:ascii="Times New Roman" w:hAnsi="Times New Roman"/>
          <w:b/>
          <w:szCs w:val="24"/>
        </w:rPr>
        <w:t xml:space="preserve">Reference numbers: </w:t>
      </w:r>
      <w:r w:rsidRPr="00666719">
        <w:rPr>
          <w:rFonts w:ascii="Times New Roman" w:hAnsi="Times New Roman"/>
          <w:bCs/>
          <w:color w:val="000000"/>
          <w:szCs w:val="24"/>
          <w:lang w:eastAsia="fr-FR"/>
        </w:rPr>
        <w:t>2018/2979(RSP)</w:t>
      </w:r>
      <w:r w:rsidRPr="00666719">
        <w:rPr>
          <w:rFonts w:ascii="Times New Roman" w:hAnsi="Times New Roman"/>
          <w:szCs w:val="24"/>
        </w:rPr>
        <w:t xml:space="preserve"> / </w:t>
      </w:r>
      <w:bookmarkStart w:id="0" w:name="_GoBack"/>
      <w:r w:rsidRPr="00666719">
        <w:rPr>
          <w:rFonts w:ascii="Times New Roman" w:hAnsi="Times New Roman"/>
          <w:szCs w:val="24"/>
        </w:rPr>
        <w:t>B8-0561/2018</w:t>
      </w:r>
      <w:r>
        <w:rPr>
          <w:rFonts w:ascii="Times New Roman" w:hAnsi="Times New Roman"/>
          <w:szCs w:val="24"/>
        </w:rPr>
        <w:t xml:space="preserve"> </w:t>
      </w:r>
      <w:bookmarkEnd w:id="0"/>
      <w:r w:rsidRPr="00666719">
        <w:rPr>
          <w:rFonts w:ascii="Times New Roman" w:hAnsi="Times New Roman"/>
          <w:szCs w:val="24"/>
        </w:rPr>
        <w:t>/ P8_TA-PROV(2018)0529</w:t>
      </w:r>
    </w:p>
    <w:p w:rsidR="009C733C" w:rsidRPr="00666719" w:rsidRDefault="009C733C" w:rsidP="009C733C">
      <w:pPr>
        <w:numPr>
          <w:ilvl w:val="0"/>
          <w:numId w:val="1"/>
        </w:numPr>
        <w:ind w:left="567" w:right="-28" w:hanging="567"/>
        <w:rPr>
          <w:rFonts w:ascii="Times New Roman" w:hAnsi="Times New Roman"/>
          <w:szCs w:val="24"/>
        </w:rPr>
      </w:pPr>
      <w:r w:rsidRPr="00666719">
        <w:rPr>
          <w:rFonts w:ascii="Times New Roman" w:hAnsi="Times New Roman"/>
          <w:b/>
          <w:szCs w:val="24"/>
        </w:rPr>
        <w:t xml:space="preserve">Date of adoption of the resolution: </w:t>
      </w:r>
      <w:r w:rsidRPr="00666719">
        <w:rPr>
          <w:rFonts w:ascii="Times New Roman" w:hAnsi="Times New Roman"/>
        </w:rPr>
        <w:t>12 December 2018</w:t>
      </w:r>
    </w:p>
    <w:p w:rsidR="009C733C" w:rsidRPr="00666719" w:rsidRDefault="009C733C" w:rsidP="009C733C">
      <w:pPr>
        <w:numPr>
          <w:ilvl w:val="0"/>
          <w:numId w:val="1"/>
        </w:numPr>
        <w:ind w:left="567" w:right="-28" w:hanging="567"/>
        <w:rPr>
          <w:rFonts w:ascii="Times New Roman" w:hAnsi="Times New Roman"/>
          <w:i/>
          <w:szCs w:val="24"/>
        </w:rPr>
      </w:pPr>
      <w:r w:rsidRPr="00666719">
        <w:rPr>
          <w:rFonts w:ascii="Times New Roman" w:hAnsi="Times New Roman"/>
          <w:b/>
        </w:rPr>
        <w:t>Competent Parliamentary Committee</w:t>
      </w:r>
      <w:r w:rsidRPr="00E15C58">
        <w:rPr>
          <w:rFonts w:ascii="Times New Roman" w:hAnsi="Times New Roman"/>
          <w:b/>
        </w:rPr>
        <w:t>:</w:t>
      </w:r>
      <w:r w:rsidRPr="00E15C58">
        <w:rPr>
          <w:rFonts w:ascii="Times New Roman" w:hAnsi="Times New Roman"/>
        </w:rPr>
        <w:t xml:space="preserve"> </w:t>
      </w:r>
      <w:r w:rsidRPr="00666719">
        <w:rPr>
          <w:rFonts w:ascii="Times New Roman" w:hAnsi="Times New Roman"/>
        </w:rPr>
        <w:t>Committee on</w:t>
      </w:r>
      <w:r w:rsidRPr="00666719">
        <w:rPr>
          <w:rFonts w:ascii="Times New Roman" w:hAnsi="Times New Roman"/>
          <w:i/>
        </w:rPr>
        <w:t xml:space="preserve"> </w:t>
      </w:r>
      <w:r w:rsidRPr="00666719">
        <w:rPr>
          <w:rFonts w:ascii="Times New Roman" w:hAnsi="Times New Roman"/>
        </w:rPr>
        <w:t>Civil Liberties (LIBE)</w:t>
      </w:r>
    </w:p>
    <w:p w:rsidR="009C733C" w:rsidRPr="00987018" w:rsidRDefault="009C733C" w:rsidP="009C733C">
      <w:pPr>
        <w:widowControl w:val="0"/>
        <w:numPr>
          <w:ilvl w:val="0"/>
          <w:numId w:val="1"/>
        </w:numPr>
        <w:ind w:left="567" w:right="-28" w:hanging="567"/>
        <w:rPr>
          <w:rFonts w:ascii="Times New Roman" w:hAnsi="Times New Roman"/>
          <w:szCs w:val="24"/>
        </w:rPr>
      </w:pPr>
      <w:r w:rsidRPr="00666719">
        <w:rPr>
          <w:rFonts w:ascii="Times New Roman" w:hAnsi="Times New Roman"/>
          <w:b/>
          <w:szCs w:val="24"/>
        </w:rPr>
        <w:t>Brief analysis/ assessment of the resolution and requests made in it:</w:t>
      </w:r>
    </w:p>
    <w:p w:rsidR="009C733C" w:rsidRPr="00FE3460" w:rsidRDefault="009C733C" w:rsidP="009C733C">
      <w:pPr>
        <w:widowControl w:val="0"/>
        <w:spacing w:after="120"/>
        <w:rPr>
          <w:rFonts w:ascii="Times New Roman" w:hAnsi="Times New Roman"/>
          <w:szCs w:val="24"/>
          <w:u w:val="single"/>
        </w:rPr>
      </w:pPr>
      <w:r w:rsidRPr="00FE3460">
        <w:rPr>
          <w:rFonts w:ascii="Times New Roman" w:hAnsi="Times New Roman"/>
          <w:szCs w:val="24"/>
          <w:u w:val="single"/>
        </w:rPr>
        <w:t>General assessment</w:t>
      </w:r>
    </w:p>
    <w:p w:rsidR="009C733C" w:rsidRDefault="009C733C" w:rsidP="009C733C">
      <w:pPr>
        <w:widowControl w:val="0"/>
        <w:spacing w:after="120"/>
        <w:rPr>
          <w:rFonts w:ascii="Times New Roman" w:hAnsi="Times New Roman"/>
          <w:szCs w:val="24"/>
        </w:rPr>
      </w:pPr>
      <w:r>
        <w:rPr>
          <w:rFonts w:ascii="Times New Roman" w:hAnsi="Times New Roman"/>
          <w:szCs w:val="24"/>
        </w:rPr>
        <w:t xml:space="preserve">The resolution concerns the draft Commission Implementing Decision </w:t>
      </w:r>
      <w:r w:rsidRPr="00E741E3">
        <w:rPr>
          <w:rFonts w:ascii="Times New Roman" w:hAnsi="Times New Roman"/>
          <w:szCs w:val="24"/>
        </w:rPr>
        <w:t>pursuant to Regulation (EU) 2016/679 of the European Parliament and of the Council on the adequate protection of personal data by Japan</w:t>
      </w:r>
      <w:r>
        <w:rPr>
          <w:rFonts w:ascii="Times New Roman" w:hAnsi="Times New Roman"/>
          <w:szCs w:val="24"/>
        </w:rPr>
        <w:t xml:space="preserve">. The draft </w:t>
      </w:r>
      <w:proofErr w:type="gramStart"/>
      <w:r>
        <w:rPr>
          <w:rFonts w:ascii="Times New Roman" w:hAnsi="Times New Roman"/>
          <w:szCs w:val="24"/>
        </w:rPr>
        <w:t>was endorsed</w:t>
      </w:r>
      <w:proofErr w:type="gramEnd"/>
      <w:r>
        <w:rPr>
          <w:rFonts w:ascii="Times New Roman" w:hAnsi="Times New Roman"/>
          <w:szCs w:val="24"/>
        </w:rPr>
        <w:t xml:space="preserve"> by the College on 5 September 2018 and subsequently underwent revisions following discussions with the European Data Protection Board (the opinion of which is required for the adoption of the implementing measure) and the Member States representatives in the context of the “comitology” procedure also taking into account the resolution of the European Parliament. </w:t>
      </w:r>
      <w:r w:rsidRPr="00C05768">
        <w:rPr>
          <w:rFonts w:ascii="Times New Roman" w:hAnsi="Times New Roman"/>
          <w:szCs w:val="24"/>
        </w:rPr>
        <w:t xml:space="preserve">The </w:t>
      </w:r>
      <w:r>
        <w:rPr>
          <w:rFonts w:ascii="Times New Roman" w:hAnsi="Times New Roman"/>
          <w:szCs w:val="24"/>
        </w:rPr>
        <w:t>d</w:t>
      </w:r>
      <w:r w:rsidRPr="00C05768">
        <w:rPr>
          <w:rFonts w:ascii="Times New Roman" w:hAnsi="Times New Roman"/>
          <w:szCs w:val="24"/>
        </w:rPr>
        <w:t xml:space="preserve">ecision </w:t>
      </w:r>
      <w:proofErr w:type="gramStart"/>
      <w:r w:rsidRPr="00C05768">
        <w:rPr>
          <w:rFonts w:ascii="Times New Roman" w:hAnsi="Times New Roman"/>
          <w:szCs w:val="24"/>
        </w:rPr>
        <w:t>was adopted</w:t>
      </w:r>
      <w:proofErr w:type="gramEnd"/>
      <w:r w:rsidRPr="00C05768">
        <w:rPr>
          <w:rFonts w:ascii="Times New Roman" w:hAnsi="Times New Roman"/>
          <w:szCs w:val="24"/>
        </w:rPr>
        <w:t xml:space="preserve"> by the Commission on 23 January 2019 and became effective on the same day.</w:t>
      </w:r>
    </w:p>
    <w:p w:rsidR="009C733C" w:rsidRDefault="009C733C" w:rsidP="009C733C">
      <w:pPr>
        <w:widowControl w:val="0"/>
        <w:spacing w:after="120"/>
        <w:rPr>
          <w:rFonts w:ascii="Times New Roman" w:hAnsi="Times New Roman"/>
          <w:szCs w:val="24"/>
        </w:rPr>
      </w:pPr>
      <w:r>
        <w:rPr>
          <w:rFonts w:ascii="Times New Roman" w:hAnsi="Times New Roman"/>
          <w:szCs w:val="24"/>
        </w:rPr>
        <w:t xml:space="preserve">The European Parliament recalls that the adequacy decision must be, under </w:t>
      </w:r>
      <w:r w:rsidRPr="00CD3A8E">
        <w:rPr>
          <w:rFonts w:ascii="Times New Roman" w:hAnsi="Times New Roman"/>
          <w:szCs w:val="24"/>
        </w:rPr>
        <w:t>Article 45(2) of the G</w:t>
      </w:r>
      <w:r>
        <w:rPr>
          <w:rFonts w:ascii="Times New Roman" w:hAnsi="Times New Roman"/>
          <w:szCs w:val="24"/>
        </w:rPr>
        <w:t xml:space="preserve">eneral </w:t>
      </w:r>
      <w:r w:rsidRPr="00CD3A8E">
        <w:rPr>
          <w:rFonts w:ascii="Times New Roman" w:hAnsi="Times New Roman"/>
          <w:szCs w:val="24"/>
        </w:rPr>
        <w:t>D</w:t>
      </w:r>
      <w:r>
        <w:rPr>
          <w:rFonts w:ascii="Times New Roman" w:hAnsi="Times New Roman"/>
          <w:szCs w:val="24"/>
        </w:rPr>
        <w:t xml:space="preserve">ata </w:t>
      </w:r>
      <w:r w:rsidRPr="00CD3A8E">
        <w:rPr>
          <w:rFonts w:ascii="Times New Roman" w:hAnsi="Times New Roman"/>
          <w:szCs w:val="24"/>
        </w:rPr>
        <w:t>P</w:t>
      </w:r>
      <w:r>
        <w:rPr>
          <w:rFonts w:ascii="Times New Roman" w:hAnsi="Times New Roman"/>
          <w:szCs w:val="24"/>
        </w:rPr>
        <w:t xml:space="preserve">rotection </w:t>
      </w:r>
      <w:r w:rsidRPr="00CD3A8E">
        <w:rPr>
          <w:rFonts w:ascii="Times New Roman" w:hAnsi="Times New Roman"/>
          <w:szCs w:val="24"/>
        </w:rPr>
        <w:t>R</w:t>
      </w:r>
      <w:r>
        <w:rPr>
          <w:rFonts w:ascii="Times New Roman" w:hAnsi="Times New Roman"/>
          <w:szCs w:val="24"/>
        </w:rPr>
        <w:t>egulation (GDPR), preceded by a thorough analysis of the relevant legal provisions of the third country concerned, as well as the “</w:t>
      </w:r>
      <w:r w:rsidRPr="00CD3A8E">
        <w:rPr>
          <w:rFonts w:ascii="Times New Roman" w:hAnsi="Times New Roman"/>
          <w:szCs w:val="24"/>
        </w:rPr>
        <w:t>rule of law, respect for human rights and fundamen</w:t>
      </w:r>
      <w:r>
        <w:rPr>
          <w:rFonts w:ascii="Times New Roman" w:hAnsi="Times New Roman"/>
          <w:szCs w:val="24"/>
        </w:rPr>
        <w:t xml:space="preserve">tal freedoms” and its international commitments. Against this background, it </w:t>
      </w:r>
      <w:proofErr w:type="gramStart"/>
      <w:r>
        <w:rPr>
          <w:rFonts w:ascii="Times New Roman" w:hAnsi="Times New Roman"/>
          <w:szCs w:val="24"/>
        </w:rPr>
        <w:t>observes that</w:t>
      </w:r>
      <w:proofErr w:type="gramEnd"/>
      <w:r>
        <w:rPr>
          <w:rFonts w:ascii="Times New Roman" w:hAnsi="Times New Roman"/>
          <w:szCs w:val="24"/>
        </w:rPr>
        <w:t xml:space="preserve"> “</w:t>
      </w:r>
      <w:r w:rsidRPr="00CD3A8E">
        <w:rPr>
          <w:rFonts w:ascii="Times New Roman" w:hAnsi="Times New Roman"/>
          <w:szCs w:val="24"/>
        </w:rPr>
        <w:t>the common recognition of fundamental rights, including privacy and data protection, constitutes an important basis for the adequacy decision</w:t>
      </w:r>
      <w:r>
        <w:rPr>
          <w:rFonts w:ascii="Times New Roman" w:hAnsi="Times New Roman"/>
          <w:szCs w:val="24"/>
        </w:rPr>
        <w:t xml:space="preserve">”. At the same time, it recognises that Japan is a key trading partner of the European Union and takes note of the growing importance of trans-border data flows. In this context, the European Parliament also recalls the recent conclusion of the Economic Partnership Agreement between the European Union and Japan. The European Parliament further recalls that </w:t>
      </w:r>
      <w:r w:rsidRPr="00AF0F4F">
        <w:rPr>
          <w:rFonts w:ascii="Times New Roman" w:hAnsi="Times New Roman"/>
          <w:szCs w:val="24"/>
        </w:rPr>
        <w:t>the European Court of Justice, in its judgment of 6 October</w:t>
      </w:r>
      <w:r>
        <w:rPr>
          <w:rFonts w:ascii="Times New Roman" w:hAnsi="Times New Roman"/>
          <w:szCs w:val="24"/>
        </w:rPr>
        <w:t xml:space="preserve"> 2015</w:t>
      </w:r>
      <w:r w:rsidRPr="00AF0F4F">
        <w:rPr>
          <w:rFonts w:ascii="Times New Roman" w:hAnsi="Times New Roman"/>
          <w:szCs w:val="24"/>
        </w:rPr>
        <w:t xml:space="preserve"> </w:t>
      </w:r>
      <w:r w:rsidRPr="00AB5E52">
        <w:rPr>
          <w:rFonts w:ascii="Times New Roman" w:hAnsi="Times New Roman"/>
          <w:color w:val="000000"/>
          <w:szCs w:val="24"/>
        </w:rPr>
        <w:t>(</w:t>
      </w:r>
      <w:proofErr w:type="spellStart"/>
      <w:r>
        <w:fldChar w:fldCharType="begin"/>
      </w:r>
      <w:r>
        <w:instrText xml:space="preserve"> HYPERLINK "http://curia.europa.eu/juris/document/document.jsf?docid=169195&amp;doclang=EN" </w:instrText>
      </w:r>
      <w:r>
        <w:fldChar w:fldCharType="separate"/>
      </w:r>
      <w:r w:rsidRPr="00AB5E52">
        <w:rPr>
          <w:rStyle w:val="Hyperlink"/>
          <w:rFonts w:ascii="Times New Roman" w:hAnsi="Times New Roman"/>
          <w:color w:val="000000"/>
          <w:szCs w:val="24"/>
        </w:rPr>
        <w:t>Schrems</w:t>
      </w:r>
      <w:proofErr w:type="spellEnd"/>
      <w:r w:rsidRPr="00AB5E52">
        <w:rPr>
          <w:rStyle w:val="Hyperlink"/>
          <w:rFonts w:ascii="Times New Roman" w:hAnsi="Times New Roman"/>
          <w:color w:val="000000"/>
          <w:szCs w:val="24"/>
        </w:rPr>
        <w:t xml:space="preserve"> case</w:t>
      </w:r>
      <w:r>
        <w:rPr>
          <w:rStyle w:val="Hyperlink"/>
          <w:rFonts w:ascii="Times New Roman" w:hAnsi="Times New Roman"/>
          <w:color w:val="000000"/>
          <w:szCs w:val="24"/>
        </w:rPr>
        <w:fldChar w:fldCharType="end"/>
      </w:r>
      <w:r w:rsidRPr="00AB5E52">
        <w:rPr>
          <w:rFonts w:ascii="Times New Roman" w:hAnsi="Times New Roman"/>
          <w:color w:val="000000"/>
          <w:szCs w:val="24"/>
        </w:rPr>
        <w:t>)</w:t>
      </w:r>
      <w:r w:rsidRPr="00AF0F4F">
        <w:rPr>
          <w:rFonts w:ascii="Times New Roman" w:hAnsi="Times New Roman"/>
          <w:szCs w:val="24"/>
        </w:rPr>
        <w:t xml:space="preserve"> clarified that an adequate level of protection in a third country must be understood to be ‘essentially equivalent’ to that guaranteed within the European Union</w:t>
      </w:r>
      <w:r>
        <w:rPr>
          <w:rFonts w:ascii="Times New Roman" w:hAnsi="Times New Roman"/>
          <w:szCs w:val="24"/>
        </w:rPr>
        <w:t>, without a full identity of rules being needed.</w:t>
      </w:r>
    </w:p>
    <w:p w:rsidR="009C733C" w:rsidRPr="009064C2" w:rsidRDefault="009C733C" w:rsidP="009C733C">
      <w:pPr>
        <w:widowControl w:val="0"/>
        <w:spacing w:after="120"/>
        <w:rPr>
          <w:rFonts w:ascii="Times New Roman" w:hAnsi="Times New Roman"/>
          <w:szCs w:val="24"/>
        </w:rPr>
      </w:pPr>
      <w:r>
        <w:rPr>
          <w:rFonts w:ascii="Times New Roman" w:hAnsi="Times New Roman"/>
          <w:szCs w:val="24"/>
        </w:rPr>
        <w:t>The resolution generally welcomes the draft implementing measure, acknowledging notably its importance “</w:t>
      </w:r>
      <w:r w:rsidRPr="00F276F7">
        <w:rPr>
          <w:rFonts w:ascii="Times New Roman" w:hAnsi="Times New Roman"/>
          <w:szCs w:val="24"/>
        </w:rPr>
        <w:t>as an expression of the global spread of high data protection standards</w:t>
      </w:r>
      <w:r>
        <w:rPr>
          <w:rFonts w:ascii="Times New Roman" w:hAnsi="Times New Roman"/>
          <w:szCs w:val="24"/>
        </w:rPr>
        <w:t>”. It also takes note of the recent revision of the Japanese data protection framework and of the adoption by the Japanese government of Supplementary Rules bridging the gaps in protection as compared to the legislation of the European Union.</w:t>
      </w:r>
      <w:r w:rsidRPr="00903F40">
        <w:t xml:space="preserve"> </w:t>
      </w:r>
      <w:r w:rsidRPr="009064C2">
        <w:rPr>
          <w:rFonts w:ascii="Times New Roman" w:hAnsi="Times New Roman"/>
          <w:szCs w:val="24"/>
        </w:rPr>
        <w:t>The resolution explicitly recognises that “the Japanese and EU data protection systems share</w:t>
      </w:r>
      <w:r>
        <w:rPr>
          <w:rFonts w:ascii="Times New Roman" w:hAnsi="Times New Roman"/>
          <w:szCs w:val="24"/>
        </w:rPr>
        <w:t xml:space="preserve"> a high degree of convergence”.</w:t>
      </w:r>
    </w:p>
    <w:p w:rsidR="009C733C" w:rsidRDefault="009C733C" w:rsidP="009C733C">
      <w:pPr>
        <w:widowControl w:val="0"/>
        <w:spacing w:after="120"/>
        <w:rPr>
          <w:rFonts w:ascii="Times New Roman" w:hAnsi="Times New Roman"/>
          <w:szCs w:val="24"/>
        </w:rPr>
      </w:pPr>
      <w:r>
        <w:rPr>
          <w:rFonts w:ascii="Times New Roman" w:hAnsi="Times New Roman"/>
          <w:szCs w:val="24"/>
        </w:rPr>
        <w:t>Nevertheless</w:t>
      </w:r>
      <w:r w:rsidRPr="00903F40">
        <w:rPr>
          <w:rFonts w:ascii="Times New Roman" w:hAnsi="Times New Roman"/>
          <w:szCs w:val="24"/>
        </w:rPr>
        <w:t>,</w:t>
      </w:r>
      <w:r>
        <w:rPr>
          <w:rFonts w:ascii="Times New Roman" w:hAnsi="Times New Roman"/>
          <w:szCs w:val="24"/>
        </w:rPr>
        <w:t xml:space="preserve"> the resolution calls for a further assessment of certain aspects of the Japanese data protection system, </w:t>
      </w:r>
      <w:r w:rsidRPr="00903F40">
        <w:rPr>
          <w:rFonts w:ascii="Times New Roman" w:hAnsi="Times New Roman"/>
          <w:szCs w:val="24"/>
        </w:rPr>
        <w:t xml:space="preserve">clarification of </w:t>
      </w:r>
      <w:r>
        <w:rPr>
          <w:rFonts w:ascii="Times New Roman" w:hAnsi="Times New Roman"/>
          <w:szCs w:val="24"/>
        </w:rPr>
        <w:t>individual points explained in the decision and</w:t>
      </w:r>
      <w:r w:rsidRPr="00903F40">
        <w:rPr>
          <w:rFonts w:ascii="Times New Roman" w:hAnsi="Times New Roman"/>
          <w:szCs w:val="24"/>
        </w:rPr>
        <w:t xml:space="preserve"> for </w:t>
      </w:r>
      <w:r>
        <w:rPr>
          <w:rFonts w:ascii="Times New Roman" w:hAnsi="Times New Roman"/>
          <w:szCs w:val="24"/>
        </w:rPr>
        <w:t xml:space="preserve">an </w:t>
      </w:r>
      <w:r w:rsidRPr="00903F40">
        <w:rPr>
          <w:rFonts w:ascii="Times New Roman" w:hAnsi="Times New Roman"/>
          <w:szCs w:val="24"/>
        </w:rPr>
        <w:t>increased focus in the decision on monitoring of the applicat</w:t>
      </w:r>
      <w:r>
        <w:rPr>
          <w:rFonts w:ascii="Times New Roman" w:hAnsi="Times New Roman"/>
          <w:szCs w:val="24"/>
        </w:rPr>
        <w:t>ion of the Japanese framework.</w:t>
      </w:r>
    </w:p>
    <w:p w:rsidR="009C733C" w:rsidRPr="00666719" w:rsidRDefault="009C733C" w:rsidP="009C733C">
      <w:pPr>
        <w:keepNext/>
        <w:keepLines/>
        <w:spacing w:after="120"/>
        <w:rPr>
          <w:rFonts w:ascii="Times New Roman" w:hAnsi="Times New Roman"/>
          <w:szCs w:val="24"/>
          <w:u w:val="single"/>
        </w:rPr>
      </w:pPr>
      <w:r w:rsidRPr="00666719">
        <w:rPr>
          <w:rFonts w:ascii="Times New Roman" w:hAnsi="Times New Roman"/>
          <w:szCs w:val="24"/>
          <w:u w:val="single"/>
        </w:rPr>
        <w:lastRenderedPageBreak/>
        <w:t>Specific issues</w:t>
      </w:r>
    </w:p>
    <w:p w:rsidR="009C733C" w:rsidRPr="00666719" w:rsidRDefault="009C733C" w:rsidP="009C733C">
      <w:pPr>
        <w:keepNext/>
        <w:keepLines/>
        <w:spacing w:after="120"/>
        <w:rPr>
          <w:rFonts w:ascii="Times New Roman" w:hAnsi="Times New Roman"/>
          <w:szCs w:val="24"/>
        </w:rPr>
      </w:pPr>
      <w:r w:rsidRPr="00666719">
        <w:rPr>
          <w:rFonts w:ascii="Times New Roman" w:hAnsi="Times New Roman"/>
          <w:szCs w:val="24"/>
        </w:rPr>
        <w:t xml:space="preserve">The </w:t>
      </w:r>
      <w:r w:rsidRPr="00987018">
        <w:rPr>
          <w:rFonts w:ascii="Times New Roman" w:hAnsi="Times New Roman"/>
          <w:szCs w:val="24"/>
        </w:rPr>
        <w:t>European Parliament</w:t>
      </w:r>
      <w:r w:rsidRPr="00496D9D">
        <w:rPr>
          <w:rFonts w:ascii="Times New Roman" w:hAnsi="Times New Roman"/>
          <w:szCs w:val="24"/>
        </w:rPr>
        <w:t xml:space="preserve"> raises questions perta</w:t>
      </w:r>
      <w:r w:rsidRPr="00666719">
        <w:rPr>
          <w:rFonts w:ascii="Times New Roman" w:hAnsi="Times New Roman"/>
          <w:szCs w:val="24"/>
        </w:rPr>
        <w:t xml:space="preserve">ining to the </w:t>
      </w:r>
      <w:r w:rsidRPr="00666719">
        <w:rPr>
          <w:rFonts w:ascii="Times New Roman" w:hAnsi="Times New Roman"/>
          <w:b/>
          <w:szCs w:val="24"/>
        </w:rPr>
        <w:t>scope of the decision</w:t>
      </w:r>
      <w:r w:rsidRPr="00666719">
        <w:rPr>
          <w:rFonts w:ascii="Times New Roman" w:hAnsi="Times New Roman"/>
          <w:szCs w:val="24"/>
        </w:rPr>
        <w:t>, in particular as concerns the definition of ‘personal data’ in the Japanese Act on the Protection of Personal Information (APPI). More specifically, the European Parliament is concerned that the definition of ‘personal data’ in the APPI could be narrower than the one in the GDPR. It also mentions the exclusion from the scope of this definition of data “prescribed by cabinet order as having little possibility of harming an individual’s rights and interests considering their utilisation method”. The European Parliament therefore asks the Commission to further clarify these issues and “closely monitor the practical implications” of these allegedly different concepts (paragraphs 13 to 16).</w:t>
      </w:r>
    </w:p>
    <w:p w:rsidR="009C733C" w:rsidRPr="00666719" w:rsidRDefault="009C733C" w:rsidP="009C733C">
      <w:pPr>
        <w:widowControl w:val="0"/>
        <w:spacing w:after="120"/>
        <w:rPr>
          <w:rFonts w:ascii="Times New Roman" w:hAnsi="Times New Roman"/>
          <w:szCs w:val="24"/>
        </w:rPr>
      </w:pPr>
      <w:r w:rsidRPr="00666719">
        <w:rPr>
          <w:rFonts w:ascii="Times New Roman" w:hAnsi="Times New Roman"/>
          <w:szCs w:val="24"/>
        </w:rPr>
        <w:t xml:space="preserve">Following the Opinion of the European Data Protection Board (EDPB), the European Parliament insists on the need for further clarification of the mechanism ensuring that personal data transferred from the European Union to Japan will continuously benefit from the </w:t>
      </w:r>
      <w:r w:rsidRPr="00666719">
        <w:rPr>
          <w:rFonts w:ascii="Times New Roman" w:hAnsi="Times New Roman"/>
          <w:b/>
          <w:szCs w:val="24"/>
        </w:rPr>
        <w:t>strengthened protections</w:t>
      </w:r>
      <w:r w:rsidRPr="00666719">
        <w:rPr>
          <w:rFonts w:ascii="Times New Roman" w:hAnsi="Times New Roman"/>
          <w:szCs w:val="24"/>
        </w:rPr>
        <w:t xml:space="preserve"> under the Supplementary Rules “</w:t>
      </w:r>
      <w:r w:rsidRPr="00666719">
        <w:rPr>
          <w:rFonts w:ascii="Times New Roman" w:hAnsi="Times New Roman"/>
          <w:b/>
          <w:szCs w:val="24"/>
        </w:rPr>
        <w:t>throughout their life cycle</w:t>
      </w:r>
      <w:r w:rsidRPr="00666719">
        <w:rPr>
          <w:rFonts w:ascii="Times New Roman" w:hAnsi="Times New Roman"/>
          <w:szCs w:val="24"/>
        </w:rPr>
        <w:t>” (paragraph 19).</w:t>
      </w:r>
    </w:p>
    <w:p w:rsidR="009C733C" w:rsidRPr="00666719" w:rsidRDefault="009C733C" w:rsidP="009C733C">
      <w:pPr>
        <w:widowControl w:val="0"/>
        <w:spacing w:after="120"/>
        <w:rPr>
          <w:rFonts w:ascii="Times New Roman" w:hAnsi="Times New Roman"/>
          <w:szCs w:val="24"/>
        </w:rPr>
      </w:pPr>
      <w:r w:rsidRPr="00666719">
        <w:rPr>
          <w:rFonts w:ascii="Times New Roman" w:hAnsi="Times New Roman"/>
          <w:szCs w:val="24"/>
        </w:rPr>
        <w:t xml:space="preserve">Still with reference to the Opinion of the EDPB, the European Parliament asks for additional clarifications concerning the continuity of protections included in the GDPR in cases of </w:t>
      </w:r>
      <w:r w:rsidRPr="00666719">
        <w:rPr>
          <w:rFonts w:ascii="Times New Roman" w:hAnsi="Times New Roman"/>
          <w:b/>
          <w:szCs w:val="24"/>
        </w:rPr>
        <w:t>automated decision-making</w:t>
      </w:r>
      <w:r w:rsidRPr="00666719">
        <w:rPr>
          <w:rFonts w:ascii="Times New Roman" w:hAnsi="Times New Roman"/>
          <w:szCs w:val="24"/>
        </w:rPr>
        <w:t xml:space="preserve"> and </w:t>
      </w:r>
      <w:r w:rsidRPr="00666719">
        <w:rPr>
          <w:rFonts w:ascii="Times New Roman" w:hAnsi="Times New Roman"/>
          <w:b/>
          <w:szCs w:val="24"/>
        </w:rPr>
        <w:t xml:space="preserve">direct marketing </w:t>
      </w:r>
      <w:r w:rsidRPr="00666719">
        <w:rPr>
          <w:rFonts w:ascii="Times New Roman" w:hAnsi="Times New Roman"/>
          <w:szCs w:val="24"/>
        </w:rPr>
        <w:t>(paragraphs 17and 18).</w:t>
      </w:r>
    </w:p>
    <w:p w:rsidR="009C733C" w:rsidRPr="00666719" w:rsidRDefault="009C733C" w:rsidP="009C733C">
      <w:pPr>
        <w:widowControl w:val="0"/>
        <w:spacing w:after="120"/>
        <w:rPr>
          <w:rFonts w:ascii="Times New Roman" w:hAnsi="Times New Roman"/>
          <w:szCs w:val="24"/>
        </w:rPr>
      </w:pPr>
      <w:r w:rsidRPr="00666719">
        <w:rPr>
          <w:rFonts w:ascii="Times New Roman" w:hAnsi="Times New Roman"/>
          <w:szCs w:val="24"/>
        </w:rPr>
        <w:t xml:space="preserve">The European Parliament requires further clarifications on whether, in cases of </w:t>
      </w:r>
      <w:r w:rsidRPr="00666719">
        <w:rPr>
          <w:rFonts w:ascii="Times New Roman" w:hAnsi="Times New Roman"/>
          <w:b/>
          <w:szCs w:val="24"/>
        </w:rPr>
        <w:t>onward transfers</w:t>
      </w:r>
      <w:r w:rsidRPr="00666719">
        <w:rPr>
          <w:rFonts w:ascii="Times New Roman" w:hAnsi="Times New Roman"/>
          <w:szCs w:val="24"/>
        </w:rPr>
        <w:t xml:space="preserve"> (from Japan) of personal data originating from the European Union based on </w:t>
      </w:r>
      <w:r w:rsidRPr="00666719">
        <w:rPr>
          <w:rFonts w:ascii="Times New Roman" w:hAnsi="Times New Roman"/>
          <w:b/>
          <w:szCs w:val="24"/>
        </w:rPr>
        <w:t>consent</w:t>
      </w:r>
      <w:r w:rsidRPr="00666719">
        <w:rPr>
          <w:rFonts w:ascii="Times New Roman" w:hAnsi="Times New Roman"/>
          <w:szCs w:val="24"/>
        </w:rPr>
        <w:t xml:space="preserve">, the Supplementary Rules ensure that such consent can be considered as sufficiently informed. In particular, it is concerned that the notion of “information on the circumstances surrounding the transfer necessary for the </w:t>
      </w:r>
      <w:r w:rsidRPr="00E15C58">
        <w:rPr>
          <w:rFonts w:ascii="Times New Roman" w:hAnsi="Times New Roman"/>
          <w:szCs w:val="24"/>
        </w:rPr>
        <w:t>data subject</w:t>
      </w:r>
      <w:r w:rsidRPr="00666719">
        <w:rPr>
          <w:rFonts w:ascii="Times New Roman" w:hAnsi="Times New Roman"/>
          <w:szCs w:val="24"/>
        </w:rPr>
        <w:t xml:space="preserve"> to make a decision on his/her consent”</w:t>
      </w:r>
      <w:r w:rsidRPr="00987018">
        <w:rPr>
          <w:rFonts w:ascii="Times New Roman" w:hAnsi="Times New Roman"/>
          <w:szCs w:val="24"/>
        </w:rPr>
        <w:t xml:space="preserve"> is not defined (</w:t>
      </w:r>
      <w:r w:rsidRPr="00496D9D">
        <w:rPr>
          <w:rFonts w:ascii="Times New Roman" w:hAnsi="Times New Roman"/>
          <w:szCs w:val="24"/>
        </w:rPr>
        <w:t>paragraph</w:t>
      </w:r>
      <w:r w:rsidRPr="00666719">
        <w:rPr>
          <w:rFonts w:ascii="Times New Roman" w:hAnsi="Times New Roman"/>
          <w:szCs w:val="24"/>
        </w:rPr>
        <w:t xml:space="preserve"> 20).</w:t>
      </w:r>
    </w:p>
    <w:p w:rsidR="009C733C" w:rsidRPr="00666719" w:rsidRDefault="009C733C" w:rsidP="009C733C">
      <w:pPr>
        <w:widowControl w:val="0"/>
        <w:spacing w:after="120"/>
        <w:rPr>
          <w:rFonts w:ascii="Times New Roman" w:hAnsi="Times New Roman"/>
          <w:szCs w:val="24"/>
        </w:rPr>
      </w:pPr>
      <w:r w:rsidRPr="00666719">
        <w:rPr>
          <w:rFonts w:ascii="Times New Roman" w:hAnsi="Times New Roman"/>
          <w:szCs w:val="24"/>
        </w:rPr>
        <w:t xml:space="preserve">The European Parliament criticises the small amounts of </w:t>
      </w:r>
      <w:r w:rsidRPr="00666719">
        <w:rPr>
          <w:rFonts w:ascii="Times New Roman" w:hAnsi="Times New Roman"/>
          <w:b/>
          <w:szCs w:val="24"/>
        </w:rPr>
        <w:t>fines</w:t>
      </w:r>
      <w:r w:rsidRPr="00666719">
        <w:rPr>
          <w:rFonts w:ascii="Times New Roman" w:hAnsi="Times New Roman"/>
          <w:szCs w:val="24"/>
        </w:rPr>
        <w:t xml:space="preserve"> that </w:t>
      </w:r>
      <w:proofErr w:type="gramStart"/>
      <w:r w:rsidRPr="00666719">
        <w:rPr>
          <w:rFonts w:ascii="Times New Roman" w:hAnsi="Times New Roman"/>
          <w:szCs w:val="24"/>
        </w:rPr>
        <w:t>may be imposed</w:t>
      </w:r>
      <w:proofErr w:type="gramEnd"/>
      <w:r w:rsidRPr="00666719">
        <w:rPr>
          <w:rFonts w:ascii="Times New Roman" w:hAnsi="Times New Roman"/>
          <w:szCs w:val="24"/>
        </w:rPr>
        <w:t xml:space="preserve"> under the APPI. Although it recognises the dissuasive effect of alternative </w:t>
      </w:r>
      <w:r w:rsidRPr="00666719">
        <w:rPr>
          <w:rFonts w:ascii="Times New Roman" w:hAnsi="Times New Roman"/>
          <w:b/>
          <w:szCs w:val="24"/>
        </w:rPr>
        <w:t>sanctions</w:t>
      </w:r>
      <w:r w:rsidRPr="00666719">
        <w:rPr>
          <w:rFonts w:ascii="Times New Roman" w:hAnsi="Times New Roman"/>
          <w:szCs w:val="24"/>
        </w:rPr>
        <w:t xml:space="preserve"> existing in the Japanese law, it requests further clarifications and information concerning the application of these sanctions (paragraph 21).</w:t>
      </w:r>
    </w:p>
    <w:p w:rsidR="009C733C" w:rsidRPr="00666719" w:rsidRDefault="009C733C" w:rsidP="009C733C">
      <w:pPr>
        <w:widowControl w:val="0"/>
        <w:spacing w:after="120"/>
        <w:rPr>
          <w:rFonts w:ascii="Times New Roman" w:hAnsi="Times New Roman"/>
          <w:szCs w:val="24"/>
        </w:rPr>
      </w:pPr>
      <w:r w:rsidRPr="00666719">
        <w:rPr>
          <w:rFonts w:ascii="Times New Roman" w:hAnsi="Times New Roman"/>
          <w:szCs w:val="24"/>
        </w:rPr>
        <w:t xml:space="preserve">In the context of government access to personal data received by Japanese business operators from the European Union, the resolution refers to the fact that business operators might </w:t>
      </w:r>
      <w:r w:rsidRPr="00666719">
        <w:rPr>
          <w:rFonts w:ascii="Times New Roman" w:hAnsi="Times New Roman"/>
          <w:b/>
          <w:szCs w:val="24"/>
        </w:rPr>
        <w:t>provide data to law enforcement authorities on a “voluntary basis”</w:t>
      </w:r>
      <w:r w:rsidRPr="00666719">
        <w:rPr>
          <w:rFonts w:ascii="Times New Roman" w:hAnsi="Times New Roman"/>
          <w:szCs w:val="24"/>
        </w:rPr>
        <w:t xml:space="preserve">; the Commission </w:t>
      </w:r>
      <w:proofErr w:type="gramStart"/>
      <w:r w:rsidRPr="00666719">
        <w:rPr>
          <w:rFonts w:ascii="Times New Roman" w:hAnsi="Times New Roman"/>
          <w:szCs w:val="24"/>
        </w:rPr>
        <w:t>is requested</w:t>
      </w:r>
      <w:proofErr w:type="gramEnd"/>
      <w:r w:rsidRPr="00666719">
        <w:rPr>
          <w:rFonts w:ascii="Times New Roman" w:hAnsi="Times New Roman"/>
          <w:szCs w:val="24"/>
        </w:rPr>
        <w:t xml:space="preserve"> to further assess the compliance of such voluntary cooperation with EU law (paragraph 23). </w:t>
      </w:r>
    </w:p>
    <w:p w:rsidR="009C733C" w:rsidRPr="00666719" w:rsidRDefault="009C733C" w:rsidP="009C733C">
      <w:pPr>
        <w:widowControl w:val="0"/>
        <w:spacing w:after="120"/>
        <w:rPr>
          <w:rFonts w:ascii="Times New Roman" w:hAnsi="Times New Roman"/>
          <w:szCs w:val="24"/>
        </w:rPr>
      </w:pPr>
      <w:r w:rsidRPr="00666719">
        <w:rPr>
          <w:rFonts w:ascii="Times New Roman" w:hAnsi="Times New Roman"/>
          <w:szCs w:val="24"/>
        </w:rPr>
        <w:t xml:space="preserve">The European Parliament raises concerns as regards alleged </w:t>
      </w:r>
      <w:r w:rsidRPr="00666719">
        <w:rPr>
          <w:rFonts w:ascii="Times New Roman" w:hAnsi="Times New Roman"/>
          <w:b/>
          <w:szCs w:val="24"/>
        </w:rPr>
        <w:t>surveillance activities</w:t>
      </w:r>
      <w:r w:rsidRPr="00666719">
        <w:rPr>
          <w:rFonts w:ascii="Times New Roman" w:hAnsi="Times New Roman"/>
          <w:szCs w:val="24"/>
        </w:rPr>
        <w:t xml:space="preserve"> of the Japanese Directorate for Signals Intelligence (DFS), reported by media (paragraph 24).</w:t>
      </w:r>
    </w:p>
    <w:p w:rsidR="009C733C" w:rsidRPr="00666719" w:rsidRDefault="009C733C" w:rsidP="009C733C">
      <w:pPr>
        <w:widowControl w:val="0"/>
        <w:spacing w:after="120"/>
        <w:rPr>
          <w:rFonts w:ascii="Times New Roman" w:hAnsi="Times New Roman"/>
          <w:szCs w:val="24"/>
        </w:rPr>
      </w:pPr>
      <w:r w:rsidRPr="00666719">
        <w:rPr>
          <w:rFonts w:ascii="Times New Roman" w:hAnsi="Times New Roman"/>
          <w:szCs w:val="24"/>
        </w:rPr>
        <w:t xml:space="preserve">With reference to </w:t>
      </w:r>
      <w:r w:rsidRPr="00666719">
        <w:rPr>
          <w:rFonts w:ascii="Times New Roman" w:hAnsi="Times New Roman"/>
          <w:b/>
          <w:szCs w:val="24"/>
        </w:rPr>
        <w:t>annex II</w:t>
      </w:r>
      <w:r w:rsidRPr="00666719">
        <w:rPr>
          <w:rFonts w:ascii="Times New Roman" w:hAnsi="Times New Roman"/>
          <w:szCs w:val="24"/>
        </w:rPr>
        <w:t xml:space="preserve"> to the decision, the European Parliament regrets that the document “does not have the same legally binding effect as the Supplementary Rules” (paragraph 25).</w:t>
      </w:r>
    </w:p>
    <w:p w:rsidR="009C733C" w:rsidRPr="005E6A1E" w:rsidRDefault="009C733C" w:rsidP="009C733C">
      <w:pPr>
        <w:widowControl w:val="0"/>
        <w:numPr>
          <w:ilvl w:val="0"/>
          <w:numId w:val="1"/>
        </w:numPr>
        <w:ind w:left="567" w:right="-28" w:hanging="567"/>
        <w:rPr>
          <w:rFonts w:ascii="Times New Roman" w:hAnsi="Times New Roman"/>
          <w:b/>
          <w:szCs w:val="24"/>
        </w:rPr>
      </w:pPr>
      <w:r>
        <w:rPr>
          <w:rFonts w:ascii="Times New Roman" w:eastAsia="Calibri" w:hAnsi="Times New Roman"/>
          <w:b/>
          <w:szCs w:val="24"/>
          <w:lang w:eastAsia="en-US"/>
        </w:rPr>
        <w:t>Response to requests and overview of action taken, or intended to be taken, by the Commission:</w:t>
      </w:r>
    </w:p>
    <w:p w:rsidR="009C733C" w:rsidRDefault="009C733C" w:rsidP="009C733C">
      <w:pPr>
        <w:widowControl w:val="0"/>
        <w:spacing w:after="120"/>
        <w:rPr>
          <w:rFonts w:ascii="Times New Roman" w:hAnsi="Times New Roman"/>
          <w:szCs w:val="24"/>
        </w:rPr>
      </w:pPr>
      <w:r w:rsidRPr="00C646DC">
        <w:rPr>
          <w:rFonts w:ascii="Times New Roman" w:hAnsi="Times New Roman"/>
          <w:szCs w:val="24"/>
        </w:rPr>
        <w:t xml:space="preserve">The </w:t>
      </w:r>
      <w:r>
        <w:rPr>
          <w:rFonts w:ascii="Times New Roman" w:hAnsi="Times New Roman"/>
          <w:szCs w:val="24"/>
        </w:rPr>
        <w:t xml:space="preserve">Commission welcomes the overall positive approach of the European Parliament to the implementing measure under consideration and fully shares its assessment that the decision concerning Japan is essential for the global promotion of high data protection standards and as a complement to the Economic Partnership Agreement. </w:t>
      </w:r>
      <w:r w:rsidRPr="00C05768">
        <w:rPr>
          <w:rFonts w:ascii="Times New Roman" w:hAnsi="Times New Roman"/>
          <w:szCs w:val="24"/>
        </w:rPr>
        <w:t>As adopted on 23 January 2019</w:t>
      </w:r>
      <w:r>
        <w:rPr>
          <w:rFonts w:ascii="Times New Roman" w:hAnsi="Times New Roman"/>
          <w:szCs w:val="24"/>
        </w:rPr>
        <w:t xml:space="preserve">, together with the parallel adequacy finding for the European Union by Japan, it </w:t>
      </w:r>
      <w:r w:rsidRPr="00C05768">
        <w:rPr>
          <w:rFonts w:ascii="Times New Roman" w:hAnsi="Times New Roman"/>
          <w:szCs w:val="24"/>
        </w:rPr>
        <w:t>created</w:t>
      </w:r>
      <w:r>
        <w:rPr>
          <w:rFonts w:ascii="Times New Roman" w:hAnsi="Times New Roman"/>
          <w:szCs w:val="24"/>
        </w:rPr>
        <w:t xml:space="preserve"> the largest area of free and safe data flows in the world.</w:t>
      </w:r>
    </w:p>
    <w:p w:rsidR="009C733C" w:rsidRDefault="009C733C" w:rsidP="009C733C">
      <w:pPr>
        <w:widowControl w:val="0"/>
        <w:spacing w:after="120"/>
        <w:rPr>
          <w:rFonts w:ascii="Times New Roman" w:hAnsi="Times New Roman"/>
          <w:szCs w:val="24"/>
        </w:rPr>
      </w:pPr>
      <w:r w:rsidRPr="00C05768">
        <w:rPr>
          <w:rFonts w:ascii="Times New Roman" w:hAnsi="Times New Roman"/>
          <w:szCs w:val="24"/>
        </w:rPr>
        <w:lastRenderedPageBreak/>
        <w:t>Prior to adoption, the</w:t>
      </w:r>
      <w:r>
        <w:rPr>
          <w:rFonts w:ascii="Times New Roman" w:hAnsi="Times New Roman"/>
          <w:szCs w:val="24"/>
        </w:rPr>
        <w:t xml:space="preserve"> Commission also duly examined the specific observations made by the European Parliament in the resolution. While it ultimately does not share the concerns, these observations </w:t>
      </w:r>
      <w:r w:rsidRPr="00C05768">
        <w:rPr>
          <w:rFonts w:ascii="Times New Roman" w:hAnsi="Times New Roman"/>
          <w:szCs w:val="24"/>
        </w:rPr>
        <w:t>were</w:t>
      </w:r>
      <w:r>
        <w:rPr>
          <w:rFonts w:ascii="Times New Roman" w:hAnsi="Times New Roman"/>
          <w:szCs w:val="24"/>
        </w:rPr>
        <w:t xml:space="preserve"> helpful as they showed where further clarifications </w:t>
      </w:r>
      <w:proofErr w:type="gramStart"/>
      <w:r w:rsidRPr="00C05768">
        <w:rPr>
          <w:rFonts w:ascii="Times New Roman" w:hAnsi="Times New Roman"/>
          <w:szCs w:val="24"/>
        </w:rPr>
        <w:t>were</w:t>
      </w:r>
      <w:r>
        <w:rPr>
          <w:rFonts w:ascii="Times New Roman" w:hAnsi="Times New Roman"/>
          <w:szCs w:val="24"/>
        </w:rPr>
        <w:t xml:space="preserve"> needed</w:t>
      </w:r>
      <w:proofErr w:type="gramEnd"/>
      <w:r>
        <w:rPr>
          <w:rFonts w:ascii="Times New Roman" w:hAnsi="Times New Roman"/>
          <w:szCs w:val="24"/>
        </w:rPr>
        <w:t xml:space="preserve"> (as well as where the focus of future reviews and monitoring should be). </w:t>
      </w:r>
      <w:r w:rsidRPr="00C05768">
        <w:rPr>
          <w:rFonts w:ascii="Times New Roman" w:hAnsi="Times New Roman"/>
          <w:szCs w:val="24"/>
        </w:rPr>
        <w:t xml:space="preserve">Thus, the Commission </w:t>
      </w:r>
      <w:proofErr w:type="gramStart"/>
      <w:r w:rsidRPr="00C05768">
        <w:rPr>
          <w:rFonts w:ascii="Times New Roman" w:hAnsi="Times New Roman"/>
          <w:szCs w:val="24"/>
        </w:rPr>
        <w:t>took</w:t>
      </w:r>
      <w:r>
        <w:rPr>
          <w:rFonts w:ascii="Times New Roman" w:hAnsi="Times New Roman"/>
          <w:szCs w:val="24"/>
        </w:rPr>
        <w:t xml:space="preserve"> them into account</w:t>
      </w:r>
      <w:proofErr w:type="gramEnd"/>
      <w:r>
        <w:rPr>
          <w:rFonts w:ascii="Times New Roman" w:hAnsi="Times New Roman"/>
          <w:szCs w:val="24"/>
        </w:rPr>
        <w:t xml:space="preserve"> while revising the draft of the decision and added relevant clarifications and explanations in the recitals. The revised decision also clearly identifies certain issues that </w:t>
      </w:r>
      <w:proofErr w:type="gramStart"/>
      <w:r>
        <w:rPr>
          <w:rFonts w:ascii="Times New Roman" w:hAnsi="Times New Roman"/>
          <w:szCs w:val="24"/>
        </w:rPr>
        <w:t>should be monitored</w:t>
      </w:r>
      <w:proofErr w:type="gramEnd"/>
      <w:r>
        <w:rPr>
          <w:rFonts w:ascii="Times New Roman" w:hAnsi="Times New Roman"/>
          <w:szCs w:val="24"/>
        </w:rPr>
        <w:t xml:space="preserve"> by the Commission.</w:t>
      </w:r>
    </w:p>
    <w:p w:rsidR="009C733C" w:rsidRDefault="009C733C" w:rsidP="009C733C">
      <w:pPr>
        <w:widowControl w:val="0"/>
        <w:spacing w:after="120"/>
        <w:rPr>
          <w:rFonts w:ascii="Times New Roman" w:hAnsi="Times New Roman"/>
          <w:szCs w:val="24"/>
        </w:rPr>
      </w:pPr>
      <w:r>
        <w:rPr>
          <w:rFonts w:ascii="Times New Roman" w:hAnsi="Times New Roman"/>
          <w:szCs w:val="24"/>
        </w:rPr>
        <w:t xml:space="preserve">As regards </w:t>
      </w:r>
      <w:r w:rsidRPr="00C646DC">
        <w:rPr>
          <w:rFonts w:ascii="Times New Roman" w:hAnsi="Times New Roman"/>
          <w:szCs w:val="24"/>
        </w:rPr>
        <w:t xml:space="preserve">the </w:t>
      </w:r>
      <w:r w:rsidRPr="00E230E2">
        <w:rPr>
          <w:rFonts w:ascii="Times New Roman" w:hAnsi="Times New Roman"/>
          <w:b/>
          <w:szCs w:val="24"/>
        </w:rPr>
        <w:t>scope of the decision</w:t>
      </w:r>
      <w:r>
        <w:rPr>
          <w:rFonts w:ascii="Times New Roman" w:hAnsi="Times New Roman"/>
          <w:szCs w:val="24"/>
        </w:rPr>
        <w:t>, d</w:t>
      </w:r>
      <w:r w:rsidRPr="00E230E2">
        <w:rPr>
          <w:rFonts w:ascii="Times New Roman" w:hAnsi="Times New Roman"/>
          <w:szCs w:val="24"/>
        </w:rPr>
        <w:t xml:space="preserve">etailed explanations </w:t>
      </w:r>
      <w:proofErr w:type="gramStart"/>
      <w:r>
        <w:rPr>
          <w:rFonts w:ascii="Times New Roman" w:hAnsi="Times New Roman"/>
          <w:szCs w:val="24"/>
        </w:rPr>
        <w:t>have been added</w:t>
      </w:r>
      <w:proofErr w:type="gramEnd"/>
      <w:r>
        <w:rPr>
          <w:rFonts w:ascii="Times New Roman" w:hAnsi="Times New Roman"/>
          <w:szCs w:val="24"/>
        </w:rPr>
        <w:t xml:space="preserve">, in particular in recitals 20 to 22 of the decision. </w:t>
      </w:r>
      <w:proofErr w:type="gramStart"/>
      <w:r w:rsidRPr="00E230E2">
        <w:rPr>
          <w:rFonts w:ascii="Times New Roman" w:hAnsi="Times New Roman"/>
          <w:szCs w:val="24"/>
        </w:rPr>
        <w:t xml:space="preserve">Moreover, the recommendation of the </w:t>
      </w:r>
      <w:r>
        <w:rPr>
          <w:rFonts w:ascii="Times New Roman" w:hAnsi="Times New Roman"/>
          <w:szCs w:val="24"/>
        </w:rPr>
        <w:t>European Parliament</w:t>
      </w:r>
      <w:r w:rsidRPr="00E230E2">
        <w:rPr>
          <w:rFonts w:ascii="Times New Roman" w:hAnsi="Times New Roman"/>
          <w:szCs w:val="24"/>
        </w:rPr>
        <w:t xml:space="preserve"> is followed-up by the addition of </w:t>
      </w:r>
      <w:r>
        <w:rPr>
          <w:rFonts w:ascii="Times New Roman" w:hAnsi="Times New Roman"/>
          <w:szCs w:val="24"/>
        </w:rPr>
        <w:t>a</w:t>
      </w:r>
      <w:r w:rsidRPr="00E230E2">
        <w:rPr>
          <w:rFonts w:ascii="Times New Roman" w:hAnsi="Times New Roman"/>
          <w:szCs w:val="24"/>
        </w:rPr>
        <w:t xml:space="preserve"> new </w:t>
      </w:r>
      <w:r>
        <w:rPr>
          <w:rFonts w:ascii="Times New Roman" w:hAnsi="Times New Roman"/>
          <w:szCs w:val="24"/>
        </w:rPr>
        <w:t>paragraph in the operative part (</w:t>
      </w:r>
      <w:r w:rsidRPr="00E230E2">
        <w:rPr>
          <w:rFonts w:ascii="Times New Roman" w:hAnsi="Times New Roman"/>
          <w:szCs w:val="24"/>
        </w:rPr>
        <w:t>Article</w:t>
      </w:r>
      <w:r>
        <w:rPr>
          <w:rFonts w:ascii="Times New Roman" w:hAnsi="Times New Roman"/>
          <w:szCs w:val="24"/>
        </w:rPr>
        <w:t> </w:t>
      </w:r>
      <w:r w:rsidRPr="00E230E2">
        <w:rPr>
          <w:rFonts w:ascii="Times New Roman" w:hAnsi="Times New Roman"/>
          <w:szCs w:val="24"/>
        </w:rPr>
        <w:t>3(1)</w:t>
      </w:r>
      <w:r w:rsidRPr="00900D1F">
        <w:t xml:space="preserve"> </w:t>
      </w:r>
      <w:r w:rsidRPr="00C05768">
        <w:rPr>
          <w:rFonts w:ascii="Times New Roman" w:hAnsi="Times New Roman"/>
          <w:szCs w:val="24"/>
        </w:rPr>
        <w:t>providing that the</w:t>
      </w:r>
      <w:r>
        <w:t xml:space="preserve"> </w:t>
      </w:r>
      <w:r w:rsidRPr="00900D1F">
        <w:rPr>
          <w:rFonts w:ascii="Times New Roman" w:hAnsi="Times New Roman"/>
          <w:szCs w:val="24"/>
        </w:rPr>
        <w:t xml:space="preserve">Commission shall continuously monitor the application of the </w:t>
      </w:r>
      <w:r>
        <w:rPr>
          <w:rFonts w:ascii="Times New Roman" w:hAnsi="Times New Roman"/>
          <w:szCs w:val="24"/>
        </w:rPr>
        <w:t xml:space="preserve">relevant Japanese </w:t>
      </w:r>
      <w:r w:rsidRPr="00900D1F">
        <w:rPr>
          <w:rFonts w:ascii="Times New Roman" w:hAnsi="Times New Roman"/>
          <w:szCs w:val="24"/>
        </w:rPr>
        <w:t>legal framework</w:t>
      </w:r>
      <w:r>
        <w:rPr>
          <w:rFonts w:ascii="Times New Roman" w:hAnsi="Times New Roman"/>
          <w:szCs w:val="24"/>
        </w:rPr>
        <w:t xml:space="preserve">), </w:t>
      </w:r>
      <w:r w:rsidRPr="00E230E2">
        <w:rPr>
          <w:rFonts w:ascii="Times New Roman" w:hAnsi="Times New Roman"/>
          <w:szCs w:val="24"/>
        </w:rPr>
        <w:t>as well as by recital 177 on monitoring</w:t>
      </w:r>
      <w:r>
        <w:rPr>
          <w:rFonts w:ascii="Times New Roman" w:hAnsi="Times New Roman"/>
          <w:szCs w:val="24"/>
        </w:rPr>
        <w:t xml:space="preserve"> (which clarifies that this also covers the “</w:t>
      </w:r>
      <w:r w:rsidRPr="00900D1F">
        <w:rPr>
          <w:rFonts w:ascii="Times New Roman" w:hAnsi="Times New Roman"/>
          <w:szCs w:val="24"/>
        </w:rPr>
        <w:t>actual practice for the processing of personal data</w:t>
      </w:r>
      <w:r>
        <w:rPr>
          <w:rFonts w:ascii="Times New Roman" w:hAnsi="Times New Roman"/>
          <w:szCs w:val="24"/>
        </w:rPr>
        <w:t>”, thereby including the practical impact of the different concepts used in the Japanese data protection law on the protection of personal data transferred to Japan in practice)</w:t>
      </w:r>
      <w:r w:rsidRPr="00E230E2">
        <w:rPr>
          <w:rFonts w:ascii="Times New Roman" w:hAnsi="Times New Roman"/>
          <w:szCs w:val="24"/>
        </w:rPr>
        <w:t>.</w:t>
      </w:r>
      <w:proofErr w:type="gramEnd"/>
    </w:p>
    <w:p w:rsidR="009C733C" w:rsidRDefault="009C733C" w:rsidP="009C733C">
      <w:pPr>
        <w:widowControl w:val="0"/>
        <w:spacing w:after="120"/>
        <w:rPr>
          <w:rFonts w:ascii="Times New Roman" w:hAnsi="Times New Roman"/>
          <w:szCs w:val="24"/>
        </w:rPr>
      </w:pPr>
      <w:r>
        <w:rPr>
          <w:rFonts w:ascii="Times New Roman" w:hAnsi="Times New Roman"/>
          <w:szCs w:val="24"/>
        </w:rPr>
        <w:t xml:space="preserve">On the continuity of strengthened </w:t>
      </w:r>
      <w:r w:rsidRPr="00820800">
        <w:rPr>
          <w:rFonts w:ascii="Times New Roman" w:hAnsi="Times New Roman"/>
          <w:b/>
          <w:szCs w:val="24"/>
        </w:rPr>
        <w:t>protection throughout the life cycle</w:t>
      </w:r>
      <w:r>
        <w:rPr>
          <w:rFonts w:ascii="Times New Roman" w:hAnsi="Times New Roman"/>
          <w:szCs w:val="24"/>
        </w:rPr>
        <w:t xml:space="preserve"> of the data transferred, the concerns of the European Parliament </w:t>
      </w:r>
      <w:proofErr w:type="gramStart"/>
      <w:r>
        <w:rPr>
          <w:rFonts w:ascii="Times New Roman" w:hAnsi="Times New Roman"/>
          <w:szCs w:val="24"/>
        </w:rPr>
        <w:t>have been a</w:t>
      </w:r>
      <w:r w:rsidRPr="00E230E2">
        <w:rPr>
          <w:rFonts w:ascii="Times New Roman" w:hAnsi="Times New Roman"/>
          <w:szCs w:val="24"/>
        </w:rPr>
        <w:t>ddress</w:t>
      </w:r>
      <w:r>
        <w:rPr>
          <w:rFonts w:ascii="Times New Roman" w:hAnsi="Times New Roman"/>
          <w:szCs w:val="24"/>
        </w:rPr>
        <w:t>ed</w:t>
      </w:r>
      <w:proofErr w:type="gramEnd"/>
      <w:r>
        <w:rPr>
          <w:rFonts w:ascii="Times New Roman" w:hAnsi="Times New Roman"/>
          <w:szCs w:val="24"/>
        </w:rPr>
        <w:t xml:space="preserve"> in recital 15 and footnote </w:t>
      </w:r>
      <w:r w:rsidRPr="00C05768">
        <w:rPr>
          <w:rFonts w:ascii="Times New Roman" w:hAnsi="Times New Roman"/>
          <w:szCs w:val="24"/>
        </w:rPr>
        <w:t>13</w:t>
      </w:r>
      <w:r>
        <w:rPr>
          <w:rFonts w:ascii="Times New Roman" w:hAnsi="Times New Roman"/>
          <w:szCs w:val="24"/>
        </w:rPr>
        <w:t>.</w:t>
      </w:r>
      <w:r w:rsidRPr="00E230E2">
        <w:rPr>
          <w:rFonts w:ascii="Times New Roman" w:hAnsi="Times New Roman"/>
          <w:szCs w:val="24"/>
        </w:rPr>
        <w:t xml:space="preserve"> </w:t>
      </w:r>
      <w:r>
        <w:rPr>
          <w:rFonts w:ascii="Times New Roman" w:hAnsi="Times New Roman"/>
          <w:szCs w:val="24"/>
        </w:rPr>
        <w:t xml:space="preserve">Further amendments to </w:t>
      </w:r>
      <w:r w:rsidRPr="00E230E2">
        <w:rPr>
          <w:rFonts w:ascii="Times New Roman" w:hAnsi="Times New Roman"/>
          <w:szCs w:val="24"/>
        </w:rPr>
        <w:t>Article 3(1), (2)</w:t>
      </w:r>
      <w:r>
        <w:rPr>
          <w:rFonts w:ascii="Times New Roman" w:hAnsi="Times New Roman"/>
          <w:szCs w:val="24"/>
        </w:rPr>
        <w:t>,</w:t>
      </w:r>
      <w:r w:rsidRPr="00E230E2">
        <w:rPr>
          <w:rFonts w:ascii="Times New Roman" w:hAnsi="Times New Roman"/>
          <w:szCs w:val="24"/>
        </w:rPr>
        <w:t xml:space="preserve"> recital 177 (monitoring) and recitals 180</w:t>
      </w:r>
      <w:r>
        <w:rPr>
          <w:rFonts w:ascii="Times New Roman" w:hAnsi="Times New Roman"/>
          <w:szCs w:val="24"/>
        </w:rPr>
        <w:t xml:space="preserve"> to </w:t>
      </w:r>
      <w:r w:rsidRPr="00E230E2">
        <w:rPr>
          <w:rFonts w:ascii="Times New Roman" w:hAnsi="Times New Roman"/>
          <w:szCs w:val="24"/>
        </w:rPr>
        <w:t>183 (review)</w:t>
      </w:r>
      <w:r>
        <w:rPr>
          <w:rFonts w:ascii="Times New Roman" w:hAnsi="Times New Roman"/>
          <w:szCs w:val="24"/>
        </w:rPr>
        <w:t xml:space="preserve"> refer to appropriate follow-up of the issues mentioned in paragraph 19 of the resolution.</w:t>
      </w:r>
    </w:p>
    <w:p w:rsidR="009C733C" w:rsidRDefault="009C733C" w:rsidP="009C733C">
      <w:pPr>
        <w:widowControl w:val="0"/>
        <w:spacing w:after="120"/>
        <w:rPr>
          <w:rFonts w:ascii="Times New Roman" w:hAnsi="Times New Roman"/>
          <w:szCs w:val="24"/>
        </w:rPr>
      </w:pPr>
      <w:r>
        <w:rPr>
          <w:rFonts w:ascii="Times New Roman" w:hAnsi="Times New Roman"/>
          <w:szCs w:val="24"/>
        </w:rPr>
        <w:t xml:space="preserve">Concerning the continuity of protections applicable </w:t>
      </w:r>
      <w:r w:rsidRPr="007C324C">
        <w:rPr>
          <w:rFonts w:ascii="Times New Roman" w:hAnsi="Times New Roman"/>
          <w:b/>
          <w:szCs w:val="24"/>
        </w:rPr>
        <w:t xml:space="preserve">to automated decision-making </w:t>
      </w:r>
      <w:r w:rsidRPr="004E555D">
        <w:rPr>
          <w:rFonts w:ascii="Times New Roman" w:hAnsi="Times New Roman"/>
          <w:szCs w:val="24"/>
        </w:rPr>
        <w:t>and</w:t>
      </w:r>
      <w:r w:rsidRPr="007C324C">
        <w:rPr>
          <w:rFonts w:ascii="Times New Roman" w:hAnsi="Times New Roman"/>
          <w:b/>
          <w:szCs w:val="24"/>
        </w:rPr>
        <w:t xml:space="preserve"> direct marketing</w:t>
      </w:r>
      <w:r>
        <w:rPr>
          <w:rFonts w:ascii="Times New Roman" w:hAnsi="Times New Roman"/>
          <w:szCs w:val="24"/>
        </w:rPr>
        <w:t xml:space="preserve">, the Commission continues to believe that the issue is of no (or only minor) relevance in the context of international data transfers covered by the decision. </w:t>
      </w:r>
      <w:r w:rsidRPr="007C324C">
        <w:rPr>
          <w:rFonts w:ascii="Times New Roman" w:hAnsi="Times New Roman"/>
          <w:szCs w:val="24"/>
        </w:rPr>
        <w:t>Automated decisions will typically be taken by the E</w:t>
      </w:r>
      <w:r>
        <w:rPr>
          <w:rFonts w:ascii="Times New Roman" w:hAnsi="Times New Roman"/>
          <w:szCs w:val="24"/>
        </w:rPr>
        <w:t>uropean</w:t>
      </w:r>
      <w:r w:rsidRPr="007C324C">
        <w:rPr>
          <w:rFonts w:ascii="Times New Roman" w:hAnsi="Times New Roman"/>
          <w:szCs w:val="24"/>
        </w:rPr>
        <w:t xml:space="preserve"> data exporter (which merely “outsources” processing). </w:t>
      </w:r>
      <w:r>
        <w:rPr>
          <w:rFonts w:ascii="Times New Roman" w:hAnsi="Times New Roman"/>
          <w:szCs w:val="24"/>
        </w:rPr>
        <w:t>In the exceptional case w</w:t>
      </w:r>
      <w:r w:rsidRPr="007C324C">
        <w:rPr>
          <w:rFonts w:ascii="Times New Roman" w:hAnsi="Times New Roman"/>
          <w:szCs w:val="24"/>
        </w:rPr>
        <w:t xml:space="preserve">here </w:t>
      </w:r>
      <w:r>
        <w:rPr>
          <w:rFonts w:ascii="Times New Roman" w:hAnsi="Times New Roman"/>
          <w:szCs w:val="24"/>
        </w:rPr>
        <w:t xml:space="preserve">the </w:t>
      </w:r>
      <w:r w:rsidRPr="007C324C">
        <w:rPr>
          <w:rFonts w:ascii="Times New Roman" w:hAnsi="Times New Roman"/>
          <w:szCs w:val="24"/>
        </w:rPr>
        <w:t xml:space="preserve">Japanese data importer or any further recipient in Japan </w:t>
      </w:r>
      <w:r>
        <w:rPr>
          <w:rFonts w:ascii="Times New Roman" w:hAnsi="Times New Roman"/>
          <w:szCs w:val="24"/>
        </w:rPr>
        <w:t xml:space="preserve">would itself </w:t>
      </w:r>
      <w:r w:rsidRPr="007C324C">
        <w:rPr>
          <w:rFonts w:ascii="Times New Roman" w:hAnsi="Times New Roman"/>
          <w:szCs w:val="24"/>
        </w:rPr>
        <w:t xml:space="preserve">take </w:t>
      </w:r>
      <w:r>
        <w:rPr>
          <w:rFonts w:ascii="Times New Roman" w:hAnsi="Times New Roman"/>
          <w:szCs w:val="24"/>
        </w:rPr>
        <w:t xml:space="preserve">a </w:t>
      </w:r>
      <w:r w:rsidRPr="007C324C">
        <w:rPr>
          <w:rFonts w:ascii="Times New Roman" w:hAnsi="Times New Roman"/>
          <w:szCs w:val="24"/>
        </w:rPr>
        <w:t>decision directly vis-à-vis the E</w:t>
      </w:r>
      <w:r>
        <w:rPr>
          <w:rFonts w:ascii="Times New Roman" w:hAnsi="Times New Roman"/>
          <w:szCs w:val="24"/>
        </w:rPr>
        <w:t xml:space="preserve">uropean </w:t>
      </w:r>
      <w:r w:rsidRPr="007C324C">
        <w:rPr>
          <w:rFonts w:ascii="Times New Roman" w:hAnsi="Times New Roman"/>
          <w:szCs w:val="24"/>
        </w:rPr>
        <w:t>U</w:t>
      </w:r>
      <w:r>
        <w:rPr>
          <w:rFonts w:ascii="Times New Roman" w:hAnsi="Times New Roman"/>
          <w:szCs w:val="24"/>
        </w:rPr>
        <w:t>nion</w:t>
      </w:r>
      <w:r w:rsidRPr="007C324C">
        <w:rPr>
          <w:rFonts w:ascii="Times New Roman" w:hAnsi="Times New Roman"/>
          <w:szCs w:val="24"/>
        </w:rPr>
        <w:t xml:space="preserve"> individual, it </w:t>
      </w:r>
      <w:r>
        <w:rPr>
          <w:rFonts w:ascii="Times New Roman" w:hAnsi="Times New Roman"/>
          <w:szCs w:val="24"/>
        </w:rPr>
        <w:t>would</w:t>
      </w:r>
      <w:r w:rsidRPr="007C324C">
        <w:rPr>
          <w:rFonts w:ascii="Times New Roman" w:hAnsi="Times New Roman"/>
          <w:szCs w:val="24"/>
        </w:rPr>
        <w:t xml:space="preserve"> in (almost) all cases fall directly within scope of application of GDPR </w:t>
      </w:r>
      <w:r>
        <w:rPr>
          <w:rFonts w:ascii="Times New Roman" w:hAnsi="Times New Roman"/>
          <w:szCs w:val="24"/>
        </w:rPr>
        <w:t xml:space="preserve">pursuant to its </w:t>
      </w:r>
      <w:r w:rsidRPr="007C324C">
        <w:rPr>
          <w:rFonts w:ascii="Times New Roman" w:hAnsi="Times New Roman"/>
          <w:szCs w:val="24"/>
        </w:rPr>
        <w:t>Art</w:t>
      </w:r>
      <w:r>
        <w:rPr>
          <w:rFonts w:ascii="Times New Roman" w:hAnsi="Times New Roman"/>
          <w:szCs w:val="24"/>
        </w:rPr>
        <w:t>icle </w:t>
      </w:r>
      <w:r w:rsidRPr="007C324C">
        <w:rPr>
          <w:rFonts w:ascii="Times New Roman" w:hAnsi="Times New Roman"/>
          <w:szCs w:val="24"/>
        </w:rPr>
        <w:t>3</w:t>
      </w:r>
      <w:r>
        <w:rPr>
          <w:rFonts w:ascii="Times New Roman" w:hAnsi="Times New Roman"/>
          <w:szCs w:val="24"/>
        </w:rPr>
        <w:t xml:space="preserve"> </w:t>
      </w:r>
      <w:r w:rsidRPr="007C324C">
        <w:rPr>
          <w:rFonts w:ascii="Times New Roman" w:hAnsi="Times New Roman"/>
          <w:szCs w:val="24"/>
        </w:rPr>
        <w:t>(2)</w:t>
      </w:r>
      <w:r>
        <w:rPr>
          <w:rFonts w:ascii="Times New Roman" w:hAnsi="Times New Roman"/>
          <w:szCs w:val="24"/>
        </w:rPr>
        <w:t xml:space="preserve"> </w:t>
      </w:r>
      <w:r w:rsidRPr="007C324C">
        <w:rPr>
          <w:rFonts w:ascii="Times New Roman" w:hAnsi="Times New Roman"/>
          <w:szCs w:val="24"/>
        </w:rPr>
        <w:t>(a) or (b)</w:t>
      </w:r>
      <w:r>
        <w:rPr>
          <w:rFonts w:ascii="Times New Roman" w:hAnsi="Times New Roman"/>
          <w:szCs w:val="24"/>
        </w:rPr>
        <w:t xml:space="preserve"> (see recital 94 and footnote </w:t>
      </w:r>
      <w:r w:rsidRPr="00C05768">
        <w:rPr>
          <w:rFonts w:ascii="Times New Roman" w:hAnsi="Times New Roman"/>
          <w:szCs w:val="24"/>
        </w:rPr>
        <w:t>56</w:t>
      </w:r>
      <w:r w:rsidRPr="007C324C">
        <w:rPr>
          <w:rFonts w:ascii="Times New Roman" w:hAnsi="Times New Roman"/>
          <w:szCs w:val="24"/>
        </w:rPr>
        <w:t xml:space="preserve">). </w:t>
      </w:r>
      <w:r>
        <w:rPr>
          <w:rFonts w:ascii="Times New Roman" w:hAnsi="Times New Roman"/>
          <w:szCs w:val="24"/>
        </w:rPr>
        <w:t>However, the Commission agrees that this question should be subject to m</w:t>
      </w:r>
      <w:r w:rsidRPr="007C324C">
        <w:rPr>
          <w:rFonts w:ascii="Times New Roman" w:hAnsi="Times New Roman"/>
          <w:szCs w:val="24"/>
        </w:rPr>
        <w:t>onitoring</w:t>
      </w:r>
      <w:r>
        <w:rPr>
          <w:rFonts w:ascii="Times New Roman" w:hAnsi="Times New Roman"/>
          <w:szCs w:val="24"/>
        </w:rPr>
        <w:t xml:space="preserve">. </w:t>
      </w:r>
      <w:proofErr w:type="gramStart"/>
      <w:r>
        <w:rPr>
          <w:rFonts w:ascii="Times New Roman" w:hAnsi="Times New Roman"/>
          <w:szCs w:val="24"/>
        </w:rPr>
        <w:t>The points raised by the European Parliament have been addressed in the aforementioned Article 3 (1), (2),</w:t>
      </w:r>
      <w:r w:rsidRPr="007C324C">
        <w:rPr>
          <w:rFonts w:ascii="Times New Roman" w:hAnsi="Times New Roman"/>
          <w:szCs w:val="24"/>
        </w:rPr>
        <w:t xml:space="preserve"> recital 177 (monitoring)</w:t>
      </w:r>
      <w:r>
        <w:rPr>
          <w:rFonts w:ascii="Times New Roman" w:hAnsi="Times New Roman"/>
          <w:szCs w:val="24"/>
        </w:rPr>
        <w:t>,</w:t>
      </w:r>
      <w:r w:rsidRPr="007C324C">
        <w:rPr>
          <w:rFonts w:ascii="Times New Roman" w:hAnsi="Times New Roman"/>
          <w:szCs w:val="24"/>
        </w:rPr>
        <w:t xml:space="preserve"> a</w:t>
      </w:r>
      <w:r>
        <w:rPr>
          <w:rFonts w:ascii="Times New Roman" w:hAnsi="Times New Roman"/>
          <w:szCs w:val="24"/>
        </w:rPr>
        <w:t>s</w:t>
      </w:r>
      <w:r w:rsidRPr="007C324C">
        <w:rPr>
          <w:rFonts w:ascii="Times New Roman" w:hAnsi="Times New Roman"/>
          <w:szCs w:val="24"/>
        </w:rPr>
        <w:t xml:space="preserve"> </w:t>
      </w:r>
      <w:r>
        <w:rPr>
          <w:rFonts w:ascii="Times New Roman" w:hAnsi="Times New Roman"/>
          <w:szCs w:val="24"/>
        </w:rPr>
        <w:t xml:space="preserve">well as in </w:t>
      </w:r>
      <w:r w:rsidRPr="007C324C">
        <w:rPr>
          <w:rFonts w:ascii="Times New Roman" w:hAnsi="Times New Roman"/>
          <w:szCs w:val="24"/>
        </w:rPr>
        <w:t>recitals 180</w:t>
      </w:r>
      <w:r>
        <w:rPr>
          <w:rFonts w:ascii="Times New Roman" w:hAnsi="Times New Roman"/>
          <w:szCs w:val="24"/>
        </w:rPr>
        <w:t xml:space="preserve"> to </w:t>
      </w:r>
      <w:r w:rsidRPr="007C324C">
        <w:rPr>
          <w:rFonts w:ascii="Times New Roman" w:hAnsi="Times New Roman"/>
          <w:szCs w:val="24"/>
        </w:rPr>
        <w:t xml:space="preserve">183 </w:t>
      </w:r>
      <w:r>
        <w:rPr>
          <w:rFonts w:ascii="Times New Roman" w:hAnsi="Times New Roman"/>
          <w:szCs w:val="24"/>
        </w:rPr>
        <w:t xml:space="preserve">on </w:t>
      </w:r>
      <w:r w:rsidRPr="007C324C">
        <w:rPr>
          <w:rFonts w:ascii="Times New Roman" w:hAnsi="Times New Roman"/>
          <w:szCs w:val="24"/>
        </w:rPr>
        <w:t>review</w:t>
      </w:r>
      <w:r>
        <w:rPr>
          <w:rFonts w:ascii="Times New Roman" w:hAnsi="Times New Roman"/>
          <w:szCs w:val="24"/>
        </w:rPr>
        <w:t xml:space="preserve"> (i.e. a commitment to carry out periodical</w:t>
      </w:r>
      <w:r w:rsidRPr="009C42A4">
        <w:rPr>
          <w:rFonts w:ascii="Times New Roman" w:hAnsi="Times New Roman"/>
          <w:szCs w:val="24"/>
        </w:rPr>
        <w:t xml:space="preserve"> check</w:t>
      </w:r>
      <w:r>
        <w:rPr>
          <w:rFonts w:ascii="Times New Roman" w:hAnsi="Times New Roman"/>
          <w:szCs w:val="24"/>
        </w:rPr>
        <w:t>s</w:t>
      </w:r>
      <w:r w:rsidRPr="009C42A4">
        <w:rPr>
          <w:rFonts w:ascii="Times New Roman" w:hAnsi="Times New Roman"/>
          <w:szCs w:val="24"/>
        </w:rPr>
        <w:t xml:space="preserve"> whether </w:t>
      </w:r>
      <w:r>
        <w:rPr>
          <w:rFonts w:ascii="Times New Roman" w:hAnsi="Times New Roman"/>
          <w:szCs w:val="24"/>
        </w:rPr>
        <w:t xml:space="preserve">all </w:t>
      </w:r>
      <w:r w:rsidRPr="009C42A4">
        <w:rPr>
          <w:rFonts w:ascii="Times New Roman" w:hAnsi="Times New Roman"/>
          <w:szCs w:val="24"/>
        </w:rPr>
        <w:t xml:space="preserve">the findings </w:t>
      </w:r>
      <w:r>
        <w:rPr>
          <w:rFonts w:ascii="Times New Roman" w:hAnsi="Times New Roman"/>
          <w:szCs w:val="24"/>
        </w:rPr>
        <w:t xml:space="preserve">included in the decision, hence including those concerning </w:t>
      </w:r>
      <w:r w:rsidRPr="009C42A4">
        <w:rPr>
          <w:rFonts w:ascii="Times New Roman" w:hAnsi="Times New Roman"/>
          <w:szCs w:val="24"/>
        </w:rPr>
        <w:t>automated decisio</w:t>
      </w:r>
      <w:r>
        <w:rPr>
          <w:rFonts w:ascii="Times New Roman" w:hAnsi="Times New Roman"/>
          <w:szCs w:val="24"/>
        </w:rPr>
        <w:t>n-making and direct marketing, “</w:t>
      </w:r>
      <w:r w:rsidRPr="009C42A4">
        <w:rPr>
          <w:rFonts w:ascii="Times New Roman" w:hAnsi="Times New Roman"/>
          <w:szCs w:val="24"/>
        </w:rPr>
        <w:t>are still factually and legally justified</w:t>
      </w:r>
      <w:r>
        <w:rPr>
          <w:rFonts w:ascii="Times New Roman" w:hAnsi="Times New Roman"/>
          <w:szCs w:val="24"/>
        </w:rPr>
        <w:t>”).</w:t>
      </w:r>
      <w:proofErr w:type="gramEnd"/>
    </w:p>
    <w:p w:rsidR="009C733C" w:rsidRPr="008955DE" w:rsidRDefault="009C733C" w:rsidP="009C733C">
      <w:pPr>
        <w:widowControl w:val="0"/>
        <w:spacing w:after="120"/>
        <w:rPr>
          <w:rFonts w:ascii="Times New Roman" w:hAnsi="Times New Roman"/>
          <w:szCs w:val="24"/>
        </w:rPr>
      </w:pPr>
      <w:r>
        <w:rPr>
          <w:rFonts w:ascii="Times New Roman" w:hAnsi="Times New Roman"/>
          <w:szCs w:val="24"/>
        </w:rPr>
        <w:t xml:space="preserve">As regards the observations on </w:t>
      </w:r>
      <w:r w:rsidRPr="00CB71D7">
        <w:rPr>
          <w:rFonts w:ascii="Times New Roman" w:hAnsi="Times New Roman"/>
          <w:b/>
          <w:szCs w:val="24"/>
        </w:rPr>
        <w:t>onward transfers</w:t>
      </w:r>
      <w:r>
        <w:rPr>
          <w:rFonts w:ascii="Times New Roman" w:hAnsi="Times New Roman"/>
          <w:szCs w:val="24"/>
        </w:rPr>
        <w:t>,</w:t>
      </w:r>
      <w:r w:rsidRPr="007C324C">
        <w:rPr>
          <w:rFonts w:ascii="Times New Roman" w:hAnsi="Times New Roman"/>
          <w:szCs w:val="24"/>
        </w:rPr>
        <w:t xml:space="preserve"> the Commission </w:t>
      </w:r>
      <w:r>
        <w:rPr>
          <w:rFonts w:ascii="Times New Roman" w:hAnsi="Times New Roman"/>
          <w:szCs w:val="24"/>
        </w:rPr>
        <w:t xml:space="preserve">recalls that adequacy does not mean identity of rules and hence, in order to </w:t>
      </w:r>
      <w:proofErr w:type="gramStart"/>
      <w:r>
        <w:rPr>
          <w:rFonts w:ascii="Times New Roman" w:hAnsi="Times New Roman"/>
          <w:szCs w:val="24"/>
        </w:rPr>
        <w:t>be considered</w:t>
      </w:r>
      <w:proofErr w:type="gramEnd"/>
      <w:r>
        <w:rPr>
          <w:rFonts w:ascii="Times New Roman" w:hAnsi="Times New Roman"/>
          <w:szCs w:val="24"/>
        </w:rPr>
        <w:t xml:space="preserve"> adequate, the provisions of the APPI and of the Supplementary Rules do not need to be identical to the relevant provisions of the GDPR. </w:t>
      </w:r>
      <w:r w:rsidRPr="007C324C">
        <w:rPr>
          <w:rFonts w:ascii="Times New Roman" w:hAnsi="Times New Roman"/>
          <w:szCs w:val="24"/>
        </w:rPr>
        <w:t xml:space="preserve">What matters under the </w:t>
      </w:r>
      <w:r>
        <w:rPr>
          <w:rFonts w:ascii="Times New Roman" w:hAnsi="Times New Roman"/>
          <w:szCs w:val="24"/>
        </w:rPr>
        <w:t>“</w:t>
      </w:r>
      <w:r w:rsidRPr="007C324C">
        <w:rPr>
          <w:rFonts w:ascii="Times New Roman" w:hAnsi="Times New Roman"/>
          <w:szCs w:val="24"/>
        </w:rPr>
        <w:t>essential equivalence</w:t>
      </w:r>
      <w:r>
        <w:rPr>
          <w:rFonts w:ascii="Times New Roman" w:hAnsi="Times New Roman"/>
          <w:szCs w:val="24"/>
        </w:rPr>
        <w:t>”</w:t>
      </w:r>
      <w:r w:rsidRPr="007C324C">
        <w:rPr>
          <w:rFonts w:ascii="Times New Roman" w:hAnsi="Times New Roman"/>
          <w:szCs w:val="24"/>
        </w:rPr>
        <w:t xml:space="preserve"> test is that the E</w:t>
      </w:r>
      <w:r>
        <w:rPr>
          <w:rFonts w:ascii="Times New Roman" w:hAnsi="Times New Roman"/>
          <w:szCs w:val="24"/>
        </w:rPr>
        <w:t xml:space="preserve">uropean </w:t>
      </w:r>
      <w:r w:rsidRPr="007C324C">
        <w:rPr>
          <w:rFonts w:ascii="Times New Roman" w:hAnsi="Times New Roman"/>
          <w:szCs w:val="24"/>
        </w:rPr>
        <w:t>U</w:t>
      </w:r>
      <w:r>
        <w:rPr>
          <w:rFonts w:ascii="Times New Roman" w:hAnsi="Times New Roman"/>
          <w:szCs w:val="24"/>
        </w:rPr>
        <w:t>nion</w:t>
      </w:r>
      <w:r w:rsidRPr="007C324C">
        <w:rPr>
          <w:rFonts w:ascii="Times New Roman" w:hAnsi="Times New Roman"/>
          <w:szCs w:val="24"/>
        </w:rPr>
        <w:t xml:space="preserve"> data subject will receive the information necessary to make a</w:t>
      </w:r>
      <w:r>
        <w:rPr>
          <w:rFonts w:ascii="Times New Roman" w:hAnsi="Times New Roman"/>
          <w:szCs w:val="24"/>
        </w:rPr>
        <w:t>n informed</w:t>
      </w:r>
      <w:r w:rsidRPr="007C324C">
        <w:rPr>
          <w:rFonts w:ascii="Times New Roman" w:hAnsi="Times New Roman"/>
          <w:szCs w:val="24"/>
        </w:rPr>
        <w:t xml:space="preserve"> decision on </w:t>
      </w:r>
      <w:r>
        <w:rPr>
          <w:rFonts w:ascii="Times New Roman" w:hAnsi="Times New Roman"/>
          <w:szCs w:val="24"/>
        </w:rPr>
        <w:t xml:space="preserve">whether to give </w:t>
      </w:r>
      <w:r w:rsidRPr="007C324C">
        <w:rPr>
          <w:rFonts w:ascii="Times New Roman" w:hAnsi="Times New Roman"/>
          <w:szCs w:val="24"/>
        </w:rPr>
        <w:t>his/her consent, including information on the specific country of decision (as clarified by Supplementary Rule</w:t>
      </w:r>
      <w:r>
        <w:rPr>
          <w:rFonts w:ascii="Times New Roman" w:hAnsi="Times New Roman"/>
          <w:szCs w:val="24"/>
        </w:rPr>
        <w:t xml:space="preserve"> </w:t>
      </w:r>
      <w:r w:rsidRPr="007C324C">
        <w:rPr>
          <w:rFonts w:ascii="Times New Roman" w:hAnsi="Times New Roman"/>
          <w:szCs w:val="24"/>
        </w:rPr>
        <w:t>(4)).</w:t>
      </w:r>
      <w:r>
        <w:rPr>
          <w:rFonts w:ascii="Times New Roman" w:hAnsi="Times New Roman"/>
          <w:szCs w:val="24"/>
        </w:rPr>
        <w:t xml:space="preserve"> Additional explanations and analysis have been included, along these lines, in recitals 38 and 76 of the decision. T</w:t>
      </w:r>
      <w:r w:rsidRPr="008955DE">
        <w:rPr>
          <w:rFonts w:ascii="Times New Roman" w:hAnsi="Times New Roman"/>
          <w:szCs w:val="24"/>
        </w:rPr>
        <w:t xml:space="preserve">he points raised by the </w:t>
      </w:r>
      <w:r>
        <w:rPr>
          <w:rFonts w:ascii="Times New Roman" w:hAnsi="Times New Roman"/>
          <w:szCs w:val="24"/>
        </w:rPr>
        <w:t>European Parliament</w:t>
      </w:r>
      <w:r w:rsidRPr="008955DE">
        <w:rPr>
          <w:rFonts w:ascii="Times New Roman" w:hAnsi="Times New Roman"/>
          <w:szCs w:val="24"/>
        </w:rPr>
        <w:t xml:space="preserve"> </w:t>
      </w:r>
      <w:proofErr w:type="gramStart"/>
      <w:r w:rsidRPr="008955DE">
        <w:rPr>
          <w:rFonts w:ascii="Times New Roman" w:hAnsi="Times New Roman"/>
          <w:szCs w:val="24"/>
        </w:rPr>
        <w:t xml:space="preserve">have </w:t>
      </w:r>
      <w:r>
        <w:rPr>
          <w:rFonts w:ascii="Times New Roman" w:hAnsi="Times New Roman"/>
          <w:szCs w:val="24"/>
        </w:rPr>
        <w:t xml:space="preserve">also </w:t>
      </w:r>
      <w:r w:rsidRPr="008955DE">
        <w:rPr>
          <w:rFonts w:ascii="Times New Roman" w:hAnsi="Times New Roman"/>
          <w:szCs w:val="24"/>
        </w:rPr>
        <w:t>been</w:t>
      </w:r>
      <w:r>
        <w:rPr>
          <w:rFonts w:ascii="Times New Roman" w:hAnsi="Times New Roman"/>
          <w:szCs w:val="24"/>
        </w:rPr>
        <w:t xml:space="preserve"> addressed</w:t>
      </w:r>
      <w:proofErr w:type="gramEnd"/>
      <w:r>
        <w:rPr>
          <w:rFonts w:ascii="Times New Roman" w:hAnsi="Times New Roman"/>
          <w:szCs w:val="24"/>
        </w:rPr>
        <w:t xml:space="preserve"> in Article 3(1) and recital 181.</w:t>
      </w:r>
    </w:p>
    <w:p w:rsidR="009C733C" w:rsidRDefault="009C733C" w:rsidP="009C733C">
      <w:pPr>
        <w:widowControl w:val="0"/>
        <w:spacing w:after="120"/>
        <w:rPr>
          <w:rFonts w:ascii="Times New Roman" w:hAnsi="Times New Roman"/>
          <w:szCs w:val="24"/>
        </w:rPr>
      </w:pPr>
      <w:r>
        <w:rPr>
          <w:rFonts w:ascii="Times New Roman" w:hAnsi="Times New Roman"/>
          <w:szCs w:val="24"/>
        </w:rPr>
        <w:t xml:space="preserve">As concerns the </w:t>
      </w:r>
      <w:r w:rsidRPr="00007F3F">
        <w:rPr>
          <w:rFonts w:ascii="Times New Roman" w:hAnsi="Times New Roman"/>
          <w:b/>
          <w:szCs w:val="24"/>
        </w:rPr>
        <w:t xml:space="preserve">fines </w:t>
      </w:r>
      <w:r w:rsidRPr="00007F3F">
        <w:rPr>
          <w:rFonts w:ascii="Times New Roman" w:hAnsi="Times New Roman"/>
          <w:szCs w:val="24"/>
        </w:rPr>
        <w:t>and</w:t>
      </w:r>
      <w:r w:rsidRPr="00007F3F">
        <w:rPr>
          <w:rFonts w:ascii="Times New Roman" w:hAnsi="Times New Roman"/>
          <w:b/>
          <w:szCs w:val="24"/>
        </w:rPr>
        <w:t xml:space="preserve"> other sanctions</w:t>
      </w:r>
      <w:r>
        <w:rPr>
          <w:rFonts w:ascii="Times New Roman" w:hAnsi="Times New Roman"/>
          <w:szCs w:val="24"/>
        </w:rPr>
        <w:t xml:space="preserve"> in Japanese law, additional clarifications have been added in </w:t>
      </w:r>
      <w:r w:rsidRPr="00CB71D7">
        <w:rPr>
          <w:rFonts w:ascii="Times New Roman" w:hAnsi="Times New Roman"/>
          <w:szCs w:val="24"/>
        </w:rPr>
        <w:t xml:space="preserve">recitals 102 and 108 </w:t>
      </w:r>
      <w:r>
        <w:rPr>
          <w:rFonts w:ascii="Times New Roman" w:hAnsi="Times New Roman"/>
          <w:szCs w:val="24"/>
        </w:rPr>
        <w:t xml:space="preserve">of the decision. Furthermore, this issue will be subject to continuous follow-up, as indicated in the revised </w:t>
      </w:r>
      <w:r w:rsidRPr="00CB71D7">
        <w:rPr>
          <w:rFonts w:ascii="Times New Roman" w:hAnsi="Times New Roman"/>
          <w:szCs w:val="24"/>
        </w:rPr>
        <w:t>Article 3(1)</w:t>
      </w:r>
      <w:r>
        <w:rPr>
          <w:rFonts w:ascii="Times New Roman" w:hAnsi="Times New Roman"/>
          <w:szCs w:val="24"/>
        </w:rPr>
        <w:t>,</w:t>
      </w:r>
      <w:r w:rsidRPr="00CB71D7">
        <w:rPr>
          <w:rFonts w:ascii="Times New Roman" w:hAnsi="Times New Roman"/>
          <w:szCs w:val="24"/>
        </w:rPr>
        <w:t xml:space="preserve"> recital</w:t>
      </w:r>
      <w:r>
        <w:rPr>
          <w:rFonts w:ascii="Times New Roman" w:hAnsi="Times New Roman"/>
          <w:szCs w:val="24"/>
        </w:rPr>
        <w:t>s</w:t>
      </w:r>
      <w:r w:rsidRPr="00CB71D7">
        <w:rPr>
          <w:rFonts w:ascii="Times New Roman" w:hAnsi="Times New Roman"/>
          <w:szCs w:val="24"/>
        </w:rPr>
        <w:t xml:space="preserve"> 177 (monitoring) and 180</w:t>
      </w:r>
      <w:r>
        <w:rPr>
          <w:rFonts w:ascii="Times New Roman" w:hAnsi="Times New Roman"/>
          <w:szCs w:val="24"/>
        </w:rPr>
        <w:t xml:space="preserve"> to </w:t>
      </w:r>
      <w:r w:rsidRPr="00CB71D7">
        <w:rPr>
          <w:rFonts w:ascii="Times New Roman" w:hAnsi="Times New Roman"/>
          <w:szCs w:val="24"/>
        </w:rPr>
        <w:t>183 (review)</w:t>
      </w:r>
      <w:r>
        <w:rPr>
          <w:rFonts w:ascii="Times New Roman" w:hAnsi="Times New Roman"/>
          <w:szCs w:val="24"/>
        </w:rPr>
        <w:t>.</w:t>
      </w:r>
      <w:r w:rsidRPr="001838A5">
        <w:t xml:space="preserve"> </w:t>
      </w:r>
      <w:r>
        <w:rPr>
          <w:rFonts w:ascii="Times New Roman" w:hAnsi="Times New Roman"/>
          <w:szCs w:val="24"/>
        </w:rPr>
        <w:t>Recital 181 refers</w:t>
      </w:r>
      <w:r w:rsidRPr="001838A5">
        <w:rPr>
          <w:rFonts w:ascii="Times New Roman" w:hAnsi="Times New Roman"/>
          <w:szCs w:val="24"/>
        </w:rPr>
        <w:t xml:space="preserve"> explicitly to the review of t</w:t>
      </w:r>
      <w:r>
        <w:rPr>
          <w:rFonts w:ascii="Times New Roman" w:hAnsi="Times New Roman"/>
          <w:szCs w:val="24"/>
        </w:rPr>
        <w:t>he effectiveness of enforcement</w:t>
      </w:r>
      <w:r w:rsidRPr="001838A5">
        <w:rPr>
          <w:rFonts w:ascii="Times New Roman" w:hAnsi="Times New Roman"/>
          <w:szCs w:val="24"/>
        </w:rPr>
        <w:t>.</w:t>
      </w:r>
    </w:p>
    <w:p w:rsidR="009C733C" w:rsidRPr="00007F3F" w:rsidRDefault="009C733C" w:rsidP="009C733C">
      <w:pPr>
        <w:widowControl w:val="0"/>
        <w:spacing w:after="120"/>
        <w:rPr>
          <w:rFonts w:ascii="Times New Roman" w:hAnsi="Times New Roman"/>
          <w:szCs w:val="24"/>
        </w:rPr>
      </w:pPr>
      <w:r>
        <w:rPr>
          <w:rFonts w:ascii="Times New Roman" w:hAnsi="Times New Roman"/>
          <w:szCs w:val="24"/>
        </w:rPr>
        <w:t xml:space="preserve">Regarding the </w:t>
      </w:r>
      <w:r w:rsidRPr="00007F3F">
        <w:rPr>
          <w:rFonts w:ascii="Times New Roman" w:hAnsi="Times New Roman"/>
          <w:b/>
          <w:szCs w:val="24"/>
        </w:rPr>
        <w:t>provision of data</w:t>
      </w:r>
      <w:r w:rsidRPr="00007F3F">
        <w:rPr>
          <w:rFonts w:ascii="Times New Roman" w:hAnsi="Times New Roman"/>
          <w:szCs w:val="24"/>
        </w:rPr>
        <w:t xml:space="preserve"> </w:t>
      </w:r>
      <w:r w:rsidRPr="00A7495B">
        <w:rPr>
          <w:rFonts w:ascii="Times New Roman" w:hAnsi="Times New Roman"/>
          <w:b/>
          <w:szCs w:val="24"/>
        </w:rPr>
        <w:t>to law enforcement authorities</w:t>
      </w:r>
      <w:r w:rsidRPr="00007F3F">
        <w:rPr>
          <w:rFonts w:ascii="Times New Roman" w:hAnsi="Times New Roman"/>
          <w:szCs w:val="24"/>
        </w:rPr>
        <w:t xml:space="preserve"> </w:t>
      </w:r>
      <w:r w:rsidRPr="00007F3F">
        <w:rPr>
          <w:rFonts w:ascii="Times New Roman" w:hAnsi="Times New Roman"/>
          <w:b/>
          <w:szCs w:val="24"/>
        </w:rPr>
        <w:t xml:space="preserve">on a </w:t>
      </w:r>
      <w:r>
        <w:rPr>
          <w:rFonts w:ascii="Times New Roman" w:hAnsi="Times New Roman"/>
          <w:b/>
          <w:szCs w:val="24"/>
        </w:rPr>
        <w:t>“</w:t>
      </w:r>
      <w:r w:rsidRPr="00007F3F">
        <w:rPr>
          <w:rFonts w:ascii="Times New Roman" w:hAnsi="Times New Roman"/>
          <w:b/>
          <w:szCs w:val="24"/>
        </w:rPr>
        <w:t>voluntary basis</w:t>
      </w:r>
      <w:r>
        <w:rPr>
          <w:rFonts w:ascii="Times New Roman" w:hAnsi="Times New Roman"/>
          <w:b/>
          <w:szCs w:val="24"/>
        </w:rPr>
        <w:t>”</w:t>
      </w:r>
      <w:r>
        <w:rPr>
          <w:rFonts w:ascii="Times New Roman" w:hAnsi="Times New Roman"/>
          <w:szCs w:val="24"/>
        </w:rPr>
        <w:t xml:space="preserve">, </w:t>
      </w:r>
      <w:r>
        <w:rPr>
          <w:rFonts w:ascii="Times New Roman" w:hAnsi="Times New Roman"/>
          <w:szCs w:val="24"/>
        </w:rPr>
        <w:lastRenderedPageBreak/>
        <w:t>the Commission considers that this is not at odds with the continuity of protection under Chapter V of the GDPR. Indeed, w</w:t>
      </w:r>
      <w:r w:rsidRPr="008A1077">
        <w:rPr>
          <w:rFonts w:ascii="Times New Roman" w:hAnsi="Times New Roman"/>
          <w:szCs w:val="24"/>
        </w:rPr>
        <w:t xml:space="preserve">hat matters is </w:t>
      </w:r>
      <w:r>
        <w:rPr>
          <w:rFonts w:ascii="Times New Roman" w:hAnsi="Times New Roman"/>
          <w:szCs w:val="24"/>
        </w:rPr>
        <w:t>not w</w:t>
      </w:r>
      <w:r w:rsidRPr="008A1077">
        <w:rPr>
          <w:rFonts w:ascii="Times New Roman" w:hAnsi="Times New Roman"/>
          <w:szCs w:val="24"/>
        </w:rPr>
        <w:t xml:space="preserve">hether the personal data are handed over to public authorities for law </w:t>
      </w:r>
      <w:r>
        <w:rPr>
          <w:rFonts w:ascii="Times New Roman" w:hAnsi="Times New Roman"/>
          <w:szCs w:val="24"/>
        </w:rPr>
        <w:t xml:space="preserve">enforcement </w:t>
      </w:r>
      <w:r w:rsidRPr="008A1077">
        <w:rPr>
          <w:rFonts w:ascii="Times New Roman" w:hAnsi="Times New Roman"/>
          <w:szCs w:val="24"/>
        </w:rPr>
        <w:t>purposes on a voluntary basis or mandatorily</w:t>
      </w:r>
      <w:r>
        <w:rPr>
          <w:rFonts w:ascii="Times New Roman" w:hAnsi="Times New Roman"/>
          <w:szCs w:val="24"/>
        </w:rPr>
        <w:t>, but</w:t>
      </w:r>
      <w:r w:rsidRPr="008A1077">
        <w:rPr>
          <w:rFonts w:ascii="Times New Roman" w:hAnsi="Times New Roman"/>
          <w:szCs w:val="24"/>
        </w:rPr>
        <w:t xml:space="preserve"> whether </w:t>
      </w:r>
      <w:r>
        <w:rPr>
          <w:rFonts w:ascii="Times New Roman" w:hAnsi="Times New Roman"/>
          <w:szCs w:val="24"/>
        </w:rPr>
        <w:t>any requests for v</w:t>
      </w:r>
      <w:r w:rsidRPr="008A1077">
        <w:rPr>
          <w:rFonts w:ascii="Times New Roman" w:hAnsi="Times New Roman"/>
          <w:szCs w:val="24"/>
        </w:rPr>
        <w:t xml:space="preserve">oluntary disclosure </w:t>
      </w:r>
      <w:r>
        <w:rPr>
          <w:rFonts w:ascii="Times New Roman" w:hAnsi="Times New Roman"/>
          <w:szCs w:val="24"/>
        </w:rPr>
        <w:t>are</w:t>
      </w:r>
      <w:r w:rsidRPr="008A1077">
        <w:rPr>
          <w:rFonts w:ascii="Times New Roman" w:hAnsi="Times New Roman"/>
          <w:szCs w:val="24"/>
        </w:rPr>
        <w:t xml:space="preserve"> subject to sufficient safeguards (in terms of legal basis, limitations, oversight and redress).</w:t>
      </w:r>
      <w:r>
        <w:rPr>
          <w:rFonts w:ascii="Times New Roman" w:hAnsi="Times New Roman"/>
          <w:szCs w:val="24"/>
        </w:rPr>
        <w:t xml:space="preserve"> </w:t>
      </w:r>
      <w:r w:rsidRPr="008A1077">
        <w:rPr>
          <w:rFonts w:ascii="Times New Roman" w:hAnsi="Times New Roman"/>
          <w:szCs w:val="24"/>
        </w:rPr>
        <w:t xml:space="preserve">Such safeguards </w:t>
      </w:r>
      <w:proofErr w:type="gramStart"/>
      <w:r w:rsidRPr="008A1077">
        <w:rPr>
          <w:rFonts w:ascii="Times New Roman" w:hAnsi="Times New Roman"/>
          <w:szCs w:val="24"/>
        </w:rPr>
        <w:t>are</w:t>
      </w:r>
      <w:r>
        <w:rPr>
          <w:rFonts w:ascii="Times New Roman" w:hAnsi="Times New Roman"/>
          <w:szCs w:val="24"/>
        </w:rPr>
        <w:t xml:space="preserve"> indeed</w:t>
      </w:r>
      <w:r w:rsidRPr="008A1077">
        <w:rPr>
          <w:rFonts w:ascii="Times New Roman" w:hAnsi="Times New Roman"/>
          <w:szCs w:val="24"/>
        </w:rPr>
        <w:t xml:space="preserve"> provided</w:t>
      </w:r>
      <w:proofErr w:type="gramEnd"/>
      <w:r w:rsidRPr="008A1077">
        <w:rPr>
          <w:rFonts w:ascii="Times New Roman" w:hAnsi="Times New Roman"/>
          <w:szCs w:val="24"/>
        </w:rPr>
        <w:t xml:space="preserve"> </w:t>
      </w:r>
      <w:r>
        <w:rPr>
          <w:rFonts w:ascii="Times New Roman" w:hAnsi="Times New Roman"/>
          <w:szCs w:val="24"/>
        </w:rPr>
        <w:t xml:space="preserve">in </w:t>
      </w:r>
      <w:r w:rsidRPr="008A1077">
        <w:rPr>
          <w:rFonts w:ascii="Times New Roman" w:hAnsi="Times New Roman"/>
          <w:szCs w:val="24"/>
        </w:rPr>
        <w:t>the Japanese system (</w:t>
      </w:r>
      <w:r>
        <w:rPr>
          <w:rFonts w:ascii="Times New Roman" w:hAnsi="Times New Roman"/>
          <w:szCs w:val="24"/>
        </w:rPr>
        <w:t xml:space="preserve">as described in </w:t>
      </w:r>
      <w:r w:rsidRPr="008A1077">
        <w:rPr>
          <w:rFonts w:ascii="Times New Roman" w:hAnsi="Times New Roman"/>
          <w:szCs w:val="24"/>
        </w:rPr>
        <w:t>recitals 125</w:t>
      </w:r>
      <w:r>
        <w:rPr>
          <w:rFonts w:ascii="Times New Roman" w:hAnsi="Times New Roman"/>
          <w:szCs w:val="24"/>
        </w:rPr>
        <w:t xml:space="preserve"> to </w:t>
      </w:r>
      <w:r w:rsidRPr="008A1077">
        <w:rPr>
          <w:rFonts w:ascii="Times New Roman" w:hAnsi="Times New Roman"/>
          <w:szCs w:val="24"/>
        </w:rPr>
        <w:t>150</w:t>
      </w:r>
      <w:r>
        <w:rPr>
          <w:rFonts w:ascii="Times New Roman" w:hAnsi="Times New Roman"/>
          <w:szCs w:val="24"/>
        </w:rPr>
        <w:t xml:space="preserve"> of the decision</w:t>
      </w:r>
      <w:r w:rsidRPr="008A1077">
        <w:rPr>
          <w:rFonts w:ascii="Times New Roman" w:hAnsi="Times New Roman"/>
          <w:szCs w:val="24"/>
        </w:rPr>
        <w:t>).</w:t>
      </w:r>
    </w:p>
    <w:p w:rsidR="009C733C" w:rsidRDefault="009C733C" w:rsidP="009C733C">
      <w:pPr>
        <w:widowControl w:val="0"/>
        <w:spacing w:after="120"/>
        <w:rPr>
          <w:rFonts w:ascii="Times New Roman" w:hAnsi="Times New Roman"/>
          <w:szCs w:val="24"/>
        </w:rPr>
      </w:pPr>
      <w:r>
        <w:rPr>
          <w:rFonts w:ascii="Times New Roman" w:hAnsi="Times New Roman"/>
          <w:szCs w:val="24"/>
        </w:rPr>
        <w:t xml:space="preserve">In addition to the abovementioned observations that the Commission considers pertinent and that </w:t>
      </w:r>
      <w:proofErr w:type="gramStart"/>
      <w:r>
        <w:rPr>
          <w:rFonts w:ascii="Times New Roman" w:hAnsi="Times New Roman"/>
          <w:szCs w:val="24"/>
        </w:rPr>
        <w:t>have been duly addressed</w:t>
      </w:r>
      <w:proofErr w:type="gramEnd"/>
      <w:r>
        <w:rPr>
          <w:rFonts w:ascii="Times New Roman" w:hAnsi="Times New Roman"/>
          <w:szCs w:val="24"/>
        </w:rPr>
        <w:t>, there is a small number of points made in the resolution with which the Commission would respectfully disagree.</w:t>
      </w:r>
    </w:p>
    <w:p w:rsidR="009C733C" w:rsidRDefault="009C733C" w:rsidP="009C733C">
      <w:pPr>
        <w:widowControl w:val="0"/>
        <w:spacing w:after="120"/>
        <w:rPr>
          <w:rFonts w:ascii="Times New Roman" w:hAnsi="Times New Roman"/>
          <w:szCs w:val="24"/>
        </w:rPr>
      </w:pPr>
      <w:r>
        <w:rPr>
          <w:rFonts w:ascii="Times New Roman" w:hAnsi="Times New Roman"/>
          <w:szCs w:val="24"/>
        </w:rPr>
        <w:t xml:space="preserve">This is the case for </w:t>
      </w:r>
      <w:r w:rsidRPr="008A1077">
        <w:rPr>
          <w:rFonts w:ascii="Times New Roman" w:hAnsi="Times New Roman"/>
          <w:szCs w:val="24"/>
        </w:rPr>
        <w:t xml:space="preserve">the media </w:t>
      </w:r>
      <w:r>
        <w:rPr>
          <w:rFonts w:ascii="Times New Roman" w:hAnsi="Times New Roman"/>
          <w:szCs w:val="24"/>
        </w:rPr>
        <w:t>reports on the</w:t>
      </w:r>
      <w:r w:rsidRPr="008A1077">
        <w:rPr>
          <w:rFonts w:ascii="Times New Roman" w:hAnsi="Times New Roman"/>
          <w:szCs w:val="24"/>
        </w:rPr>
        <w:t xml:space="preserve"> </w:t>
      </w:r>
      <w:r w:rsidRPr="0013396A">
        <w:rPr>
          <w:rFonts w:ascii="Times New Roman" w:hAnsi="Times New Roman"/>
          <w:b/>
          <w:szCs w:val="24"/>
        </w:rPr>
        <w:t xml:space="preserve">alleged surveillance activities </w:t>
      </w:r>
      <w:r w:rsidRPr="008A1077">
        <w:rPr>
          <w:rFonts w:ascii="Times New Roman" w:hAnsi="Times New Roman"/>
          <w:szCs w:val="24"/>
        </w:rPr>
        <w:t xml:space="preserve">of </w:t>
      </w:r>
      <w:r>
        <w:rPr>
          <w:rFonts w:ascii="Times New Roman" w:hAnsi="Times New Roman"/>
          <w:szCs w:val="24"/>
        </w:rPr>
        <w:t xml:space="preserve">the </w:t>
      </w:r>
      <w:r w:rsidRPr="008A1077">
        <w:rPr>
          <w:rFonts w:ascii="Times New Roman" w:hAnsi="Times New Roman"/>
          <w:szCs w:val="24"/>
        </w:rPr>
        <w:t>Japanese Directorate for Signals Intelligence (DFS)</w:t>
      </w:r>
      <w:r>
        <w:rPr>
          <w:rFonts w:ascii="Times New Roman" w:hAnsi="Times New Roman"/>
          <w:szCs w:val="24"/>
        </w:rPr>
        <w:t>.</w:t>
      </w:r>
      <w:r w:rsidRPr="008A1077">
        <w:rPr>
          <w:rFonts w:ascii="Times New Roman" w:hAnsi="Times New Roman"/>
          <w:szCs w:val="24"/>
        </w:rPr>
        <w:t xml:space="preserve"> These allegations</w:t>
      </w:r>
      <w:r>
        <w:rPr>
          <w:rFonts w:ascii="Times New Roman" w:hAnsi="Times New Roman"/>
          <w:szCs w:val="24"/>
        </w:rPr>
        <w:t xml:space="preserve"> are not substantiated </w:t>
      </w:r>
      <w:proofErr w:type="gramStart"/>
      <w:r>
        <w:rPr>
          <w:rFonts w:ascii="Times New Roman" w:hAnsi="Times New Roman"/>
          <w:szCs w:val="24"/>
        </w:rPr>
        <w:t>and</w:t>
      </w:r>
      <w:r w:rsidRPr="008A1077">
        <w:rPr>
          <w:rFonts w:ascii="Times New Roman" w:hAnsi="Times New Roman"/>
          <w:szCs w:val="24"/>
        </w:rPr>
        <w:t xml:space="preserve"> </w:t>
      </w:r>
      <w:r>
        <w:rPr>
          <w:rFonts w:ascii="Times New Roman" w:hAnsi="Times New Roman"/>
          <w:szCs w:val="24"/>
        </w:rPr>
        <w:t>moreover</w:t>
      </w:r>
      <w:proofErr w:type="gramEnd"/>
      <w:r w:rsidRPr="008A1077">
        <w:rPr>
          <w:rFonts w:ascii="Times New Roman" w:hAnsi="Times New Roman"/>
          <w:szCs w:val="24"/>
        </w:rPr>
        <w:t xml:space="preserve"> directly contradicted by official </w:t>
      </w:r>
      <w:r>
        <w:rPr>
          <w:rFonts w:ascii="Times New Roman" w:hAnsi="Times New Roman"/>
          <w:szCs w:val="24"/>
        </w:rPr>
        <w:t xml:space="preserve">representations and </w:t>
      </w:r>
      <w:r w:rsidRPr="008A1077">
        <w:rPr>
          <w:rFonts w:ascii="Times New Roman" w:hAnsi="Times New Roman"/>
          <w:szCs w:val="24"/>
        </w:rPr>
        <w:t xml:space="preserve">assurances provided by </w:t>
      </w:r>
      <w:r>
        <w:rPr>
          <w:rFonts w:ascii="Times New Roman" w:hAnsi="Times New Roman"/>
          <w:szCs w:val="24"/>
        </w:rPr>
        <w:t xml:space="preserve">the Japanese government at the highest political level (see annex II to the decision). In particular, we would draw the attention to the statements included </w:t>
      </w:r>
      <w:r w:rsidRPr="00C05768">
        <w:rPr>
          <w:rFonts w:ascii="Times New Roman" w:hAnsi="Times New Roman"/>
          <w:szCs w:val="24"/>
        </w:rPr>
        <w:t>in section III.A.1)</w:t>
      </w:r>
      <w:r>
        <w:rPr>
          <w:rFonts w:ascii="Times New Roman" w:hAnsi="Times New Roman"/>
          <w:szCs w:val="24"/>
        </w:rPr>
        <w:t xml:space="preserve"> </w:t>
      </w:r>
      <w:r w:rsidRPr="00C05768">
        <w:rPr>
          <w:rFonts w:ascii="Times New Roman" w:hAnsi="Times New Roman"/>
          <w:szCs w:val="24"/>
        </w:rPr>
        <w:t>(4</w:t>
      </w:r>
      <w:r>
        <w:rPr>
          <w:rFonts w:ascii="Times New Roman" w:hAnsi="Times New Roman"/>
          <w:szCs w:val="24"/>
        </w:rPr>
        <w:t xml:space="preserve">) </w:t>
      </w:r>
      <w:r w:rsidRPr="008A1077">
        <w:rPr>
          <w:rFonts w:ascii="Times New Roman" w:hAnsi="Times New Roman"/>
          <w:szCs w:val="24"/>
        </w:rPr>
        <w:t>(regarding the M</w:t>
      </w:r>
      <w:r>
        <w:rPr>
          <w:rFonts w:ascii="Times New Roman" w:hAnsi="Times New Roman"/>
          <w:szCs w:val="24"/>
        </w:rPr>
        <w:t xml:space="preserve">inistry </w:t>
      </w:r>
      <w:r w:rsidRPr="008A1077">
        <w:rPr>
          <w:rFonts w:ascii="Times New Roman" w:hAnsi="Times New Roman"/>
          <w:szCs w:val="24"/>
        </w:rPr>
        <w:t>o</w:t>
      </w:r>
      <w:r>
        <w:rPr>
          <w:rFonts w:ascii="Times New Roman" w:hAnsi="Times New Roman"/>
          <w:szCs w:val="24"/>
        </w:rPr>
        <w:t xml:space="preserve">f </w:t>
      </w:r>
      <w:r w:rsidRPr="008A1077">
        <w:rPr>
          <w:rFonts w:ascii="Times New Roman" w:hAnsi="Times New Roman"/>
          <w:szCs w:val="24"/>
        </w:rPr>
        <w:t>D</w:t>
      </w:r>
      <w:r>
        <w:rPr>
          <w:rFonts w:ascii="Times New Roman" w:hAnsi="Times New Roman"/>
          <w:szCs w:val="24"/>
        </w:rPr>
        <w:t>efence</w:t>
      </w:r>
      <w:r w:rsidRPr="008A1077">
        <w:rPr>
          <w:rFonts w:ascii="Times New Roman" w:hAnsi="Times New Roman"/>
          <w:szCs w:val="24"/>
        </w:rPr>
        <w:t xml:space="preserve"> that includes the DFS) and </w:t>
      </w:r>
      <w:r w:rsidRPr="00C05768">
        <w:rPr>
          <w:rFonts w:ascii="Times New Roman" w:hAnsi="Times New Roman"/>
          <w:szCs w:val="24"/>
        </w:rPr>
        <w:t>in section III.A.2)</w:t>
      </w:r>
      <w:r>
        <w:rPr>
          <w:rFonts w:ascii="Times New Roman" w:hAnsi="Times New Roman"/>
          <w:szCs w:val="24"/>
        </w:rPr>
        <w:t xml:space="preserve"> </w:t>
      </w:r>
      <w:r w:rsidRPr="00C05768">
        <w:rPr>
          <w:rFonts w:ascii="Times New Roman" w:hAnsi="Times New Roman"/>
          <w:szCs w:val="24"/>
        </w:rPr>
        <w:t>(b)</w:t>
      </w:r>
      <w:r w:rsidRPr="008A1077">
        <w:rPr>
          <w:rFonts w:ascii="Times New Roman" w:hAnsi="Times New Roman"/>
          <w:szCs w:val="24"/>
        </w:rPr>
        <w:t xml:space="preserve"> (</w:t>
      </w:r>
      <w:r>
        <w:rPr>
          <w:rFonts w:ascii="Times New Roman" w:hAnsi="Times New Roman"/>
          <w:szCs w:val="24"/>
        </w:rPr>
        <w:t xml:space="preserve">denying the existence of any </w:t>
      </w:r>
      <w:r w:rsidRPr="008A1077">
        <w:rPr>
          <w:rFonts w:ascii="Times New Roman" w:hAnsi="Times New Roman"/>
          <w:szCs w:val="24"/>
        </w:rPr>
        <w:t>mass and indiscriminate collection or access to personal information for nationa</w:t>
      </w:r>
      <w:r>
        <w:rPr>
          <w:rFonts w:ascii="Times New Roman" w:hAnsi="Times New Roman"/>
          <w:szCs w:val="24"/>
        </w:rPr>
        <w:t xml:space="preserve">l security reasons) of annex II. These statements </w:t>
      </w:r>
      <w:proofErr w:type="gramStart"/>
      <w:r>
        <w:rPr>
          <w:rFonts w:ascii="Times New Roman" w:hAnsi="Times New Roman"/>
          <w:szCs w:val="24"/>
        </w:rPr>
        <w:t>are</w:t>
      </w:r>
      <w:r w:rsidRPr="008A1077">
        <w:rPr>
          <w:rFonts w:ascii="Times New Roman" w:hAnsi="Times New Roman"/>
          <w:szCs w:val="24"/>
        </w:rPr>
        <w:t xml:space="preserve"> reflected</w:t>
      </w:r>
      <w:proofErr w:type="gramEnd"/>
      <w:r w:rsidRPr="008A1077">
        <w:rPr>
          <w:rFonts w:ascii="Times New Roman" w:hAnsi="Times New Roman"/>
          <w:szCs w:val="24"/>
        </w:rPr>
        <w:t xml:space="preserve"> in recital 156 of the decision. </w:t>
      </w:r>
      <w:r>
        <w:rPr>
          <w:rFonts w:ascii="Times New Roman" w:hAnsi="Times New Roman"/>
          <w:szCs w:val="24"/>
        </w:rPr>
        <w:t xml:space="preserve">The Commission would also invite the European Parliament to consider that </w:t>
      </w:r>
      <w:r w:rsidRPr="008A1077">
        <w:rPr>
          <w:rFonts w:ascii="Times New Roman" w:hAnsi="Times New Roman"/>
          <w:szCs w:val="24"/>
        </w:rPr>
        <w:t xml:space="preserve">the DFS is the intelligence agency of the Japanese military forces </w:t>
      </w:r>
      <w:r>
        <w:rPr>
          <w:rFonts w:ascii="Times New Roman" w:hAnsi="Times New Roman"/>
          <w:szCs w:val="24"/>
        </w:rPr>
        <w:t xml:space="preserve">whose </w:t>
      </w:r>
      <w:r w:rsidRPr="008A1077">
        <w:rPr>
          <w:rFonts w:ascii="Times New Roman" w:hAnsi="Times New Roman"/>
          <w:szCs w:val="24"/>
        </w:rPr>
        <w:t xml:space="preserve">main mission </w:t>
      </w:r>
      <w:r>
        <w:rPr>
          <w:rFonts w:ascii="Times New Roman" w:hAnsi="Times New Roman"/>
          <w:szCs w:val="24"/>
        </w:rPr>
        <w:t xml:space="preserve">is notably to monitor the radio and </w:t>
      </w:r>
      <w:r w:rsidRPr="008A1077">
        <w:rPr>
          <w:rFonts w:ascii="Times New Roman" w:hAnsi="Times New Roman"/>
          <w:szCs w:val="24"/>
        </w:rPr>
        <w:t>satellite com</w:t>
      </w:r>
      <w:r>
        <w:rPr>
          <w:rFonts w:ascii="Times New Roman" w:hAnsi="Times New Roman"/>
          <w:szCs w:val="24"/>
        </w:rPr>
        <w:t xml:space="preserve">munications, movements of ships, </w:t>
      </w:r>
      <w:r w:rsidRPr="008A1077">
        <w:rPr>
          <w:rFonts w:ascii="Times New Roman" w:hAnsi="Times New Roman"/>
          <w:szCs w:val="24"/>
        </w:rPr>
        <w:t xml:space="preserve">aircrafts of other (hostile) military forces. </w:t>
      </w:r>
      <w:proofErr w:type="gramStart"/>
      <w:r>
        <w:rPr>
          <w:rFonts w:ascii="Times New Roman" w:hAnsi="Times New Roman"/>
          <w:szCs w:val="24"/>
        </w:rPr>
        <w:t>Those are</w:t>
      </w:r>
      <w:r w:rsidRPr="008A1077">
        <w:rPr>
          <w:rFonts w:ascii="Times New Roman" w:hAnsi="Times New Roman"/>
          <w:szCs w:val="24"/>
        </w:rPr>
        <w:t xml:space="preserve"> typical military intelligence activities that are not relevant to the </w:t>
      </w:r>
      <w:r>
        <w:rPr>
          <w:rFonts w:ascii="Times New Roman" w:hAnsi="Times New Roman"/>
          <w:szCs w:val="24"/>
        </w:rPr>
        <w:t>“adequacy scenario”</w:t>
      </w:r>
      <w:proofErr w:type="gramEnd"/>
      <w:r w:rsidRPr="008A1077">
        <w:rPr>
          <w:rFonts w:ascii="Times New Roman" w:hAnsi="Times New Roman"/>
          <w:szCs w:val="24"/>
        </w:rPr>
        <w:t xml:space="preserve"> (i.e. access by public authorities to data held by commercial operators that have imported it from the E</w:t>
      </w:r>
      <w:r>
        <w:rPr>
          <w:rFonts w:ascii="Times New Roman" w:hAnsi="Times New Roman"/>
          <w:szCs w:val="24"/>
        </w:rPr>
        <w:t xml:space="preserve">uropean </w:t>
      </w:r>
      <w:r w:rsidRPr="008A1077">
        <w:rPr>
          <w:rFonts w:ascii="Times New Roman" w:hAnsi="Times New Roman"/>
          <w:szCs w:val="24"/>
        </w:rPr>
        <w:t>U</w:t>
      </w:r>
      <w:r>
        <w:rPr>
          <w:rFonts w:ascii="Times New Roman" w:hAnsi="Times New Roman"/>
          <w:szCs w:val="24"/>
        </w:rPr>
        <w:t>nion</w:t>
      </w:r>
      <w:r w:rsidRPr="008A1077">
        <w:rPr>
          <w:rFonts w:ascii="Times New Roman" w:hAnsi="Times New Roman"/>
          <w:szCs w:val="24"/>
        </w:rPr>
        <w:t>).</w:t>
      </w:r>
    </w:p>
    <w:p w:rsidR="00680EFD" w:rsidRDefault="009C733C" w:rsidP="009C733C">
      <w:proofErr w:type="gramStart"/>
      <w:r>
        <w:rPr>
          <w:rFonts w:ascii="Times New Roman" w:hAnsi="Times New Roman"/>
          <w:szCs w:val="24"/>
        </w:rPr>
        <w:t xml:space="preserve">As regards the lack of binding effect of </w:t>
      </w:r>
      <w:r w:rsidRPr="00937DD6">
        <w:rPr>
          <w:rFonts w:ascii="Times New Roman" w:hAnsi="Times New Roman"/>
          <w:b/>
          <w:szCs w:val="24"/>
        </w:rPr>
        <w:t>a</w:t>
      </w:r>
      <w:r w:rsidRPr="0013396A">
        <w:rPr>
          <w:rFonts w:ascii="Times New Roman" w:hAnsi="Times New Roman"/>
          <w:b/>
          <w:szCs w:val="24"/>
        </w:rPr>
        <w:t>nnex II</w:t>
      </w:r>
      <w:r>
        <w:rPr>
          <w:rFonts w:ascii="Times New Roman" w:hAnsi="Times New Roman"/>
          <w:szCs w:val="24"/>
        </w:rPr>
        <w:t>, it is important to stress that – a</w:t>
      </w:r>
      <w:r w:rsidRPr="0013396A">
        <w:rPr>
          <w:rFonts w:ascii="Times New Roman" w:hAnsi="Times New Roman"/>
          <w:szCs w:val="24"/>
        </w:rPr>
        <w:t xml:space="preserve">s a document </w:t>
      </w:r>
      <w:r>
        <w:rPr>
          <w:rFonts w:ascii="Times New Roman" w:hAnsi="Times New Roman"/>
          <w:szCs w:val="24"/>
        </w:rPr>
        <w:t xml:space="preserve">containing official representations and assurances </w:t>
      </w:r>
      <w:r w:rsidRPr="0013396A">
        <w:rPr>
          <w:rFonts w:ascii="Times New Roman" w:hAnsi="Times New Roman"/>
          <w:szCs w:val="24"/>
        </w:rPr>
        <w:t xml:space="preserve">on the rules applying to government access to data signed by </w:t>
      </w:r>
      <w:r>
        <w:rPr>
          <w:rFonts w:ascii="Times New Roman" w:hAnsi="Times New Roman"/>
          <w:szCs w:val="24"/>
        </w:rPr>
        <w:t xml:space="preserve">various </w:t>
      </w:r>
      <w:r w:rsidRPr="0013396A">
        <w:rPr>
          <w:rFonts w:ascii="Times New Roman" w:hAnsi="Times New Roman"/>
          <w:szCs w:val="24"/>
        </w:rPr>
        <w:t>Japanese Ministers and Heads of Agencies</w:t>
      </w:r>
      <w:r>
        <w:rPr>
          <w:rFonts w:ascii="Times New Roman" w:hAnsi="Times New Roman"/>
          <w:szCs w:val="24"/>
        </w:rPr>
        <w:t xml:space="preserve"> – it</w:t>
      </w:r>
      <w:r w:rsidRPr="0013396A">
        <w:rPr>
          <w:rFonts w:ascii="Times New Roman" w:hAnsi="Times New Roman"/>
          <w:szCs w:val="24"/>
        </w:rPr>
        <w:t xml:space="preserve"> is of </w:t>
      </w:r>
      <w:r>
        <w:rPr>
          <w:rFonts w:ascii="Times New Roman" w:hAnsi="Times New Roman"/>
          <w:szCs w:val="24"/>
        </w:rPr>
        <w:t xml:space="preserve">a </w:t>
      </w:r>
      <w:r w:rsidRPr="0013396A">
        <w:rPr>
          <w:rFonts w:ascii="Times New Roman" w:hAnsi="Times New Roman"/>
          <w:szCs w:val="24"/>
        </w:rPr>
        <w:t>different nature than the Supplementary Rules</w:t>
      </w:r>
      <w:r>
        <w:rPr>
          <w:rFonts w:ascii="Times New Roman" w:hAnsi="Times New Roman"/>
          <w:szCs w:val="24"/>
        </w:rPr>
        <w:t xml:space="preserve"> (which contain rules for commercial operators based on an empowerment in the APPI).</w:t>
      </w:r>
      <w:proofErr w:type="gramEnd"/>
    </w:p>
    <w:sectPr w:rsidR="00680E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973D2"/>
    <w:multiLevelType w:val="hybridMultilevel"/>
    <w:tmpl w:val="D3A2651A"/>
    <w:lvl w:ilvl="0" w:tplc="A7341E90">
      <w:start w:val="1"/>
      <w:numFmt w:val="decimal"/>
      <w:lvlText w:val="%1."/>
      <w:lvlJc w:val="left"/>
      <w:pPr>
        <w:ind w:left="862"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33C"/>
    <w:rsid w:val="0007238C"/>
    <w:rsid w:val="000A1623"/>
    <w:rsid w:val="000D6EB1"/>
    <w:rsid w:val="001262BB"/>
    <w:rsid w:val="00131AC6"/>
    <w:rsid w:val="001855CC"/>
    <w:rsid w:val="001C3806"/>
    <w:rsid w:val="002871F7"/>
    <w:rsid w:val="00643679"/>
    <w:rsid w:val="00680EFD"/>
    <w:rsid w:val="006843AE"/>
    <w:rsid w:val="009C733C"/>
    <w:rsid w:val="00B34A98"/>
    <w:rsid w:val="00B65AA4"/>
    <w:rsid w:val="00ED700E"/>
    <w:rsid w:val="00F709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7B5281-C62D-484A-8966-221EF6FBC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33C"/>
    <w:pPr>
      <w:spacing w:after="240" w:line="240" w:lineRule="auto"/>
      <w:jc w:val="both"/>
    </w:pPr>
    <w:rPr>
      <w:rFonts w:ascii="Courier New" w:eastAsia="Times New Roman" w:hAnsi="Courier New"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DGName">
    <w:name w:val="Z_DGName"/>
    <w:basedOn w:val="Normal"/>
    <w:uiPriority w:val="99"/>
    <w:rsid w:val="000A1623"/>
    <w:pPr>
      <w:ind w:right="85"/>
    </w:pPr>
    <w:rPr>
      <w:rFonts w:ascii="Arial" w:hAnsi="Arial" w:cs="Arial"/>
      <w:color w:val="000000"/>
      <w:sz w:val="16"/>
      <w:szCs w:val="16"/>
      <w:lang w:val="fr-FR" w:eastAsia="fr-BE"/>
    </w:rPr>
  </w:style>
  <w:style w:type="paragraph" w:customStyle="1" w:styleId="NoSpacingGray-80">
    <w:name w:val="No Spacing + Gray-80%"/>
    <w:aliases w:val="Justified,Left:  0,5 cm + Left:  0,5 cm,Right:  0,08 cm"/>
    <w:basedOn w:val="NoSpacing"/>
    <w:rsid w:val="000A1623"/>
    <w:pPr>
      <w:ind w:right="707"/>
    </w:pPr>
    <w:rPr>
      <w:rFonts w:eastAsia="Times New Roman" w:cs="Times New Roman"/>
      <w:color w:val="000000"/>
    </w:rPr>
  </w:style>
  <w:style w:type="paragraph" w:styleId="NoSpacing">
    <w:name w:val="No Spacing"/>
    <w:link w:val="NoSpacingChar"/>
    <w:autoRedefine/>
    <w:uiPriority w:val="1"/>
    <w:qFormat/>
    <w:rsid w:val="000A1623"/>
    <w:pPr>
      <w:keepLines/>
      <w:spacing w:after="0" w:line="240" w:lineRule="auto"/>
      <w:jc w:val="both"/>
    </w:pPr>
    <w:rPr>
      <w:rFonts w:ascii="Times New Roman" w:hAnsi="Times New Roman"/>
      <w:color w:val="333333"/>
      <w:sz w:val="20"/>
      <w:szCs w:val="20"/>
      <w:lang w:val="fr-BE" w:eastAsia="en-GB"/>
    </w:rPr>
  </w:style>
  <w:style w:type="paragraph" w:styleId="Header">
    <w:name w:val="header"/>
    <w:basedOn w:val="Normal"/>
    <w:link w:val="HeaderChar"/>
    <w:uiPriority w:val="99"/>
    <w:unhideWhenUsed/>
    <w:rsid w:val="000A1623"/>
    <w:pPr>
      <w:tabs>
        <w:tab w:val="center" w:pos="4513"/>
        <w:tab w:val="right" w:pos="9026"/>
      </w:tabs>
      <w:spacing w:after="0"/>
    </w:pPr>
  </w:style>
  <w:style w:type="character" w:customStyle="1" w:styleId="HeaderChar">
    <w:name w:val="Header Char"/>
    <w:basedOn w:val="DefaultParagraphFont"/>
    <w:link w:val="Header"/>
    <w:uiPriority w:val="99"/>
    <w:rsid w:val="000A1623"/>
  </w:style>
  <w:style w:type="paragraph" w:styleId="Footer">
    <w:name w:val="footer"/>
    <w:basedOn w:val="Normal"/>
    <w:link w:val="FooterChar"/>
    <w:uiPriority w:val="99"/>
    <w:unhideWhenUsed/>
    <w:rsid w:val="000A1623"/>
    <w:pPr>
      <w:tabs>
        <w:tab w:val="center" w:pos="4513"/>
        <w:tab w:val="right" w:pos="9026"/>
      </w:tabs>
      <w:spacing w:after="0"/>
    </w:pPr>
  </w:style>
  <w:style w:type="character" w:customStyle="1" w:styleId="FooterChar">
    <w:name w:val="Footer Char"/>
    <w:basedOn w:val="DefaultParagraphFont"/>
    <w:link w:val="Footer"/>
    <w:uiPriority w:val="99"/>
    <w:rsid w:val="000A1623"/>
  </w:style>
  <w:style w:type="character" w:customStyle="1" w:styleId="NoSpacingChar">
    <w:name w:val="No Spacing Char"/>
    <w:link w:val="NoSpacing"/>
    <w:uiPriority w:val="1"/>
    <w:locked/>
    <w:rsid w:val="000A1623"/>
    <w:rPr>
      <w:rFonts w:ascii="Times New Roman" w:hAnsi="Times New Roman"/>
      <w:color w:val="333333"/>
      <w:sz w:val="20"/>
      <w:szCs w:val="20"/>
      <w:lang w:val="fr-BE" w:eastAsia="en-GB"/>
    </w:rPr>
  </w:style>
  <w:style w:type="paragraph" w:styleId="ListParagraph">
    <w:name w:val="List Paragraph"/>
    <w:basedOn w:val="Normal"/>
    <w:uiPriority w:val="34"/>
    <w:qFormat/>
    <w:rsid w:val="000A1623"/>
    <w:pPr>
      <w:ind w:left="720"/>
      <w:contextualSpacing/>
    </w:pPr>
  </w:style>
  <w:style w:type="paragraph" w:customStyle="1" w:styleId="Heading2capitalletters">
    <w:name w:val="Heading 2 (capital letters)"/>
    <w:basedOn w:val="Normal"/>
    <w:link w:val="Heading2capitallettersChar"/>
    <w:qFormat/>
    <w:rsid w:val="000A1623"/>
    <w:rPr>
      <w:rFonts w:ascii="Times New Roman" w:hAnsi="Times New Roman"/>
      <w:b/>
      <w:szCs w:val="24"/>
      <w:u w:val="single"/>
      <w:lang w:val="fr-BE"/>
    </w:rPr>
  </w:style>
  <w:style w:type="character" w:customStyle="1" w:styleId="Heading2capitallettersChar">
    <w:name w:val="Heading 2 (capital letters) Char"/>
    <w:basedOn w:val="DefaultParagraphFont"/>
    <w:link w:val="Heading2capitalletters"/>
    <w:rsid w:val="000A1623"/>
    <w:rPr>
      <w:rFonts w:ascii="Times New Roman" w:hAnsi="Times New Roman" w:cs="Times New Roman"/>
      <w:b/>
      <w:sz w:val="24"/>
      <w:szCs w:val="24"/>
      <w:u w:val="single"/>
      <w:lang w:val="fr-BE"/>
    </w:rPr>
  </w:style>
  <w:style w:type="paragraph" w:customStyle="1" w:styleId="Heading3number">
    <w:name w:val="Heading 3 (number)"/>
    <w:basedOn w:val="Normal"/>
    <w:link w:val="Heading3numberChar"/>
    <w:qFormat/>
    <w:rsid w:val="000A1623"/>
    <w:pPr>
      <w:ind w:left="284"/>
    </w:pPr>
    <w:rPr>
      <w:rFonts w:ascii="Times New Roman" w:hAnsi="Times New Roman"/>
      <w:b/>
      <w:szCs w:val="24"/>
      <w:u w:val="single"/>
      <w:lang w:val="fr-BE"/>
    </w:rPr>
  </w:style>
  <w:style w:type="character" w:customStyle="1" w:styleId="Heading3numberChar">
    <w:name w:val="Heading 3 (number) Char"/>
    <w:basedOn w:val="DefaultParagraphFont"/>
    <w:link w:val="Heading3number"/>
    <w:rsid w:val="000A1623"/>
    <w:rPr>
      <w:rFonts w:ascii="Times New Roman" w:hAnsi="Times New Roman" w:cs="Times New Roman"/>
      <w:b/>
      <w:sz w:val="24"/>
      <w:szCs w:val="24"/>
      <w:u w:val="single"/>
      <w:lang w:val="fr-BE"/>
    </w:rPr>
  </w:style>
  <w:style w:type="character" w:styleId="Hyperlink">
    <w:name w:val="Hyperlink"/>
    <w:aliases w:val="Char1"/>
    <w:rsid w:val="009C733C"/>
    <w:rPr>
      <w:color w:val="0000FF"/>
      <w:u w:val="single"/>
    </w:rPr>
  </w:style>
  <w:style w:type="paragraph" w:customStyle="1" w:styleId="ZnakZnak">
    <w:name w:val="Znak Znak"/>
    <w:basedOn w:val="Normal"/>
    <w:uiPriority w:val="99"/>
    <w:rsid w:val="009C733C"/>
    <w:pPr>
      <w:spacing w:after="0" w:line="360" w:lineRule="auto"/>
    </w:pPr>
    <w:rPr>
      <w:rFonts w:ascii="Verdana" w:hAnsi="Verdana"/>
      <w:sz w:val="20"/>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2010</Words>
  <Characters>11423</Characters>
  <Application>Microsoft Office Word</Application>
  <DocSecurity>0</DocSecurity>
  <Lines>167</Lines>
  <Paragraphs>33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Veronique (SG)</dc:creator>
  <cp:keywords/>
  <dc:description/>
  <cp:lastModifiedBy>VINCENT Veronique (SG)</cp:lastModifiedBy>
  <cp:revision>1</cp:revision>
  <dcterms:created xsi:type="dcterms:W3CDTF">2019-05-28T13:13:00Z</dcterms:created>
  <dcterms:modified xsi:type="dcterms:W3CDTF">2019-05-28T13:13:00Z</dcterms:modified>
</cp:coreProperties>
</file>