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01D" w:rsidRDefault="00C7001D" w:rsidP="00C7001D">
      <w:pPr>
        <w:spacing w:after="600"/>
        <w:ind w:right="-28"/>
        <w:jc w:val="center"/>
        <w:rPr>
          <w:rFonts w:ascii="Times New Roman" w:hAnsi="Times New Roman"/>
          <w:b/>
          <w:bCs/>
          <w:szCs w:val="24"/>
        </w:rPr>
      </w:pPr>
      <w:r w:rsidRPr="00547463">
        <w:rPr>
          <w:rFonts w:ascii="Times New Roman" w:hAnsi="Times New Roman"/>
          <w:b/>
          <w:szCs w:val="24"/>
        </w:rPr>
        <w:t xml:space="preserve">Follow-up to the European Parliament non-legislative resolution </w:t>
      </w:r>
      <w:r>
        <w:rPr>
          <w:rFonts w:ascii="Times New Roman" w:hAnsi="Times New Roman"/>
          <w:b/>
          <w:szCs w:val="24"/>
        </w:rPr>
        <w:t xml:space="preserve">on </w:t>
      </w:r>
      <w:r>
        <w:rPr>
          <w:rFonts w:ascii="Times New Roman" w:hAnsi="Times New Roman"/>
          <w:b/>
          <w:bCs/>
          <w:szCs w:val="24"/>
        </w:rPr>
        <w:t>t</w:t>
      </w:r>
      <w:r w:rsidRPr="00547463">
        <w:rPr>
          <w:rFonts w:ascii="Times New Roman" w:hAnsi="Times New Roman"/>
          <w:b/>
          <w:bCs/>
          <w:szCs w:val="24"/>
        </w:rPr>
        <w:t>he implementation of Directive 2</w:t>
      </w:r>
      <w:r>
        <w:rPr>
          <w:rFonts w:ascii="Times New Roman" w:hAnsi="Times New Roman"/>
          <w:b/>
          <w:bCs/>
          <w:szCs w:val="24"/>
        </w:rPr>
        <w:t>011/7/EU on combating late payments in commercial transactions</w:t>
      </w:r>
    </w:p>
    <w:p w:rsidR="00C7001D" w:rsidRPr="00097F04" w:rsidRDefault="00C7001D" w:rsidP="00C7001D">
      <w:pPr>
        <w:pStyle w:val="CoverBold"/>
        <w:spacing w:after="120"/>
        <w:ind w:left="567" w:hanging="567"/>
        <w:jc w:val="both"/>
        <w:rPr>
          <w:b w:val="0"/>
          <w:color w:val="000000"/>
          <w:szCs w:val="24"/>
          <w:lang w:val="it-IT"/>
        </w:rPr>
      </w:pPr>
      <w:r w:rsidRPr="00097F04">
        <w:rPr>
          <w:color w:val="000000"/>
          <w:szCs w:val="24"/>
          <w:lang w:val="it-IT"/>
        </w:rPr>
        <w:t>1.</w:t>
      </w:r>
      <w:r w:rsidRPr="00097F04">
        <w:rPr>
          <w:b w:val="0"/>
          <w:color w:val="000000"/>
          <w:szCs w:val="24"/>
          <w:lang w:val="it-IT"/>
        </w:rPr>
        <w:tab/>
      </w:r>
      <w:proofErr w:type="spellStart"/>
      <w:r w:rsidRPr="00097F04">
        <w:rPr>
          <w:color w:val="000000"/>
          <w:szCs w:val="24"/>
          <w:lang w:val="it-IT"/>
        </w:rPr>
        <w:t>Rapporteur</w:t>
      </w:r>
      <w:proofErr w:type="spellEnd"/>
      <w:r w:rsidRPr="00097F04">
        <w:rPr>
          <w:color w:val="000000"/>
          <w:szCs w:val="24"/>
          <w:lang w:val="it-IT"/>
        </w:rPr>
        <w:t xml:space="preserve">: </w:t>
      </w:r>
      <w:r>
        <w:rPr>
          <w:b w:val="0"/>
          <w:color w:val="000000"/>
          <w:szCs w:val="24"/>
          <w:lang w:val="it-IT"/>
        </w:rPr>
        <w:t>La</w:t>
      </w:r>
      <w:r w:rsidRPr="00097F04">
        <w:rPr>
          <w:b w:val="0"/>
          <w:color w:val="000000"/>
          <w:szCs w:val="24"/>
          <w:lang w:val="it-IT"/>
        </w:rPr>
        <w:t>ra COMI (EPP</w:t>
      </w:r>
      <w:r>
        <w:rPr>
          <w:b w:val="0"/>
          <w:color w:val="000000"/>
          <w:szCs w:val="24"/>
          <w:lang w:val="it-IT"/>
        </w:rPr>
        <w:t xml:space="preserve"> </w:t>
      </w:r>
      <w:r w:rsidRPr="00097F04">
        <w:rPr>
          <w:b w:val="0"/>
          <w:color w:val="000000"/>
          <w:szCs w:val="24"/>
          <w:lang w:val="it-IT"/>
        </w:rPr>
        <w:t>/</w:t>
      </w:r>
      <w:r>
        <w:rPr>
          <w:b w:val="0"/>
          <w:color w:val="000000"/>
          <w:szCs w:val="24"/>
          <w:lang w:val="it-IT"/>
        </w:rPr>
        <w:t xml:space="preserve"> </w:t>
      </w:r>
      <w:r w:rsidRPr="00097F04">
        <w:rPr>
          <w:b w:val="0"/>
          <w:color w:val="000000"/>
          <w:szCs w:val="24"/>
          <w:lang w:val="it-IT"/>
        </w:rPr>
        <w:t>IT)</w:t>
      </w:r>
    </w:p>
    <w:p w:rsidR="00C7001D" w:rsidRPr="00D77EA7" w:rsidRDefault="00C7001D" w:rsidP="00C7001D">
      <w:pPr>
        <w:pStyle w:val="CoverBold"/>
        <w:spacing w:after="120"/>
        <w:ind w:left="567" w:hanging="567"/>
        <w:jc w:val="both"/>
        <w:rPr>
          <w:b w:val="0"/>
          <w:szCs w:val="24"/>
        </w:rPr>
      </w:pPr>
      <w:r w:rsidRPr="005F0237">
        <w:rPr>
          <w:color w:val="000000"/>
          <w:szCs w:val="24"/>
        </w:rPr>
        <w:t>2.</w:t>
      </w:r>
      <w:r w:rsidRPr="005F0237">
        <w:rPr>
          <w:color w:val="000000"/>
          <w:szCs w:val="24"/>
        </w:rPr>
        <w:tab/>
      </w:r>
      <w:r>
        <w:rPr>
          <w:color w:val="000000"/>
          <w:szCs w:val="24"/>
        </w:rPr>
        <w:t>R</w:t>
      </w:r>
      <w:r w:rsidRPr="005F0237">
        <w:rPr>
          <w:color w:val="000000"/>
          <w:szCs w:val="24"/>
        </w:rPr>
        <w:t>eference number</w:t>
      </w:r>
      <w:r>
        <w:rPr>
          <w:color w:val="000000"/>
          <w:szCs w:val="24"/>
        </w:rPr>
        <w:t>s</w:t>
      </w:r>
      <w:r w:rsidRPr="005F0237">
        <w:rPr>
          <w:color w:val="000000"/>
          <w:szCs w:val="24"/>
        </w:rPr>
        <w:t xml:space="preserve">: </w:t>
      </w:r>
      <w:r w:rsidRPr="00CD1F25">
        <w:rPr>
          <w:b w:val="0"/>
          <w:color w:val="000000"/>
          <w:szCs w:val="24"/>
        </w:rPr>
        <w:t>2018/2056 (INI) /</w:t>
      </w:r>
      <w:r>
        <w:rPr>
          <w:color w:val="000000"/>
          <w:szCs w:val="24"/>
        </w:rPr>
        <w:t xml:space="preserve"> </w:t>
      </w:r>
      <w:r w:rsidRPr="008904CF">
        <w:rPr>
          <w:b w:val="0"/>
          <w:bCs/>
          <w:color w:val="000000"/>
          <w:szCs w:val="24"/>
        </w:rPr>
        <w:t>A8-04</w:t>
      </w:r>
      <w:r>
        <w:rPr>
          <w:b w:val="0"/>
          <w:bCs/>
          <w:color w:val="000000"/>
          <w:szCs w:val="24"/>
        </w:rPr>
        <w:t>56</w:t>
      </w:r>
      <w:r w:rsidRPr="008904CF">
        <w:rPr>
          <w:b w:val="0"/>
          <w:bCs/>
          <w:color w:val="000000"/>
          <w:szCs w:val="24"/>
        </w:rPr>
        <w:t>/201</w:t>
      </w:r>
      <w:r>
        <w:rPr>
          <w:b w:val="0"/>
          <w:bCs/>
          <w:color w:val="000000"/>
          <w:szCs w:val="24"/>
        </w:rPr>
        <w:t xml:space="preserve">8 </w:t>
      </w:r>
      <w:r w:rsidRPr="00667AEB">
        <w:rPr>
          <w:rStyle w:val="contents"/>
          <w:b w:val="0"/>
          <w:color w:val="000000"/>
          <w:szCs w:val="24"/>
        </w:rPr>
        <w:t>/</w:t>
      </w:r>
      <w:r>
        <w:rPr>
          <w:rStyle w:val="contents"/>
          <w:color w:val="000000"/>
          <w:szCs w:val="24"/>
        </w:rPr>
        <w:t xml:space="preserve"> </w:t>
      </w:r>
      <w:r w:rsidRPr="003E783B">
        <w:rPr>
          <w:rStyle w:val="contents"/>
          <w:b w:val="0"/>
          <w:color w:val="000000"/>
          <w:szCs w:val="24"/>
        </w:rPr>
        <w:t>P8</w:t>
      </w:r>
      <w:r>
        <w:rPr>
          <w:rStyle w:val="contents"/>
          <w:b w:val="0"/>
          <w:color w:val="000000"/>
          <w:szCs w:val="24"/>
        </w:rPr>
        <w:t xml:space="preserve"> TA-</w:t>
      </w:r>
      <w:proofErr w:type="gramStart"/>
      <w:r>
        <w:rPr>
          <w:rStyle w:val="contents"/>
          <w:b w:val="0"/>
          <w:color w:val="000000"/>
          <w:szCs w:val="24"/>
        </w:rPr>
        <w:t>PROV(</w:t>
      </w:r>
      <w:proofErr w:type="gramEnd"/>
      <w:r>
        <w:rPr>
          <w:rStyle w:val="contents"/>
          <w:b w:val="0"/>
          <w:color w:val="000000"/>
          <w:szCs w:val="24"/>
        </w:rPr>
        <w:t>2019)</w:t>
      </w:r>
      <w:r w:rsidRPr="003E783B">
        <w:rPr>
          <w:rStyle w:val="contents"/>
          <w:b w:val="0"/>
          <w:color w:val="000000"/>
          <w:szCs w:val="24"/>
        </w:rPr>
        <w:t>0042</w:t>
      </w:r>
    </w:p>
    <w:p w:rsidR="00C7001D" w:rsidRDefault="00C7001D" w:rsidP="00C7001D">
      <w:pPr>
        <w:widowControl w:val="0"/>
        <w:spacing w:after="120"/>
        <w:ind w:left="567" w:hanging="567"/>
        <w:rPr>
          <w:rFonts w:ascii="Times New Roman" w:hAnsi="Times New Roman"/>
          <w:color w:val="000000"/>
          <w:szCs w:val="24"/>
        </w:rPr>
      </w:pPr>
      <w:r w:rsidRPr="00D77EA7">
        <w:rPr>
          <w:rFonts w:ascii="Times New Roman" w:hAnsi="Times New Roman"/>
          <w:b/>
          <w:color w:val="000000"/>
          <w:szCs w:val="24"/>
        </w:rPr>
        <w:t>3.</w:t>
      </w:r>
      <w:r w:rsidRPr="00D77EA7">
        <w:rPr>
          <w:rFonts w:ascii="Times New Roman" w:hAnsi="Times New Roman"/>
          <w:b/>
          <w:color w:val="000000"/>
          <w:szCs w:val="24"/>
        </w:rPr>
        <w:tab/>
        <w:t>Date of adoption of the Resolution:</w:t>
      </w:r>
      <w:r>
        <w:rPr>
          <w:rFonts w:ascii="Times New Roman" w:hAnsi="Times New Roman"/>
          <w:color w:val="000000"/>
          <w:szCs w:val="24"/>
        </w:rPr>
        <w:t xml:space="preserve"> 17 January 2019</w:t>
      </w:r>
    </w:p>
    <w:p w:rsidR="00C7001D" w:rsidRPr="00D77EA7" w:rsidRDefault="00C7001D" w:rsidP="00C7001D">
      <w:pPr>
        <w:pStyle w:val="NormalWeb"/>
        <w:widowControl w:val="0"/>
        <w:spacing w:before="0" w:beforeAutospacing="0" w:after="120" w:afterAutospacing="0"/>
        <w:ind w:left="567" w:hanging="567"/>
        <w:jc w:val="both"/>
        <w:rPr>
          <w:b/>
          <w:bCs/>
          <w:color w:val="000000"/>
        </w:rPr>
      </w:pPr>
      <w:r>
        <w:rPr>
          <w:b/>
          <w:color w:val="000000"/>
        </w:rPr>
        <w:t>4</w:t>
      </w:r>
      <w:r w:rsidRPr="00D77EA7">
        <w:rPr>
          <w:b/>
          <w:color w:val="000000"/>
        </w:rPr>
        <w:t>.</w:t>
      </w:r>
      <w:r w:rsidRPr="00D77EA7">
        <w:rPr>
          <w:color w:val="000000"/>
        </w:rPr>
        <w:tab/>
      </w:r>
      <w:r w:rsidRPr="00D77EA7">
        <w:rPr>
          <w:b/>
          <w:bCs/>
          <w:color w:val="000000"/>
        </w:rPr>
        <w:t>Competent Parliamentary Committee</w:t>
      </w:r>
      <w:r w:rsidRPr="00D77EA7">
        <w:rPr>
          <w:color w:val="000000"/>
        </w:rPr>
        <w:t>:</w:t>
      </w:r>
      <w:r w:rsidRPr="00D77EA7">
        <w:t xml:space="preserve"> </w:t>
      </w:r>
      <w:r w:rsidRPr="00D77EA7">
        <w:rPr>
          <w:color w:val="000000"/>
        </w:rPr>
        <w:t>In</w:t>
      </w:r>
      <w:r>
        <w:rPr>
          <w:color w:val="000000"/>
        </w:rPr>
        <w:t>ternal Market and Consumer Protection</w:t>
      </w:r>
      <w:r w:rsidRPr="00D77EA7">
        <w:rPr>
          <w:color w:val="000000"/>
        </w:rPr>
        <w:t xml:space="preserve"> (I</w:t>
      </w:r>
      <w:r>
        <w:rPr>
          <w:color w:val="000000"/>
        </w:rPr>
        <w:t>MCO</w:t>
      </w:r>
      <w:r w:rsidRPr="00D77EA7">
        <w:rPr>
          <w:color w:val="000000"/>
        </w:rPr>
        <w:t>)</w:t>
      </w:r>
    </w:p>
    <w:p w:rsidR="00C7001D" w:rsidRDefault="00C7001D" w:rsidP="00C7001D">
      <w:pPr>
        <w:widowControl w:val="0"/>
        <w:ind w:left="567" w:hanging="567"/>
        <w:rPr>
          <w:rFonts w:ascii="Times New Roman" w:hAnsi="Times New Roman"/>
          <w:b/>
          <w:color w:val="000000"/>
          <w:szCs w:val="24"/>
        </w:rPr>
      </w:pPr>
      <w:r>
        <w:rPr>
          <w:rFonts w:ascii="Times New Roman" w:hAnsi="Times New Roman"/>
          <w:b/>
          <w:color w:val="000000"/>
          <w:szCs w:val="24"/>
        </w:rPr>
        <w:t>5.</w:t>
      </w:r>
      <w:r>
        <w:rPr>
          <w:rFonts w:ascii="Times New Roman" w:hAnsi="Times New Roman"/>
          <w:b/>
          <w:color w:val="000000"/>
          <w:szCs w:val="24"/>
        </w:rPr>
        <w:tab/>
        <w:t>Brief analysis</w:t>
      </w:r>
      <w:r w:rsidRPr="00D77EA7">
        <w:rPr>
          <w:rFonts w:ascii="Times New Roman" w:hAnsi="Times New Roman"/>
          <w:b/>
          <w:color w:val="000000"/>
          <w:szCs w:val="24"/>
        </w:rPr>
        <w:t>/ assessment of the resolution and requests made in it:</w:t>
      </w:r>
    </w:p>
    <w:p w:rsidR="00C7001D" w:rsidRPr="00EF0D75" w:rsidRDefault="00C7001D" w:rsidP="00C7001D">
      <w:pPr>
        <w:spacing w:after="120"/>
        <w:rPr>
          <w:rFonts w:ascii="Times New Roman" w:hAnsi="Times New Roman"/>
        </w:rPr>
      </w:pPr>
      <w:r w:rsidRPr="00EF0D75">
        <w:rPr>
          <w:rFonts w:ascii="Times New Roman" w:hAnsi="Times New Roman"/>
        </w:rPr>
        <w:t xml:space="preserve">The resolution takes stock of the implementation of Directive 2011/7/EU on combating late payments in commercial transactions (hereafter referred to as LPD). </w:t>
      </w:r>
      <w:proofErr w:type="gramStart"/>
      <w:r w:rsidRPr="00EF0D75">
        <w:rPr>
          <w:rFonts w:ascii="Times New Roman" w:hAnsi="Times New Roman"/>
        </w:rPr>
        <w:t>It is the European Parliament's follow-up to the Report that the Commission presented in 2016 to the Council and the Parliament, according to Article 11 of the LPD</w:t>
      </w:r>
      <w:r w:rsidRPr="00EF0D75">
        <w:rPr>
          <w:rStyle w:val="FootnoteReference"/>
          <w:rFonts w:ascii="Times New Roman" w:hAnsi="Times New Roman"/>
        </w:rPr>
        <w:footnoteReference w:id="1"/>
      </w:r>
      <w:r w:rsidRPr="00EF0D75">
        <w:rPr>
          <w:rFonts w:ascii="Times New Roman" w:hAnsi="Times New Roman"/>
        </w:rPr>
        <w:t>.</w:t>
      </w:r>
      <w:proofErr w:type="gramEnd"/>
      <w:r w:rsidRPr="00EF0D75">
        <w:rPr>
          <w:rFonts w:ascii="Times New Roman" w:hAnsi="Times New Roman"/>
        </w:rPr>
        <w:t xml:space="preserve"> </w:t>
      </w:r>
    </w:p>
    <w:p w:rsidR="00C7001D" w:rsidRPr="00EF0D75" w:rsidRDefault="00C7001D" w:rsidP="00C7001D">
      <w:pPr>
        <w:spacing w:after="120"/>
        <w:rPr>
          <w:rFonts w:ascii="Times New Roman" w:hAnsi="Times New Roman"/>
        </w:rPr>
      </w:pPr>
      <w:r w:rsidRPr="00EF0D75">
        <w:rPr>
          <w:rFonts w:ascii="Times New Roman" w:hAnsi="Times New Roman"/>
        </w:rPr>
        <w:t xml:space="preserve">The resolution underlines that, despite the progress made since the directive entered into force, late payment remains a harmful practice for European businesses, hampering their growth, and destroying jobs. Actually, only 4 out of 10 companies in the EU </w:t>
      </w:r>
      <w:proofErr w:type="gramStart"/>
      <w:r w:rsidRPr="00EF0D75">
        <w:rPr>
          <w:rFonts w:ascii="Times New Roman" w:hAnsi="Times New Roman"/>
        </w:rPr>
        <w:t>are paid</w:t>
      </w:r>
      <w:proofErr w:type="gramEnd"/>
      <w:r w:rsidRPr="00EF0D75">
        <w:rPr>
          <w:rFonts w:ascii="Times New Roman" w:hAnsi="Times New Roman"/>
        </w:rPr>
        <w:t xml:space="preserve"> within the agreed contractual terms. Late payment still accounts for 1 out of 4 bankruptcies in the EU, and it is particularly pervasive in those sectors with a prevalence of small and medium sized enterprises (SMEs) in the relevant value chain (e.g. construction, utilities and transport, professional services, retail, food and drink and medical devices).</w:t>
      </w:r>
    </w:p>
    <w:p w:rsidR="00C7001D" w:rsidRPr="00EF0D75" w:rsidRDefault="00C7001D" w:rsidP="00C7001D">
      <w:pPr>
        <w:spacing w:after="120"/>
        <w:rPr>
          <w:rFonts w:ascii="Times New Roman" w:hAnsi="Times New Roman"/>
        </w:rPr>
      </w:pPr>
      <w:proofErr w:type="gramStart"/>
      <w:r w:rsidRPr="00EF0D75">
        <w:rPr>
          <w:rFonts w:ascii="Times New Roman" w:hAnsi="Times New Roman"/>
        </w:rPr>
        <w:t>The resolution identifies two key problems: a) a lack of effective enforcement of the directive and the relevant national implementing measures by the Member States b) the “</w:t>
      </w:r>
      <w:r w:rsidRPr="00EF0D75">
        <w:rPr>
          <w:rFonts w:ascii="Times New Roman" w:hAnsi="Times New Roman"/>
          <w:i/>
        </w:rPr>
        <w:t>loophole”</w:t>
      </w:r>
      <w:r w:rsidRPr="00EF0D75">
        <w:rPr>
          <w:rFonts w:ascii="Times New Roman" w:hAnsi="Times New Roman"/>
        </w:rPr>
        <w:t xml:space="preserve"> of the current provisions on business-to-business transactions (B2B) in the LPD, whereby the lack of a maximum payment term, which cannot be exceeded under any circumstance, results in systemic abuse of larger companies to the detriment of SMEs.</w:t>
      </w:r>
      <w:proofErr w:type="gramEnd"/>
    </w:p>
    <w:p w:rsidR="00C7001D" w:rsidRPr="00EF0D75" w:rsidRDefault="00C7001D" w:rsidP="00C7001D">
      <w:pPr>
        <w:spacing w:after="120"/>
        <w:rPr>
          <w:rFonts w:ascii="Times New Roman" w:hAnsi="Times New Roman"/>
        </w:rPr>
      </w:pPr>
      <w:r w:rsidRPr="00EF0D75">
        <w:rPr>
          <w:rFonts w:ascii="Times New Roman" w:hAnsi="Times New Roman"/>
        </w:rPr>
        <w:t xml:space="preserve">The resolution, however, does not call for an immediate revision of the LPD. On the contrary, it stipulates that late payment is a multi-faceted, complex problem that </w:t>
      </w:r>
      <w:proofErr w:type="gramStart"/>
      <w:r w:rsidRPr="00EF0D75">
        <w:rPr>
          <w:rFonts w:ascii="Times New Roman" w:hAnsi="Times New Roman"/>
        </w:rPr>
        <w:t>cannot be solved</w:t>
      </w:r>
      <w:proofErr w:type="gramEnd"/>
      <w:r w:rsidRPr="00EF0D75">
        <w:rPr>
          <w:rFonts w:ascii="Times New Roman" w:hAnsi="Times New Roman"/>
        </w:rPr>
        <w:t xml:space="preserve"> by legislation alone. According to the resolution, the most effective solution is to </w:t>
      </w:r>
      <w:proofErr w:type="gramStart"/>
      <w:r w:rsidRPr="00EF0D75">
        <w:rPr>
          <w:rFonts w:ascii="Times New Roman" w:hAnsi="Times New Roman"/>
        </w:rPr>
        <w:t>be found</w:t>
      </w:r>
      <w:proofErr w:type="gramEnd"/>
      <w:r w:rsidRPr="00EF0D75">
        <w:rPr>
          <w:rFonts w:ascii="Times New Roman" w:hAnsi="Times New Roman"/>
        </w:rPr>
        <w:t xml:space="preserve"> in a mix of both “hard”/ binding rules and “soft”/ voluntary measures. To this purpose, the resolution lists a set of “preventive” and “remedial” measures that the Member States and the Commission should put in place. Most of these measures </w:t>
      </w:r>
      <w:proofErr w:type="gramStart"/>
      <w:r w:rsidRPr="00EF0D75">
        <w:rPr>
          <w:rFonts w:ascii="Times New Roman" w:hAnsi="Times New Roman"/>
        </w:rPr>
        <w:t>are based</w:t>
      </w:r>
      <w:proofErr w:type="gramEnd"/>
      <w:r w:rsidRPr="00EF0D75">
        <w:rPr>
          <w:rFonts w:ascii="Times New Roman" w:hAnsi="Times New Roman"/>
        </w:rPr>
        <w:t xml:space="preserve"> on the results from the study on the effectiveness of existing measures to combat late payments in B2B, released by the Commission last year</w:t>
      </w:r>
      <w:r w:rsidRPr="00EF0D75">
        <w:rPr>
          <w:rStyle w:val="FootnoteReference"/>
          <w:rFonts w:ascii="Times New Roman" w:hAnsi="Times New Roman"/>
        </w:rPr>
        <w:footnoteReference w:id="2"/>
      </w:r>
      <w:r w:rsidRPr="00EF0D75">
        <w:rPr>
          <w:rFonts w:ascii="Times New Roman" w:hAnsi="Times New Roman"/>
        </w:rPr>
        <w:t>.</w:t>
      </w:r>
    </w:p>
    <w:p w:rsidR="00C7001D" w:rsidRPr="00EF0D75" w:rsidRDefault="00C7001D" w:rsidP="00C7001D">
      <w:pPr>
        <w:spacing w:after="120"/>
        <w:rPr>
          <w:rFonts w:ascii="Times New Roman" w:hAnsi="Times New Roman"/>
        </w:rPr>
      </w:pPr>
      <w:r w:rsidRPr="00EF0D75">
        <w:rPr>
          <w:rFonts w:ascii="Times New Roman" w:hAnsi="Times New Roman"/>
        </w:rPr>
        <w:t>Preventive measures proposed are:</w:t>
      </w:r>
    </w:p>
    <w:p w:rsidR="00C7001D" w:rsidRPr="00EF0D75" w:rsidRDefault="00C7001D" w:rsidP="00C7001D">
      <w:pPr>
        <w:numPr>
          <w:ilvl w:val="0"/>
          <w:numId w:val="2"/>
        </w:numPr>
        <w:spacing w:after="120"/>
        <w:rPr>
          <w:rFonts w:ascii="Times New Roman" w:hAnsi="Times New Roman"/>
          <w:lang w:val="en"/>
        </w:rPr>
      </w:pPr>
      <w:r w:rsidRPr="00EF0D75">
        <w:rPr>
          <w:rFonts w:ascii="Times New Roman" w:hAnsi="Times New Roman"/>
          <w:u w:val="single"/>
        </w:rPr>
        <w:t>For the Member States</w:t>
      </w:r>
      <w:r w:rsidRPr="00EF0D75">
        <w:rPr>
          <w:rFonts w:ascii="Times New Roman" w:hAnsi="Times New Roman"/>
        </w:rPr>
        <w:t xml:space="preserve">: to lay down national legislation setting </w:t>
      </w:r>
      <w:r w:rsidRPr="00EF0D75">
        <w:rPr>
          <w:rFonts w:ascii="Times New Roman" w:hAnsi="Times New Roman"/>
          <w:b/>
        </w:rPr>
        <w:t>stricter or specific maximum deadlines</w:t>
      </w:r>
      <w:r w:rsidRPr="00EF0D75">
        <w:rPr>
          <w:rFonts w:ascii="Times New Roman" w:hAnsi="Times New Roman"/>
        </w:rPr>
        <w:t xml:space="preserve"> by sector, to consider </w:t>
      </w:r>
      <w:r w:rsidRPr="00EF0D75">
        <w:rPr>
          <w:rFonts w:ascii="Times New Roman" w:hAnsi="Times New Roman"/>
          <w:b/>
        </w:rPr>
        <w:t>mandatory publication of information</w:t>
      </w:r>
      <w:r>
        <w:rPr>
          <w:rFonts w:ascii="Times New Roman" w:hAnsi="Times New Roman"/>
        </w:rPr>
        <w:t xml:space="preserve"> on payment behaviour </w:t>
      </w:r>
      <w:r w:rsidRPr="00EF0D75">
        <w:rPr>
          <w:rFonts w:ascii="Times New Roman" w:hAnsi="Times New Roman"/>
        </w:rPr>
        <w:t>both for the private a</w:t>
      </w:r>
      <w:r>
        <w:rPr>
          <w:rFonts w:ascii="Times New Roman" w:hAnsi="Times New Roman"/>
        </w:rPr>
        <w:t xml:space="preserve">nd public sectors, to allocate </w:t>
      </w:r>
      <w:r w:rsidRPr="00EF0D75">
        <w:rPr>
          <w:rFonts w:ascii="Times New Roman" w:hAnsi="Times New Roman"/>
        </w:rPr>
        <w:t xml:space="preserve">EU funds for </w:t>
      </w:r>
      <w:r w:rsidRPr="00EF0D75">
        <w:rPr>
          <w:rFonts w:ascii="Times New Roman" w:hAnsi="Times New Roman"/>
          <w:b/>
        </w:rPr>
        <w:t xml:space="preserve">education and training </w:t>
      </w:r>
      <w:r>
        <w:rPr>
          <w:rFonts w:ascii="Times New Roman" w:hAnsi="Times New Roman"/>
        </w:rPr>
        <w:t xml:space="preserve">of </w:t>
      </w:r>
      <w:r w:rsidRPr="00EF0D75">
        <w:rPr>
          <w:rFonts w:ascii="Times New Roman" w:hAnsi="Times New Roman"/>
        </w:rPr>
        <w:t xml:space="preserve">SMEs on financial management </w:t>
      </w:r>
    </w:p>
    <w:p w:rsidR="00C7001D" w:rsidRPr="00EF0D75" w:rsidRDefault="00C7001D" w:rsidP="00C7001D">
      <w:pPr>
        <w:numPr>
          <w:ilvl w:val="0"/>
          <w:numId w:val="2"/>
        </w:numPr>
        <w:spacing w:after="120"/>
        <w:rPr>
          <w:rFonts w:ascii="Times New Roman" w:hAnsi="Times New Roman"/>
        </w:rPr>
      </w:pPr>
      <w:r w:rsidRPr="00EF0D75">
        <w:rPr>
          <w:rFonts w:ascii="Times New Roman" w:hAnsi="Times New Roman"/>
          <w:u w:val="single"/>
          <w:lang w:val="en"/>
        </w:rPr>
        <w:lastRenderedPageBreak/>
        <w:t>For the Commission</w:t>
      </w:r>
      <w:r w:rsidRPr="00EF0D75">
        <w:rPr>
          <w:rFonts w:ascii="Times New Roman" w:hAnsi="Times New Roman"/>
          <w:b/>
          <w:lang w:val="en"/>
        </w:rPr>
        <w:t xml:space="preserve">: </w:t>
      </w:r>
      <w:r w:rsidRPr="00EF0D75">
        <w:rPr>
          <w:rFonts w:ascii="Times New Roman" w:hAnsi="Times New Roman"/>
          <w:lang w:val="en"/>
        </w:rPr>
        <w:t xml:space="preserve">to </w:t>
      </w:r>
      <w:r w:rsidRPr="00EF0D75">
        <w:rPr>
          <w:rFonts w:ascii="Times New Roman" w:hAnsi="Times New Roman"/>
          <w:b/>
          <w:lang w:val="en"/>
        </w:rPr>
        <w:t>carry out a study</w:t>
      </w:r>
      <w:r w:rsidRPr="00EF0D75">
        <w:rPr>
          <w:rFonts w:ascii="Times New Roman" w:hAnsi="Times New Roman"/>
          <w:lang w:val="en"/>
        </w:rPr>
        <w:t xml:space="preserve"> on existing national systems providing information on good payment behavior (“</w:t>
      </w:r>
      <w:r w:rsidRPr="00EF0D75">
        <w:rPr>
          <w:rFonts w:ascii="Times New Roman" w:hAnsi="Times New Roman"/>
          <w:i/>
          <w:lang w:val="en"/>
        </w:rPr>
        <w:t>name and fame</w:t>
      </w:r>
      <w:r w:rsidRPr="00EF0D75">
        <w:rPr>
          <w:rFonts w:ascii="Times New Roman" w:hAnsi="Times New Roman"/>
          <w:lang w:val="en"/>
        </w:rPr>
        <w:t xml:space="preserve">”) and explore the </w:t>
      </w:r>
      <w:r w:rsidRPr="00EF0D75">
        <w:rPr>
          <w:rFonts w:ascii="Times New Roman" w:hAnsi="Times New Roman"/>
          <w:b/>
          <w:lang w:val="en"/>
        </w:rPr>
        <w:t>feasibility of establishing common criteria</w:t>
      </w:r>
      <w:r w:rsidRPr="00EF0D75">
        <w:rPr>
          <w:rFonts w:ascii="Times New Roman" w:hAnsi="Times New Roman"/>
          <w:lang w:val="en"/>
        </w:rPr>
        <w:t xml:space="preserve"> for these systems at EU level; to continue providing </w:t>
      </w:r>
      <w:r w:rsidRPr="00EF0D75">
        <w:rPr>
          <w:rFonts w:ascii="Times New Roman" w:hAnsi="Times New Roman"/>
          <w:b/>
          <w:lang w:val="en"/>
        </w:rPr>
        <w:t>information and support to businesses</w:t>
      </w:r>
      <w:r w:rsidRPr="00EF0D75">
        <w:rPr>
          <w:rFonts w:ascii="Times New Roman" w:hAnsi="Times New Roman"/>
          <w:lang w:val="en"/>
        </w:rPr>
        <w:t xml:space="preserve"> to recover debts in cross-border transactions.</w:t>
      </w:r>
    </w:p>
    <w:p w:rsidR="00C7001D" w:rsidRPr="00EF0D75" w:rsidRDefault="00C7001D" w:rsidP="00C7001D">
      <w:pPr>
        <w:spacing w:after="120"/>
        <w:ind w:left="360"/>
        <w:rPr>
          <w:rFonts w:ascii="Times New Roman" w:hAnsi="Times New Roman"/>
        </w:rPr>
      </w:pPr>
      <w:r w:rsidRPr="00EF0D75">
        <w:rPr>
          <w:rFonts w:ascii="Times New Roman" w:hAnsi="Times New Roman"/>
        </w:rPr>
        <w:t>Remedial measures proposed are:</w:t>
      </w:r>
    </w:p>
    <w:p w:rsidR="00C7001D" w:rsidRPr="00EF0D75" w:rsidRDefault="00C7001D" w:rsidP="00C7001D">
      <w:pPr>
        <w:numPr>
          <w:ilvl w:val="0"/>
          <w:numId w:val="2"/>
        </w:numPr>
        <w:spacing w:after="120"/>
        <w:ind w:left="714" w:hanging="357"/>
        <w:rPr>
          <w:rFonts w:ascii="Times New Roman" w:hAnsi="Times New Roman"/>
        </w:rPr>
      </w:pPr>
      <w:proofErr w:type="gramStart"/>
      <w:r w:rsidRPr="00EF0D75">
        <w:rPr>
          <w:rFonts w:ascii="Times New Roman" w:hAnsi="Times New Roman"/>
          <w:u w:val="single"/>
        </w:rPr>
        <w:t>For the Member States</w:t>
      </w:r>
      <w:r w:rsidRPr="00EF0D75">
        <w:rPr>
          <w:rFonts w:ascii="Times New Roman" w:hAnsi="Times New Roman"/>
        </w:rPr>
        <w:t xml:space="preserve">: to consider the setting up of </w:t>
      </w:r>
      <w:r w:rsidRPr="00EF0D75">
        <w:rPr>
          <w:rFonts w:ascii="Times New Roman" w:hAnsi="Times New Roman"/>
          <w:b/>
        </w:rPr>
        <w:t>national and regional mediation services for businesses</w:t>
      </w:r>
      <w:r w:rsidRPr="00EF0D75">
        <w:rPr>
          <w:rFonts w:ascii="Times New Roman" w:hAnsi="Times New Roman"/>
        </w:rPr>
        <w:t xml:space="preserve">, as cost-free alternatives to court proceedings; to foster more effective involvement of </w:t>
      </w:r>
      <w:r w:rsidRPr="00EF0D75">
        <w:rPr>
          <w:rFonts w:ascii="Times New Roman" w:hAnsi="Times New Roman"/>
          <w:b/>
        </w:rPr>
        <w:t>business associations in providing confidential support to SMEs</w:t>
      </w:r>
      <w:r w:rsidRPr="00EF0D75">
        <w:rPr>
          <w:rFonts w:ascii="Times New Roman" w:hAnsi="Times New Roman"/>
        </w:rPr>
        <w:t xml:space="preserve">; to ensure </w:t>
      </w:r>
      <w:r w:rsidRPr="00EF0D75">
        <w:rPr>
          <w:rFonts w:ascii="Times New Roman" w:hAnsi="Times New Roman"/>
          <w:b/>
        </w:rPr>
        <w:t>effective access to justice</w:t>
      </w:r>
      <w:r w:rsidRPr="00EF0D75">
        <w:rPr>
          <w:rFonts w:ascii="Times New Roman" w:hAnsi="Times New Roman"/>
        </w:rPr>
        <w:t xml:space="preserve"> in matters relating to the recovery of debts in cross-border transactions; to </w:t>
      </w:r>
      <w:r w:rsidRPr="00EF0D75">
        <w:rPr>
          <w:rFonts w:ascii="Times New Roman" w:hAnsi="Times New Roman"/>
          <w:b/>
        </w:rPr>
        <w:t xml:space="preserve">use administrative sanctions </w:t>
      </w:r>
      <w:r w:rsidRPr="00EF0D75">
        <w:rPr>
          <w:rFonts w:ascii="Times New Roman" w:hAnsi="Times New Roman"/>
        </w:rPr>
        <w:t xml:space="preserve">that are effective, proportionate and dissuasive; to make </w:t>
      </w:r>
      <w:r w:rsidRPr="00EF0D75">
        <w:rPr>
          <w:rFonts w:ascii="Times New Roman" w:hAnsi="Times New Roman"/>
          <w:b/>
        </w:rPr>
        <w:t>public authorities lead by example,</w:t>
      </w:r>
      <w:r w:rsidRPr="00EF0D75">
        <w:rPr>
          <w:rFonts w:ascii="Times New Roman" w:hAnsi="Times New Roman"/>
        </w:rPr>
        <w:t xml:space="preserve"> by paying their suppliers on time or, when payments are late, by paying interests and compensations </w:t>
      </w:r>
      <w:r w:rsidRPr="00EF0D75">
        <w:rPr>
          <w:rFonts w:ascii="Times New Roman" w:hAnsi="Times New Roman"/>
          <w:b/>
        </w:rPr>
        <w:t>automatically</w:t>
      </w:r>
      <w:r w:rsidRPr="00EF0D75">
        <w:rPr>
          <w:rFonts w:ascii="Times New Roman" w:hAnsi="Times New Roman"/>
        </w:rPr>
        <w:t xml:space="preserve">; to put in place </w:t>
      </w:r>
      <w:r w:rsidRPr="00EF0D75">
        <w:rPr>
          <w:rFonts w:ascii="Times New Roman" w:hAnsi="Times New Roman"/>
          <w:b/>
        </w:rPr>
        <w:t>synergies</w:t>
      </w:r>
      <w:r w:rsidRPr="00EF0D75">
        <w:rPr>
          <w:rFonts w:ascii="Times New Roman" w:hAnsi="Times New Roman"/>
        </w:rPr>
        <w:t xml:space="preserve"> between the Public Procurement Directive and the LPD.</w:t>
      </w:r>
      <w:proofErr w:type="gramEnd"/>
    </w:p>
    <w:p w:rsidR="00C7001D" w:rsidRPr="00EF0D75" w:rsidRDefault="00C7001D" w:rsidP="00C7001D">
      <w:pPr>
        <w:numPr>
          <w:ilvl w:val="0"/>
          <w:numId w:val="2"/>
        </w:numPr>
        <w:spacing w:after="120"/>
        <w:ind w:left="714" w:hanging="357"/>
        <w:rPr>
          <w:rFonts w:ascii="Times New Roman" w:hAnsi="Times New Roman"/>
        </w:rPr>
      </w:pPr>
      <w:r w:rsidRPr="00EF0D75">
        <w:rPr>
          <w:rFonts w:ascii="Times New Roman" w:hAnsi="Times New Roman"/>
          <w:u w:val="single"/>
        </w:rPr>
        <w:t>For the Commission</w:t>
      </w:r>
      <w:r w:rsidRPr="00EF0D75">
        <w:rPr>
          <w:rFonts w:ascii="Times New Roman" w:hAnsi="Times New Roman"/>
        </w:rPr>
        <w:t xml:space="preserve">: to consider proposals </w:t>
      </w:r>
      <w:r w:rsidRPr="00EF0D75">
        <w:rPr>
          <w:rFonts w:ascii="Times New Roman" w:hAnsi="Times New Roman"/>
          <w:b/>
        </w:rPr>
        <w:t>for mandatory offsetting of tax, and social security debts</w:t>
      </w:r>
      <w:r w:rsidRPr="00EF0D75">
        <w:rPr>
          <w:rFonts w:ascii="Times New Roman" w:hAnsi="Times New Roman"/>
        </w:rPr>
        <w:t xml:space="preserve"> against outstanding amounts owed by the public authorities; to issue </w:t>
      </w:r>
      <w:r w:rsidRPr="00EF0D75">
        <w:rPr>
          <w:rFonts w:ascii="Times New Roman" w:hAnsi="Times New Roman"/>
          <w:b/>
        </w:rPr>
        <w:t xml:space="preserve">guidance </w:t>
      </w:r>
      <w:r w:rsidRPr="00EF0D75">
        <w:rPr>
          <w:rFonts w:ascii="Times New Roman" w:hAnsi="Times New Roman"/>
        </w:rPr>
        <w:t>on the concept of</w:t>
      </w:r>
      <w:r w:rsidRPr="00EF0D75">
        <w:rPr>
          <w:rFonts w:ascii="Times New Roman" w:hAnsi="Times New Roman"/>
          <w:b/>
        </w:rPr>
        <w:t xml:space="preserve"> “grossly unfair” </w:t>
      </w:r>
      <w:r w:rsidRPr="00EF0D75">
        <w:rPr>
          <w:rFonts w:ascii="Times New Roman" w:hAnsi="Times New Roman"/>
        </w:rPr>
        <w:t xml:space="preserve">in the LPD; to foster better use of </w:t>
      </w:r>
      <w:r w:rsidRPr="00EF0D75">
        <w:rPr>
          <w:rFonts w:ascii="Times New Roman" w:hAnsi="Times New Roman"/>
          <w:b/>
        </w:rPr>
        <w:t>supply chain financing</w:t>
      </w:r>
      <w:r>
        <w:rPr>
          <w:rFonts w:ascii="Times New Roman" w:hAnsi="Times New Roman"/>
        </w:rPr>
        <w:t xml:space="preserve"> </w:t>
      </w:r>
      <w:r w:rsidRPr="00EF0D75">
        <w:rPr>
          <w:rFonts w:ascii="Times New Roman" w:hAnsi="Times New Roman"/>
        </w:rPr>
        <w:t>to ensure that creditors are paid in real time as soon as they issue an invoice.</w:t>
      </w:r>
    </w:p>
    <w:p w:rsidR="00C7001D" w:rsidRPr="00EF0D75" w:rsidRDefault="00C7001D" w:rsidP="00C7001D">
      <w:pPr>
        <w:spacing w:after="120"/>
        <w:rPr>
          <w:rFonts w:ascii="Times New Roman" w:hAnsi="Times New Roman"/>
        </w:rPr>
      </w:pPr>
      <w:r w:rsidRPr="00EF0D75">
        <w:rPr>
          <w:rFonts w:ascii="Times New Roman" w:hAnsi="Times New Roman"/>
        </w:rPr>
        <w:t>The resolution contains also general conclusions, to ensure that, gradually but constantly, a “</w:t>
      </w:r>
      <w:r w:rsidRPr="00EF0D75">
        <w:rPr>
          <w:rFonts w:ascii="Times New Roman" w:hAnsi="Times New Roman"/>
          <w:i/>
        </w:rPr>
        <w:t>decisive shift towards a culture of prompt payment</w:t>
      </w:r>
      <w:r w:rsidRPr="00EF0D75">
        <w:rPr>
          <w:rFonts w:ascii="Times New Roman" w:hAnsi="Times New Roman"/>
        </w:rPr>
        <w:t xml:space="preserve">” </w:t>
      </w:r>
      <w:proofErr w:type="gramStart"/>
      <w:r w:rsidRPr="00EF0D75">
        <w:rPr>
          <w:rFonts w:ascii="Times New Roman" w:hAnsi="Times New Roman"/>
        </w:rPr>
        <w:t>is built</w:t>
      </w:r>
      <w:proofErr w:type="gramEnd"/>
      <w:r w:rsidRPr="00EF0D75">
        <w:rPr>
          <w:rFonts w:ascii="Times New Roman" w:hAnsi="Times New Roman"/>
        </w:rPr>
        <w:t xml:space="preserve"> in the business environment.</w:t>
      </w:r>
    </w:p>
    <w:p w:rsidR="00C7001D" w:rsidRPr="00EF0D75" w:rsidRDefault="00C7001D" w:rsidP="00C7001D">
      <w:pPr>
        <w:spacing w:after="120"/>
        <w:rPr>
          <w:rFonts w:ascii="Times New Roman" w:hAnsi="Times New Roman"/>
        </w:rPr>
      </w:pPr>
      <w:r w:rsidRPr="00EF0D75">
        <w:rPr>
          <w:rFonts w:ascii="Times New Roman" w:hAnsi="Times New Roman"/>
        </w:rPr>
        <w:t>As the Commission has a key role in bringing about this cultural change, the resolution asks the Commission to mainstream prompt payment requirements into all policy and legislation affecting businesses (</w:t>
      </w:r>
      <w:r w:rsidRPr="00EF0D75">
        <w:rPr>
          <w:rFonts w:ascii="Times New Roman" w:hAnsi="Times New Roman"/>
          <w:szCs w:val="24"/>
        </w:rPr>
        <w:t>corporate social responsibility</w:t>
      </w:r>
      <w:r w:rsidRPr="00EF0D75">
        <w:rPr>
          <w:rFonts w:ascii="Times New Roman" w:hAnsi="Times New Roman"/>
          <w:sz w:val="23"/>
          <w:szCs w:val="23"/>
        </w:rPr>
        <w:t xml:space="preserve"> </w:t>
      </w:r>
      <w:r w:rsidRPr="00EF0D75">
        <w:rPr>
          <w:rFonts w:ascii="Times New Roman" w:hAnsi="Times New Roman"/>
        </w:rPr>
        <w:t>(CSR), platform-to business relationships, etc.). Finally, the Commission, together with the Member States, should continue raising awareness promoting information campaigns and access to appropriate funding lines for European entrepreneurs.</w:t>
      </w:r>
    </w:p>
    <w:p w:rsidR="00C7001D" w:rsidRPr="00EF0D75" w:rsidRDefault="00C7001D" w:rsidP="00C7001D">
      <w:pPr>
        <w:ind w:left="567" w:hanging="567"/>
        <w:rPr>
          <w:rFonts w:ascii="Times New Roman" w:hAnsi="Times New Roman"/>
          <w:color w:val="000000"/>
          <w:szCs w:val="24"/>
        </w:rPr>
      </w:pPr>
      <w:r w:rsidRPr="00EF0D75">
        <w:rPr>
          <w:rFonts w:ascii="Times New Roman" w:hAnsi="Times New Roman"/>
          <w:b/>
          <w:bCs/>
          <w:noProof/>
          <w:color w:val="000000"/>
          <w:szCs w:val="24"/>
        </w:rPr>
        <w:t>6.</w:t>
      </w:r>
      <w:r w:rsidRPr="00EF0D75">
        <w:rPr>
          <w:rFonts w:ascii="Times New Roman" w:hAnsi="Times New Roman"/>
          <w:b/>
          <w:bCs/>
          <w:noProof/>
          <w:color w:val="000000"/>
          <w:szCs w:val="24"/>
        </w:rPr>
        <w:tab/>
        <w:t>Response to requests and overview of action taken, or intended to be taken, by the Commission</w:t>
      </w:r>
    </w:p>
    <w:p w:rsidR="00C7001D" w:rsidRPr="00EF0D75" w:rsidRDefault="00C7001D" w:rsidP="00C7001D">
      <w:pPr>
        <w:spacing w:after="120"/>
        <w:rPr>
          <w:rFonts w:ascii="Times New Roman" w:hAnsi="Times New Roman"/>
        </w:rPr>
      </w:pPr>
      <w:r w:rsidRPr="00EF0D75">
        <w:rPr>
          <w:rFonts w:ascii="Times New Roman" w:hAnsi="Times New Roman"/>
        </w:rPr>
        <w:t>The Commission shares the overall vision presented in the resolution. Far too many SMEs do not use the rights that the LPD has granted to them, out of fear to lose future businesses. To fight effectively against late payment it will be crucial to remove the “fear-factor”: this requires a mix of measures, both binding and voluntary, but, above all, a change of culture. The Commission is determined to continue its work on combatting late payments, by adhering to its strict enforcement policy on the one hand and on the other, by examining the potential of alternative measures to foster a better payment culture in Europe.</w:t>
      </w:r>
    </w:p>
    <w:p w:rsidR="00C7001D" w:rsidRPr="00EF0D75" w:rsidRDefault="00C7001D" w:rsidP="00C7001D">
      <w:pPr>
        <w:spacing w:after="120"/>
        <w:rPr>
          <w:rFonts w:ascii="Times New Roman" w:hAnsi="Times New Roman"/>
        </w:rPr>
      </w:pPr>
      <w:r w:rsidRPr="00EF0D75">
        <w:rPr>
          <w:rFonts w:ascii="Times New Roman" w:hAnsi="Times New Roman"/>
        </w:rPr>
        <w:t>The resolution also enshrines the principle that the public authorities bear a “</w:t>
      </w:r>
      <w:r w:rsidRPr="00EF0D75">
        <w:rPr>
          <w:rFonts w:ascii="Times New Roman" w:hAnsi="Times New Roman"/>
          <w:i/>
        </w:rPr>
        <w:t>special responsibility”</w:t>
      </w:r>
      <w:r w:rsidRPr="00EF0D75">
        <w:rPr>
          <w:rFonts w:ascii="Times New Roman" w:hAnsi="Times New Roman"/>
        </w:rPr>
        <w:t xml:space="preserve"> in promoting timely payment.</w:t>
      </w:r>
    </w:p>
    <w:p w:rsidR="00C7001D" w:rsidRPr="00EF0D75" w:rsidRDefault="00C7001D" w:rsidP="00C7001D">
      <w:pPr>
        <w:spacing w:after="120"/>
        <w:rPr>
          <w:rFonts w:ascii="Times New Roman" w:hAnsi="Times New Roman"/>
        </w:rPr>
      </w:pPr>
      <w:r w:rsidRPr="00EF0D75">
        <w:rPr>
          <w:rFonts w:ascii="Times New Roman" w:hAnsi="Times New Roman"/>
        </w:rPr>
        <w:t>On this basis, the Commission would like to comment on the following aspects:</w:t>
      </w:r>
    </w:p>
    <w:p w:rsidR="00C7001D" w:rsidRPr="00EF0D75" w:rsidRDefault="00C7001D" w:rsidP="00C7001D">
      <w:pPr>
        <w:numPr>
          <w:ilvl w:val="0"/>
          <w:numId w:val="1"/>
        </w:numPr>
        <w:spacing w:after="120"/>
        <w:ind w:left="786"/>
        <w:rPr>
          <w:rFonts w:ascii="Times New Roman" w:hAnsi="Times New Roman"/>
          <w:i/>
          <w:szCs w:val="24"/>
          <w:u w:val="single"/>
        </w:rPr>
      </w:pPr>
      <w:r w:rsidRPr="00EF0D75">
        <w:rPr>
          <w:rFonts w:ascii="Times New Roman" w:hAnsi="Times New Roman"/>
          <w:i/>
          <w:szCs w:val="24"/>
          <w:u w:val="single"/>
        </w:rPr>
        <w:t xml:space="preserve"> Providing support and information to business in claiming payment in cross-border transactions</w:t>
      </w:r>
    </w:p>
    <w:p w:rsidR="00C7001D" w:rsidRPr="00EF0D75" w:rsidRDefault="00C7001D" w:rsidP="00C7001D">
      <w:pPr>
        <w:spacing w:after="120"/>
        <w:rPr>
          <w:rFonts w:ascii="Times New Roman" w:hAnsi="Times New Roman"/>
        </w:rPr>
      </w:pPr>
      <w:r w:rsidRPr="00EF0D75">
        <w:rPr>
          <w:rFonts w:ascii="Times New Roman" w:hAnsi="Times New Roman"/>
        </w:rPr>
        <w:t xml:space="preserve">The Commission is already active in providing information and support to business on their rights and how to defend them, when it comes to claim payment in cross-border transactions. </w:t>
      </w:r>
      <w:r w:rsidRPr="00EF0D75">
        <w:rPr>
          <w:rFonts w:ascii="Times New Roman" w:hAnsi="Times New Roman"/>
        </w:rPr>
        <w:lastRenderedPageBreak/>
        <w:t>The “Late Payment” page on the Your Europe Portal</w:t>
      </w:r>
      <w:r w:rsidRPr="00EF0D75">
        <w:rPr>
          <w:rFonts w:ascii="Times New Roman" w:hAnsi="Times New Roman"/>
          <w:vertAlign w:val="superscript"/>
        </w:rPr>
        <w:footnoteReference w:id="3"/>
      </w:r>
      <w:r w:rsidRPr="00EF0D75">
        <w:rPr>
          <w:rFonts w:ascii="Times New Roman" w:hAnsi="Times New Roman"/>
          <w:vertAlign w:val="superscript"/>
        </w:rPr>
        <w:t xml:space="preserve"> </w:t>
      </w:r>
      <w:proofErr w:type="gramStart"/>
      <w:r w:rsidRPr="00EF0D75">
        <w:rPr>
          <w:rFonts w:ascii="Times New Roman" w:hAnsi="Times New Roman"/>
        </w:rPr>
        <w:t>was recently revamped</w:t>
      </w:r>
      <w:proofErr w:type="gramEnd"/>
      <w:r w:rsidRPr="00EF0D75">
        <w:rPr>
          <w:rFonts w:ascii="Times New Roman" w:hAnsi="Times New Roman"/>
        </w:rPr>
        <w:t xml:space="preserve">. In 2018, it received almost 250.000 visits. Via the portal page and through an interactive menu, businesses </w:t>
      </w:r>
      <w:proofErr w:type="gramStart"/>
      <w:r w:rsidRPr="00EF0D75">
        <w:rPr>
          <w:rFonts w:ascii="Times New Roman" w:hAnsi="Times New Roman"/>
        </w:rPr>
        <w:t>are guided</w:t>
      </w:r>
      <w:proofErr w:type="gramEnd"/>
      <w:r w:rsidRPr="00EF0D75">
        <w:rPr>
          <w:rFonts w:ascii="Times New Roman" w:hAnsi="Times New Roman"/>
        </w:rPr>
        <w:t xml:space="preserve"> to the information they seek, and can calculate the interests and compensations they are owed in all the EU Member States via a dedicated and easy-to-use calculator (+17 % visits in 2018). Finally, they </w:t>
      </w:r>
      <w:proofErr w:type="gramStart"/>
      <w:r w:rsidRPr="00EF0D75">
        <w:rPr>
          <w:rFonts w:ascii="Times New Roman" w:hAnsi="Times New Roman"/>
        </w:rPr>
        <w:t>are put</w:t>
      </w:r>
      <w:proofErr w:type="gramEnd"/>
      <w:r w:rsidRPr="00EF0D75">
        <w:rPr>
          <w:rFonts w:ascii="Times New Roman" w:hAnsi="Times New Roman"/>
        </w:rPr>
        <w:t xml:space="preserve"> in touch with the local branch of the European Enterprise Network</w:t>
      </w:r>
      <w:r w:rsidRPr="00EF0D75">
        <w:rPr>
          <w:rFonts w:ascii="Times New Roman" w:hAnsi="Times New Roman"/>
          <w:vertAlign w:val="superscript"/>
        </w:rPr>
        <w:footnoteReference w:id="4"/>
      </w:r>
      <w:r w:rsidRPr="00EF0D75">
        <w:rPr>
          <w:rFonts w:ascii="Times New Roman" w:hAnsi="Times New Roman"/>
        </w:rPr>
        <w:t xml:space="preserve"> for additional, customised cost-free support.</w:t>
      </w:r>
    </w:p>
    <w:p w:rsidR="00C7001D" w:rsidRPr="00EF0D75" w:rsidRDefault="00C7001D" w:rsidP="00C7001D">
      <w:pPr>
        <w:numPr>
          <w:ilvl w:val="0"/>
          <w:numId w:val="1"/>
        </w:numPr>
        <w:spacing w:after="120"/>
        <w:ind w:left="786"/>
        <w:rPr>
          <w:rFonts w:ascii="Times New Roman" w:hAnsi="Times New Roman"/>
          <w:i/>
          <w:szCs w:val="24"/>
          <w:u w:val="single"/>
        </w:rPr>
      </w:pPr>
      <w:r w:rsidRPr="00EF0D75">
        <w:rPr>
          <w:rFonts w:ascii="Times New Roman" w:hAnsi="Times New Roman"/>
          <w:i/>
          <w:szCs w:val="24"/>
          <w:u w:val="single"/>
        </w:rPr>
        <w:t>Fostering supply chain solutions in market</w:t>
      </w:r>
    </w:p>
    <w:p w:rsidR="00C7001D" w:rsidRPr="00EF0D75" w:rsidRDefault="00C7001D" w:rsidP="00C7001D">
      <w:pPr>
        <w:spacing w:after="120"/>
        <w:rPr>
          <w:rFonts w:ascii="Times New Roman" w:hAnsi="Times New Roman"/>
        </w:rPr>
      </w:pPr>
      <w:r w:rsidRPr="00EF0D75">
        <w:rPr>
          <w:rFonts w:ascii="Times New Roman" w:hAnsi="Times New Roman"/>
        </w:rPr>
        <w:t>As part of the Mid-term Review of the Capital Markets Union (CMU) Action Plan, the Commission launched last year a study to obtain a comprehensive analysis of the supply chain finance</w:t>
      </w:r>
      <w:r w:rsidRPr="00EF0D75">
        <w:rPr>
          <w:rFonts w:ascii="Times New Roman" w:hAnsi="Times New Roman"/>
          <w:vertAlign w:val="superscript"/>
        </w:rPr>
        <w:footnoteReference w:id="5"/>
      </w:r>
      <w:r w:rsidRPr="00EF0D75">
        <w:rPr>
          <w:rFonts w:ascii="Times New Roman" w:hAnsi="Times New Roman"/>
          <w:vertAlign w:val="superscript"/>
        </w:rPr>
        <w:t xml:space="preserve"> </w:t>
      </w:r>
      <w:r w:rsidRPr="00EF0D75">
        <w:rPr>
          <w:rFonts w:ascii="Times New Roman" w:hAnsi="Times New Roman"/>
        </w:rPr>
        <w:t xml:space="preserve">market (SCF) and the applicable regulatory landscape at the EU and the Member State levels. The study </w:t>
      </w:r>
      <w:proofErr w:type="gramStart"/>
      <w:r w:rsidRPr="00EF0D75">
        <w:rPr>
          <w:rFonts w:ascii="Times New Roman" w:hAnsi="Times New Roman"/>
        </w:rPr>
        <w:t>will be completed</w:t>
      </w:r>
      <w:proofErr w:type="gramEnd"/>
      <w:r w:rsidRPr="00EF0D75">
        <w:rPr>
          <w:rFonts w:ascii="Times New Roman" w:hAnsi="Times New Roman"/>
        </w:rPr>
        <w:t xml:space="preserve"> in the third quarter of 2019. It will identify barriers to the SCF growth and cross-border development and potential ways to overcome them, as well as best practices that to </w:t>
      </w:r>
      <w:proofErr w:type="gramStart"/>
      <w:r w:rsidRPr="00EF0D75">
        <w:rPr>
          <w:rFonts w:ascii="Times New Roman" w:hAnsi="Times New Roman"/>
        </w:rPr>
        <w:t>be replicated</w:t>
      </w:r>
      <w:proofErr w:type="gramEnd"/>
      <w:r w:rsidRPr="00EF0D75">
        <w:rPr>
          <w:rFonts w:ascii="Times New Roman" w:hAnsi="Times New Roman"/>
        </w:rPr>
        <w:t>.</w:t>
      </w:r>
    </w:p>
    <w:p w:rsidR="00C7001D" w:rsidRPr="00EF0D75" w:rsidRDefault="00C7001D" w:rsidP="00C7001D">
      <w:pPr>
        <w:numPr>
          <w:ilvl w:val="0"/>
          <w:numId w:val="1"/>
        </w:numPr>
        <w:spacing w:after="120"/>
        <w:ind w:left="786"/>
        <w:rPr>
          <w:rFonts w:ascii="Times New Roman" w:hAnsi="Times New Roman"/>
          <w:i/>
          <w:szCs w:val="24"/>
          <w:u w:val="single"/>
        </w:rPr>
      </w:pPr>
      <w:r w:rsidRPr="00EF0D75">
        <w:rPr>
          <w:rFonts w:ascii="Times New Roman" w:hAnsi="Times New Roman"/>
          <w:i/>
          <w:szCs w:val="24"/>
          <w:u w:val="single"/>
        </w:rPr>
        <w:t>Information campaigns/Raising awareness</w:t>
      </w:r>
    </w:p>
    <w:p w:rsidR="00C7001D" w:rsidRPr="00EF0D75" w:rsidRDefault="00C7001D" w:rsidP="00C7001D">
      <w:pPr>
        <w:spacing w:after="120"/>
        <w:rPr>
          <w:rFonts w:ascii="Times New Roman" w:hAnsi="Times New Roman"/>
        </w:rPr>
      </w:pPr>
      <w:r w:rsidRPr="00EF0D75">
        <w:rPr>
          <w:rFonts w:ascii="Times New Roman" w:hAnsi="Times New Roman"/>
        </w:rPr>
        <w:t>The resolution correctly highlights the “educational gap” of business about credit and financial management. Currently, only 30 % of SMEs in Europe are aware of the LPD and its rules. Next to traditional information campaigns, the Commission also believes in the effectiveness of dedicated networks and fora, such as the SME envoys</w:t>
      </w:r>
      <w:r w:rsidRPr="00EF0D75">
        <w:rPr>
          <w:rStyle w:val="FootnoteReference"/>
          <w:rFonts w:ascii="Times New Roman" w:hAnsi="Times New Roman"/>
        </w:rPr>
        <w:footnoteReference w:id="6"/>
      </w:r>
      <w:r w:rsidRPr="00EF0D75">
        <w:rPr>
          <w:rFonts w:ascii="Times New Roman" w:hAnsi="Times New Roman"/>
        </w:rPr>
        <w:t xml:space="preserve"> and SME week</w:t>
      </w:r>
      <w:r w:rsidRPr="00EF0D75">
        <w:rPr>
          <w:rStyle w:val="FootnoteReference"/>
          <w:rFonts w:ascii="Times New Roman" w:hAnsi="Times New Roman"/>
        </w:rPr>
        <w:footnoteReference w:id="7"/>
      </w:r>
      <w:r w:rsidRPr="00EF0D75">
        <w:rPr>
          <w:rFonts w:ascii="Times New Roman" w:hAnsi="Times New Roman"/>
        </w:rPr>
        <w:t>, or participation at events and roundtables organised at national level, by business organisations and other stakeholders. These channels allow reaching the target audiences more effectively.</w:t>
      </w:r>
    </w:p>
    <w:p w:rsidR="00C7001D" w:rsidRPr="00EF0D75" w:rsidRDefault="00C7001D" w:rsidP="00C7001D">
      <w:pPr>
        <w:numPr>
          <w:ilvl w:val="0"/>
          <w:numId w:val="1"/>
        </w:numPr>
        <w:spacing w:after="120"/>
        <w:ind w:left="782" w:hanging="357"/>
        <w:rPr>
          <w:rFonts w:ascii="Times New Roman" w:hAnsi="Times New Roman"/>
          <w:i/>
          <w:szCs w:val="24"/>
          <w:u w:val="single"/>
        </w:rPr>
      </w:pPr>
      <w:r w:rsidRPr="00EF0D75">
        <w:rPr>
          <w:rFonts w:ascii="Times New Roman" w:hAnsi="Times New Roman"/>
          <w:i/>
          <w:szCs w:val="24"/>
          <w:u w:val="single"/>
        </w:rPr>
        <w:t>Fostering “name and fame” at EU level</w:t>
      </w:r>
    </w:p>
    <w:p w:rsidR="00C7001D" w:rsidRPr="00EF0D75" w:rsidRDefault="00C7001D" w:rsidP="00C7001D">
      <w:pPr>
        <w:spacing w:after="120"/>
        <w:rPr>
          <w:rFonts w:ascii="Times New Roman" w:hAnsi="Times New Roman"/>
        </w:rPr>
      </w:pPr>
      <w:r w:rsidRPr="00EF0D75">
        <w:rPr>
          <w:rFonts w:ascii="Times New Roman" w:hAnsi="Times New Roman"/>
        </w:rPr>
        <w:t>The Commission agrees with the resolution that fostering and rewarding good payment behaviour can be a very effective way to fight against late payments. Prompt payment is a powerful and smart business strategy: it reinforces supply chains, by bringing fairness in commercial relations and by creating networks of trusted partners and suppliers willing to offer better deals. In the Commission’s study</w:t>
      </w:r>
      <w:r w:rsidRPr="00EF0D75">
        <w:rPr>
          <w:rStyle w:val="FootnoteReference"/>
          <w:rFonts w:ascii="Times New Roman" w:hAnsi="Times New Roman"/>
        </w:rPr>
        <w:footnoteReference w:id="8"/>
      </w:r>
      <w:r w:rsidRPr="00EF0D75">
        <w:rPr>
          <w:rFonts w:ascii="Times New Roman" w:hAnsi="Times New Roman"/>
        </w:rPr>
        <w:t xml:space="preserve"> released last year, there are extensive analysis and examples of these practices and measures (e.g. awards, voluntary codes, CSR) in the Member States. The Commission is currently discussing the recommendations of the study with national authorities and stakeholders in order to analyse the potential for implementing measures at EU wide level and will, where necessary, collect additional information to assess the effectiveness of these schemes. However, the Commission points out that “name and fame” can only contribute to creating a responsible payment culture, as long as it is equipped with rigorous auditing and enforcement criteria, with no tolerance for those businesses who do not play by the rules which they have publicly pledged to follow.</w:t>
      </w:r>
    </w:p>
    <w:p w:rsidR="00C7001D" w:rsidRPr="00EF0D75" w:rsidRDefault="00C7001D" w:rsidP="00C7001D">
      <w:pPr>
        <w:numPr>
          <w:ilvl w:val="0"/>
          <w:numId w:val="1"/>
        </w:numPr>
        <w:spacing w:after="120"/>
        <w:ind w:left="786"/>
        <w:rPr>
          <w:rFonts w:ascii="Times New Roman" w:hAnsi="Times New Roman"/>
          <w:i/>
          <w:szCs w:val="24"/>
          <w:u w:val="single"/>
        </w:rPr>
      </w:pPr>
      <w:r w:rsidRPr="00EF0D75">
        <w:rPr>
          <w:rFonts w:ascii="Times New Roman" w:hAnsi="Times New Roman"/>
          <w:i/>
          <w:szCs w:val="24"/>
          <w:u w:val="single"/>
        </w:rPr>
        <w:t>Offsetting fiscal and social security obligation with unpaid invoices</w:t>
      </w:r>
    </w:p>
    <w:p w:rsidR="00C7001D" w:rsidRPr="00EF0D75" w:rsidRDefault="00C7001D" w:rsidP="00C7001D">
      <w:pPr>
        <w:spacing w:after="120"/>
        <w:rPr>
          <w:rFonts w:ascii="Times New Roman" w:hAnsi="Times New Roman"/>
        </w:rPr>
      </w:pPr>
      <w:r w:rsidRPr="00EF0D75">
        <w:rPr>
          <w:rFonts w:ascii="Times New Roman" w:hAnsi="Times New Roman"/>
        </w:rPr>
        <w:t>During the preparation of the resolution, the Commission expressed to the Rapporteur it concerns about proposals on mandatory offsetting of taxes owed to the State with credits owed by the State. In addition to unpredictable impacts on tax revenues, these measures would require a complete overhaul of taxation systems in the Member States. Instead, measures to speed up VAT reimbursements could be very effective in providing business with liquidity.</w:t>
      </w:r>
    </w:p>
    <w:p w:rsidR="00C7001D" w:rsidRPr="00EF0D75" w:rsidRDefault="00C7001D" w:rsidP="00C7001D">
      <w:pPr>
        <w:spacing w:after="120"/>
        <w:rPr>
          <w:rFonts w:ascii="Times New Roman" w:hAnsi="Times New Roman"/>
        </w:rPr>
      </w:pPr>
      <w:r w:rsidRPr="00EF0D75">
        <w:rPr>
          <w:rFonts w:ascii="Times New Roman" w:hAnsi="Times New Roman"/>
        </w:rPr>
        <w:lastRenderedPageBreak/>
        <w:t>In the Commission’s proposal for a Council recommendation on access to social protection for workers and self-employed</w:t>
      </w:r>
      <w:r w:rsidRPr="00EF0D75">
        <w:rPr>
          <w:rFonts w:ascii="Times New Roman" w:hAnsi="Times New Roman"/>
          <w:vertAlign w:val="superscript"/>
        </w:rPr>
        <w:footnoteReference w:id="9"/>
      </w:r>
      <w:r w:rsidRPr="00EF0D75">
        <w:rPr>
          <w:rFonts w:ascii="Times New Roman" w:hAnsi="Times New Roman"/>
        </w:rPr>
        <w:t xml:space="preserve">, Recital 33 </w:t>
      </w:r>
      <w:proofErr w:type="gramStart"/>
      <w:r w:rsidRPr="00EF0D75">
        <w:rPr>
          <w:rFonts w:ascii="Times New Roman" w:hAnsi="Times New Roman"/>
        </w:rPr>
        <w:t>stipulates that</w:t>
      </w:r>
      <w:proofErr w:type="gramEnd"/>
      <w:r w:rsidRPr="00EF0D75">
        <w:rPr>
          <w:rFonts w:ascii="Times New Roman" w:hAnsi="Times New Roman"/>
        </w:rPr>
        <w:t xml:space="preserve"> “</w:t>
      </w:r>
      <w:r w:rsidRPr="00EF0D75">
        <w:rPr>
          <w:rFonts w:ascii="Times New Roman" w:hAnsi="Times New Roman"/>
          <w:i/>
        </w:rPr>
        <w:t>the obligations under the Recommendation should not aggravate further the liquidity of undertakings – and especially of SMEs – when their financial situation has been negatively affected by late payments from public authorities”</w:t>
      </w:r>
      <w:r w:rsidRPr="00EF0D75">
        <w:rPr>
          <w:rFonts w:ascii="Times New Roman" w:hAnsi="Times New Roman"/>
        </w:rPr>
        <w:t>.</w:t>
      </w:r>
    </w:p>
    <w:p w:rsidR="00C7001D" w:rsidRPr="00EF0D75" w:rsidRDefault="00C7001D" w:rsidP="00C7001D">
      <w:pPr>
        <w:numPr>
          <w:ilvl w:val="0"/>
          <w:numId w:val="1"/>
        </w:numPr>
        <w:spacing w:after="120"/>
        <w:ind w:left="786"/>
        <w:rPr>
          <w:rFonts w:ascii="Times New Roman" w:hAnsi="Times New Roman"/>
          <w:i/>
          <w:szCs w:val="24"/>
          <w:u w:val="single"/>
        </w:rPr>
      </w:pPr>
      <w:r w:rsidRPr="00EF0D75">
        <w:rPr>
          <w:rFonts w:ascii="Times New Roman" w:hAnsi="Times New Roman"/>
          <w:i/>
          <w:szCs w:val="24"/>
          <w:u w:val="single"/>
        </w:rPr>
        <w:t>Guidance</w:t>
      </w:r>
    </w:p>
    <w:p w:rsidR="00C7001D" w:rsidRPr="00EF0D75" w:rsidRDefault="00C7001D" w:rsidP="00C7001D">
      <w:pPr>
        <w:spacing w:after="120"/>
        <w:rPr>
          <w:rFonts w:ascii="Times New Roman" w:hAnsi="Times New Roman"/>
        </w:rPr>
      </w:pPr>
      <w:r w:rsidRPr="00EF0D75">
        <w:rPr>
          <w:rFonts w:ascii="Times New Roman" w:hAnsi="Times New Roman"/>
        </w:rPr>
        <w:t xml:space="preserve">The Commission will collect information and examples of how the principle of grossly unfair payment terms </w:t>
      </w:r>
      <w:proofErr w:type="gramStart"/>
      <w:r w:rsidRPr="00EF0D75">
        <w:rPr>
          <w:rFonts w:ascii="Times New Roman" w:hAnsi="Times New Roman"/>
        </w:rPr>
        <w:t>has been interpreted in legislation and applied in judicial proceedings</w:t>
      </w:r>
      <w:proofErr w:type="gramEnd"/>
      <w:r w:rsidRPr="00EF0D75">
        <w:rPr>
          <w:rFonts w:ascii="Times New Roman" w:hAnsi="Times New Roman"/>
        </w:rPr>
        <w:t>. Additional sources, such as the Draft Common Frame of Reference</w:t>
      </w:r>
      <w:r w:rsidRPr="00EF0D75">
        <w:rPr>
          <w:rStyle w:val="FootnoteReference"/>
          <w:rFonts w:ascii="Times New Roman" w:hAnsi="Times New Roman"/>
        </w:rPr>
        <w:footnoteReference w:id="10"/>
      </w:r>
      <w:r w:rsidRPr="00EF0D75">
        <w:rPr>
          <w:rFonts w:ascii="Times New Roman" w:hAnsi="Times New Roman"/>
        </w:rPr>
        <w:t xml:space="preserve">, and other relevant sources at international level (e.g. </w:t>
      </w:r>
      <w:r w:rsidRPr="00EF0D75">
        <w:rPr>
          <w:rFonts w:ascii="Times New Roman" w:hAnsi="Times New Roman"/>
          <w:szCs w:val="24"/>
        </w:rPr>
        <w:t xml:space="preserve">the </w:t>
      </w:r>
      <w:r w:rsidRPr="00EF0D75">
        <w:rPr>
          <w:rFonts w:ascii="Times New Roman" w:hAnsi="Times New Roman"/>
          <w:szCs w:val="24"/>
          <w:lang w:val="en"/>
        </w:rPr>
        <w:t>United Nations Commission on International Trade Law</w:t>
      </w:r>
      <w:r w:rsidRPr="00EF0D75">
        <w:rPr>
          <w:rFonts w:ascii="Times New Roman" w:hAnsi="Times New Roman"/>
        </w:rPr>
        <w:t xml:space="preserve"> - UNCITRAL) </w:t>
      </w:r>
      <w:proofErr w:type="gramStart"/>
      <w:r w:rsidRPr="00EF0D75">
        <w:rPr>
          <w:rFonts w:ascii="Times New Roman" w:hAnsi="Times New Roman"/>
        </w:rPr>
        <w:t>could also be assessed</w:t>
      </w:r>
      <w:proofErr w:type="gramEnd"/>
      <w:r w:rsidRPr="00EF0D75">
        <w:rPr>
          <w:rFonts w:ascii="Times New Roman" w:hAnsi="Times New Roman"/>
        </w:rPr>
        <w:t>. Nevertheless, as the Commission has informed the Rapporteur, the definition of grossly unfair cannot be isolated in an abstract concept, but depends on the specific circumstances of the contract, of the parties, of the nature of the goods or services exchanged: what is grossly unfair under certain circumstances might not be in a different context.</w:t>
      </w:r>
    </w:p>
    <w:p w:rsidR="00C7001D" w:rsidRPr="00EF0D75" w:rsidRDefault="00C7001D" w:rsidP="00C7001D">
      <w:pPr>
        <w:spacing w:after="120"/>
        <w:rPr>
          <w:rFonts w:ascii="Times New Roman" w:hAnsi="Times New Roman"/>
        </w:rPr>
      </w:pPr>
      <w:r w:rsidRPr="00EF0D75">
        <w:rPr>
          <w:rFonts w:ascii="Times New Roman" w:hAnsi="Times New Roman"/>
        </w:rPr>
        <w:t>The Commission will continue providing information to the national authorities via the dedicated Late Payment Expert Group</w:t>
      </w:r>
      <w:r w:rsidRPr="00EF0D75">
        <w:rPr>
          <w:rStyle w:val="FootnoteReference"/>
          <w:rFonts w:ascii="Times New Roman" w:hAnsi="Times New Roman"/>
        </w:rPr>
        <w:footnoteReference w:id="11"/>
      </w:r>
      <w:r w:rsidRPr="00EF0D75">
        <w:rPr>
          <w:rFonts w:ascii="Times New Roman" w:hAnsi="Times New Roman"/>
        </w:rPr>
        <w:t>. In this context, and with the view to address the resolutions’ recommendation, the Commission will explore the possibility of issuing non-binding guidance on creating better synergies between the LPD and the Public Procurement Directives</w:t>
      </w:r>
      <w:r w:rsidRPr="00EF0D75">
        <w:rPr>
          <w:rStyle w:val="FootnoteReference"/>
          <w:rFonts w:ascii="Times New Roman" w:hAnsi="Times New Roman"/>
        </w:rPr>
        <w:footnoteReference w:id="12"/>
      </w:r>
      <w:r w:rsidRPr="00EF0D75">
        <w:rPr>
          <w:rFonts w:ascii="Times New Roman" w:hAnsi="Times New Roman"/>
        </w:rPr>
        <w:t>, and will continue disseminating best practices that are in place in the Member States.</w:t>
      </w:r>
    </w:p>
    <w:p w:rsidR="00680EFD" w:rsidRDefault="00680EFD"/>
    <w:sectPr w:rsidR="00680E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01D" w:rsidRDefault="00C7001D" w:rsidP="00C7001D">
      <w:pPr>
        <w:spacing w:after="0"/>
      </w:pPr>
      <w:r>
        <w:separator/>
      </w:r>
    </w:p>
  </w:endnote>
  <w:endnote w:type="continuationSeparator" w:id="0">
    <w:p w:rsidR="00C7001D" w:rsidRDefault="00C7001D" w:rsidP="00C700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01D" w:rsidRDefault="00C7001D" w:rsidP="00C7001D">
      <w:pPr>
        <w:spacing w:after="0"/>
      </w:pPr>
      <w:r>
        <w:separator/>
      </w:r>
    </w:p>
  </w:footnote>
  <w:footnote w:type="continuationSeparator" w:id="0">
    <w:p w:rsidR="00C7001D" w:rsidRDefault="00C7001D" w:rsidP="00C7001D">
      <w:pPr>
        <w:spacing w:after="0"/>
      </w:pPr>
      <w:r>
        <w:continuationSeparator/>
      </w:r>
    </w:p>
  </w:footnote>
  <w:footnote w:id="1">
    <w:p w:rsidR="00C7001D" w:rsidRPr="00F6247F" w:rsidRDefault="00C7001D" w:rsidP="00C7001D">
      <w:pPr>
        <w:pStyle w:val="FootnoteText"/>
        <w:spacing w:after="0"/>
        <w:rPr>
          <w:rFonts w:ascii="Times New Roman" w:hAnsi="Times New Roman"/>
          <w:lang w:val="pt-PT"/>
        </w:rPr>
      </w:pPr>
      <w:r w:rsidRPr="00F6247F">
        <w:rPr>
          <w:rStyle w:val="FootnoteReference"/>
          <w:rFonts w:ascii="Times New Roman" w:hAnsi="Times New Roman"/>
        </w:rPr>
        <w:footnoteRef/>
      </w:r>
      <w:r w:rsidRPr="00F6247F">
        <w:rPr>
          <w:rFonts w:ascii="Times New Roman" w:hAnsi="Times New Roman"/>
          <w:lang w:val="pt-PT"/>
        </w:rPr>
        <w:t xml:space="preserve"> </w:t>
      </w:r>
      <w:r w:rsidR="00F6247F">
        <w:rPr>
          <w:rFonts w:ascii="Times New Roman" w:hAnsi="Times New Roman"/>
          <w:lang w:val="pt-PT"/>
        </w:rPr>
        <w:tab/>
        <w:t xml:space="preserve">COM </w:t>
      </w:r>
      <w:r w:rsidRPr="00F6247F">
        <w:rPr>
          <w:rFonts w:ascii="Times New Roman" w:hAnsi="Times New Roman"/>
          <w:lang w:val="pt-PT"/>
        </w:rPr>
        <w:t>(2016) 534 </w:t>
      </w:r>
      <w:hyperlink r:id="rId1" w:history="1">
        <w:r w:rsidRPr="00F6247F">
          <w:rPr>
            <w:rStyle w:val="Hyperlink"/>
            <w:rFonts w:ascii="Times New Roman" w:hAnsi="Times New Roman"/>
            <w:color w:val="auto"/>
            <w:lang w:val="pt-PT"/>
          </w:rPr>
          <w:t>https://eur-lex.europa.eu/legal-content/EN/ALL/?uri=COM%3A2016%3A534%3AFIN</w:t>
        </w:r>
      </w:hyperlink>
    </w:p>
  </w:footnote>
  <w:footnote w:id="2">
    <w:p w:rsidR="00C7001D" w:rsidRPr="00F6247F" w:rsidRDefault="00C7001D" w:rsidP="00C7001D">
      <w:pPr>
        <w:pStyle w:val="FootnoteText"/>
        <w:spacing w:after="0"/>
        <w:rPr>
          <w:rStyle w:val="Hyperlink"/>
          <w:rFonts w:ascii="Times New Roman" w:hAnsi="Times New Roman"/>
          <w:color w:val="auto"/>
          <w:lang w:val="pt-PT"/>
        </w:rPr>
      </w:pPr>
      <w:r w:rsidRPr="00F6247F">
        <w:rPr>
          <w:rStyle w:val="Hyperlink"/>
          <w:rFonts w:ascii="Times New Roman" w:hAnsi="Times New Roman"/>
          <w:color w:val="auto"/>
          <w:sz w:val="16"/>
          <w:u w:val="none"/>
        </w:rPr>
        <w:footnoteRef/>
      </w:r>
      <w:r w:rsidRPr="00F6247F">
        <w:rPr>
          <w:rStyle w:val="Hyperlink"/>
          <w:rFonts w:ascii="Times New Roman" w:hAnsi="Times New Roman"/>
          <w:color w:val="auto"/>
          <w:u w:val="none"/>
          <w:lang w:val="pt-PT"/>
        </w:rPr>
        <w:t xml:space="preserve"> </w:t>
      </w:r>
      <w:r w:rsidRPr="00F6247F">
        <w:rPr>
          <w:rStyle w:val="Hyperlink"/>
          <w:rFonts w:ascii="Times New Roman" w:hAnsi="Times New Roman"/>
          <w:color w:val="auto"/>
          <w:u w:val="none"/>
          <w:lang w:val="pt-PT"/>
        </w:rPr>
        <w:tab/>
      </w:r>
      <w:r w:rsidRPr="00F6247F">
        <w:rPr>
          <w:rStyle w:val="Hyperlink"/>
          <w:rFonts w:ascii="Times New Roman" w:hAnsi="Times New Roman"/>
          <w:color w:val="auto"/>
          <w:lang w:val="pt-PT"/>
        </w:rPr>
        <w:t xml:space="preserve"> </w:t>
      </w:r>
      <w:hyperlink r:id="rId2" w:history="1">
        <w:r w:rsidRPr="00F6247F">
          <w:rPr>
            <w:rStyle w:val="Hyperlink"/>
            <w:rFonts w:ascii="Times New Roman" w:hAnsi="Times New Roman"/>
            <w:color w:val="auto"/>
            <w:lang w:val="pt-PT"/>
          </w:rPr>
          <w:t>https://publications.europa.eu/en/publication-detail/-/publication/c8b7391b-9b80-11e8-a408-01aa75ed71a1</w:t>
        </w:r>
      </w:hyperlink>
    </w:p>
    <w:p w:rsidR="00C7001D" w:rsidRPr="00F6247F" w:rsidRDefault="00C7001D" w:rsidP="00C7001D">
      <w:pPr>
        <w:pStyle w:val="FootnoteText"/>
        <w:rPr>
          <w:lang w:val="pt-PT"/>
        </w:rPr>
      </w:pPr>
    </w:p>
  </w:footnote>
  <w:footnote w:id="3">
    <w:p w:rsidR="00C7001D" w:rsidRPr="006408CF" w:rsidRDefault="00C7001D" w:rsidP="00C7001D">
      <w:pPr>
        <w:pStyle w:val="FootnoteText"/>
        <w:spacing w:after="0"/>
        <w:rPr>
          <w:rFonts w:ascii="Times New Roman" w:hAnsi="Times New Roman"/>
          <w:lang w:val="pt-PT"/>
        </w:rPr>
      </w:pPr>
      <w:r w:rsidRPr="006408CF">
        <w:rPr>
          <w:rStyle w:val="FootnoteReference"/>
          <w:rFonts w:ascii="Times New Roman" w:hAnsi="Times New Roman"/>
        </w:rPr>
        <w:footnoteRef/>
      </w:r>
      <w:r w:rsidRPr="006408CF">
        <w:rPr>
          <w:rFonts w:ascii="Times New Roman" w:hAnsi="Times New Roman"/>
          <w:lang w:val="pt-PT"/>
        </w:rPr>
        <w:t xml:space="preserve"> </w:t>
      </w:r>
      <w:r w:rsidRPr="006408CF">
        <w:rPr>
          <w:rFonts w:ascii="Times New Roman" w:hAnsi="Times New Roman"/>
          <w:lang w:val="pt-PT"/>
        </w:rPr>
        <w:tab/>
      </w:r>
      <w:hyperlink r:id="rId3" w:history="1">
        <w:r w:rsidRPr="006408CF">
          <w:rPr>
            <w:rStyle w:val="Hyperlink"/>
            <w:rFonts w:ascii="Times New Roman" w:hAnsi="Times New Roman"/>
            <w:color w:val="auto"/>
            <w:lang w:val="pt-PT"/>
          </w:rPr>
          <w:t>https://europa.eu/youreurope/business/finance-funding/making-receiving-payments/index_en.htm</w:t>
        </w:r>
      </w:hyperlink>
    </w:p>
  </w:footnote>
  <w:footnote w:id="4">
    <w:p w:rsidR="00C7001D" w:rsidRPr="006408CF" w:rsidRDefault="00C7001D" w:rsidP="00C7001D">
      <w:pPr>
        <w:pStyle w:val="FootnoteText"/>
        <w:spacing w:after="0"/>
        <w:rPr>
          <w:rFonts w:ascii="Times New Roman" w:hAnsi="Times New Roman"/>
          <w:lang w:val="pt-PT"/>
        </w:rPr>
      </w:pPr>
      <w:r w:rsidRPr="006408CF">
        <w:rPr>
          <w:rStyle w:val="FootnoteReference"/>
          <w:rFonts w:ascii="Times New Roman" w:hAnsi="Times New Roman"/>
        </w:rPr>
        <w:footnoteRef/>
      </w:r>
      <w:r w:rsidRPr="006408CF">
        <w:rPr>
          <w:rFonts w:ascii="Times New Roman" w:hAnsi="Times New Roman"/>
          <w:lang w:val="pt-PT"/>
        </w:rPr>
        <w:t xml:space="preserve"> </w:t>
      </w:r>
      <w:r w:rsidRPr="006408CF">
        <w:rPr>
          <w:rFonts w:ascii="Times New Roman" w:hAnsi="Times New Roman"/>
          <w:lang w:val="pt-PT"/>
        </w:rPr>
        <w:tab/>
      </w:r>
      <w:hyperlink r:id="rId4" w:history="1">
        <w:r w:rsidRPr="006408CF">
          <w:rPr>
            <w:rStyle w:val="Hyperlink"/>
            <w:rFonts w:ascii="Times New Roman" w:hAnsi="Times New Roman"/>
            <w:color w:val="auto"/>
            <w:lang w:val="pt-PT"/>
          </w:rPr>
          <w:t>https://een.ec.europa.eu/</w:t>
        </w:r>
      </w:hyperlink>
    </w:p>
  </w:footnote>
  <w:footnote w:id="5">
    <w:p w:rsidR="00C7001D" w:rsidRPr="006408CF" w:rsidRDefault="00C7001D" w:rsidP="00C7001D">
      <w:pPr>
        <w:pStyle w:val="FootnoteText"/>
        <w:spacing w:after="0"/>
        <w:rPr>
          <w:rFonts w:ascii="Times New Roman" w:hAnsi="Times New Roman"/>
          <w:lang w:val="pt-PT"/>
        </w:rPr>
      </w:pPr>
      <w:r w:rsidRPr="006408CF">
        <w:rPr>
          <w:rStyle w:val="FootnoteReference"/>
          <w:rFonts w:ascii="Times New Roman" w:hAnsi="Times New Roman"/>
        </w:rPr>
        <w:footnoteRef/>
      </w:r>
      <w:r w:rsidRPr="006408CF">
        <w:rPr>
          <w:rFonts w:ascii="Times New Roman" w:hAnsi="Times New Roman"/>
          <w:lang w:val="pt-PT"/>
        </w:rPr>
        <w:t xml:space="preserve"> </w:t>
      </w:r>
      <w:r w:rsidRPr="006408CF">
        <w:rPr>
          <w:rFonts w:ascii="Times New Roman" w:hAnsi="Times New Roman"/>
          <w:lang w:val="pt-PT"/>
        </w:rPr>
        <w:tab/>
      </w:r>
      <w:hyperlink r:id="rId5" w:history="1">
        <w:r w:rsidRPr="006408CF">
          <w:rPr>
            <w:rStyle w:val="Hyperlink"/>
            <w:rFonts w:ascii="Times New Roman" w:hAnsi="Times New Roman"/>
            <w:color w:val="auto"/>
            <w:lang w:val="pt-PT"/>
          </w:rPr>
          <w:t>https://etendering.ted.europa.eu/cft/cft-display.html?cftId=3894</w:t>
        </w:r>
      </w:hyperlink>
    </w:p>
  </w:footnote>
  <w:footnote w:id="6">
    <w:p w:rsidR="00C7001D" w:rsidRPr="006408CF" w:rsidRDefault="00C7001D" w:rsidP="00C7001D">
      <w:pPr>
        <w:pStyle w:val="FootnoteText"/>
        <w:spacing w:after="0"/>
        <w:rPr>
          <w:rFonts w:ascii="Times New Roman" w:hAnsi="Times New Roman"/>
          <w:lang w:val="pt-PT"/>
        </w:rPr>
      </w:pPr>
      <w:r w:rsidRPr="006408CF">
        <w:rPr>
          <w:rStyle w:val="FootnoteReference"/>
          <w:rFonts w:ascii="Times New Roman" w:hAnsi="Times New Roman"/>
        </w:rPr>
        <w:footnoteRef/>
      </w:r>
      <w:r w:rsidRPr="006408CF">
        <w:rPr>
          <w:rFonts w:ascii="Times New Roman" w:hAnsi="Times New Roman"/>
          <w:lang w:val="pt-PT"/>
        </w:rPr>
        <w:t xml:space="preserve"> </w:t>
      </w:r>
      <w:r w:rsidRPr="006408CF">
        <w:rPr>
          <w:rFonts w:ascii="Times New Roman" w:hAnsi="Times New Roman"/>
          <w:lang w:val="pt-PT"/>
        </w:rPr>
        <w:tab/>
      </w:r>
      <w:hyperlink r:id="rId6" w:history="1">
        <w:r w:rsidRPr="006408CF">
          <w:rPr>
            <w:rStyle w:val="Hyperlink"/>
            <w:rFonts w:ascii="Times New Roman" w:hAnsi="Times New Roman"/>
            <w:color w:val="auto"/>
            <w:lang w:val="pt-PT"/>
          </w:rPr>
          <w:t>https://ec.europa.eu/growth/smes/business-friendly-environment/small-business-act/sme-envoys_en</w:t>
        </w:r>
      </w:hyperlink>
    </w:p>
  </w:footnote>
  <w:footnote w:id="7">
    <w:p w:rsidR="00C7001D" w:rsidRPr="006408CF" w:rsidRDefault="00C7001D" w:rsidP="00C7001D">
      <w:pPr>
        <w:pStyle w:val="FootnoteText"/>
        <w:spacing w:after="0"/>
        <w:rPr>
          <w:rFonts w:ascii="Times New Roman" w:hAnsi="Times New Roman"/>
          <w:lang w:val="pt-PT"/>
        </w:rPr>
      </w:pPr>
      <w:r w:rsidRPr="006408CF">
        <w:rPr>
          <w:rStyle w:val="FootnoteReference"/>
          <w:rFonts w:ascii="Times New Roman" w:hAnsi="Times New Roman"/>
        </w:rPr>
        <w:footnoteRef/>
      </w:r>
      <w:r w:rsidRPr="006408CF">
        <w:rPr>
          <w:rFonts w:ascii="Times New Roman" w:hAnsi="Times New Roman"/>
          <w:lang w:val="pt-PT"/>
        </w:rPr>
        <w:t xml:space="preserve"> </w:t>
      </w:r>
      <w:r w:rsidRPr="006408CF">
        <w:rPr>
          <w:rFonts w:ascii="Times New Roman" w:hAnsi="Times New Roman"/>
          <w:lang w:val="pt-PT"/>
        </w:rPr>
        <w:tab/>
      </w:r>
      <w:hyperlink r:id="rId7" w:history="1">
        <w:r w:rsidRPr="006408CF">
          <w:rPr>
            <w:rStyle w:val="Hyperlink"/>
            <w:rFonts w:ascii="Times New Roman" w:hAnsi="Times New Roman"/>
            <w:color w:val="auto"/>
            <w:lang w:val="pt-PT"/>
          </w:rPr>
          <w:t>https://ec.europa.eu/growth/smes/support/sme-week_en</w:t>
        </w:r>
      </w:hyperlink>
    </w:p>
  </w:footnote>
  <w:footnote w:id="8">
    <w:p w:rsidR="00C7001D" w:rsidRPr="006408CF" w:rsidRDefault="00C7001D" w:rsidP="00C7001D">
      <w:pPr>
        <w:pStyle w:val="FootnoteText"/>
        <w:spacing w:after="0"/>
        <w:rPr>
          <w:rFonts w:ascii="Times New Roman" w:hAnsi="Times New Roman"/>
          <w:lang w:val="pt-PT"/>
        </w:rPr>
      </w:pPr>
      <w:r w:rsidRPr="006408CF">
        <w:rPr>
          <w:rStyle w:val="FootnoteReference"/>
          <w:rFonts w:ascii="Times New Roman" w:hAnsi="Times New Roman"/>
        </w:rPr>
        <w:footnoteRef/>
      </w:r>
      <w:r w:rsidRPr="006408CF">
        <w:rPr>
          <w:rFonts w:ascii="Times New Roman" w:hAnsi="Times New Roman"/>
          <w:lang w:val="pt-PT"/>
        </w:rPr>
        <w:t xml:space="preserve"> </w:t>
      </w:r>
      <w:r w:rsidRPr="006408CF">
        <w:rPr>
          <w:rFonts w:ascii="Times New Roman" w:hAnsi="Times New Roman"/>
          <w:lang w:val="pt-PT"/>
        </w:rPr>
        <w:tab/>
      </w:r>
      <w:proofErr w:type="spellStart"/>
      <w:r w:rsidRPr="006408CF">
        <w:rPr>
          <w:rFonts w:ascii="Times New Roman" w:hAnsi="Times New Roman"/>
          <w:lang w:val="pt-PT"/>
        </w:rPr>
        <w:t>See</w:t>
      </w:r>
      <w:proofErr w:type="spellEnd"/>
      <w:r w:rsidRPr="006408CF">
        <w:rPr>
          <w:rFonts w:ascii="Times New Roman" w:hAnsi="Times New Roman"/>
          <w:lang w:val="pt-PT"/>
        </w:rPr>
        <w:t xml:space="preserve"> </w:t>
      </w:r>
      <w:proofErr w:type="spellStart"/>
      <w:r w:rsidRPr="006408CF">
        <w:rPr>
          <w:rFonts w:ascii="Times New Roman" w:hAnsi="Times New Roman"/>
          <w:lang w:val="pt-PT"/>
        </w:rPr>
        <w:t>footnote</w:t>
      </w:r>
      <w:proofErr w:type="spellEnd"/>
      <w:r w:rsidRPr="006408CF">
        <w:rPr>
          <w:rFonts w:ascii="Times New Roman" w:hAnsi="Times New Roman"/>
          <w:lang w:val="pt-PT"/>
        </w:rPr>
        <w:t xml:space="preserve"> 2 </w:t>
      </w:r>
    </w:p>
  </w:footnote>
  <w:footnote w:id="9">
    <w:p w:rsidR="00C7001D" w:rsidRPr="006408CF" w:rsidRDefault="00C7001D" w:rsidP="00C7001D">
      <w:pPr>
        <w:pStyle w:val="FootnoteText"/>
        <w:spacing w:after="0"/>
        <w:rPr>
          <w:rFonts w:ascii="Times New Roman" w:hAnsi="Times New Roman"/>
          <w:lang w:val="pt-PT"/>
        </w:rPr>
      </w:pPr>
      <w:r w:rsidRPr="006408CF">
        <w:rPr>
          <w:rStyle w:val="FootnoteReference"/>
          <w:rFonts w:ascii="Times New Roman" w:hAnsi="Times New Roman"/>
        </w:rPr>
        <w:footnoteRef/>
      </w:r>
      <w:r w:rsidRPr="006408CF">
        <w:rPr>
          <w:rFonts w:ascii="Times New Roman" w:hAnsi="Times New Roman"/>
          <w:lang w:val="pt-PT"/>
        </w:rPr>
        <w:t xml:space="preserve"> </w:t>
      </w:r>
      <w:r w:rsidRPr="006408CF">
        <w:rPr>
          <w:rFonts w:ascii="Times New Roman" w:hAnsi="Times New Roman"/>
          <w:lang w:val="pt-PT"/>
        </w:rPr>
        <w:tab/>
        <w:t xml:space="preserve">COM(2018)132 </w:t>
      </w:r>
      <w:hyperlink r:id="rId8" w:history="1">
        <w:r w:rsidRPr="006408CF">
          <w:rPr>
            <w:rStyle w:val="Hyperlink"/>
            <w:rFonts w:ascii="Times New Roman" w:hAnsi="Times New Roman"/>
            <w:color w:val="auto"/>
            <w:lang w:val="pt-PT"/>
          </w:rPr>
          <w:t>https://ec.europa.eu/social/main.jsp?langId=en&amp;catId=1312&amp;</w:t>
        </w:r>
      </w:hyperlink>
    </w:p>
  </w:footnote>
  <w:footnote w:id="10">
    <w:p w:rsidR="00C7001D" w:rsidRPr="006408CF" w:rsidRDefault="00C7001D" w:rsidP="00C7001D">
      <w:pPr>
        <w:pStyle w:val="FootnoteText"/>
        <w:spacing w:after="0"/>
        <w:rPr>
          <w:rFonts w:ascii="Times New Roman" w:hAnsi="Times New Roman"/>
          <w:lang w:val="pt-PT"/>
        </w:rPr>
      </w:pPr>
      <w:r w:rsidRPr="006408CF">
        <w:rPr>
          <w:rStyle w:val="FootnoteReference"/>
          <w:rFonts w:ascii="Times New Roman" w:hAnsi="Times New Roman"/>
        </w:rPr>
        <w:footnoteRef/>
      </w:r>
      <w:r w:rsidRPr="006408CF">
        <w:rPr>
          <w:rFonts w:ascii="Times New Roman" w:hAnsi="Times New Roman"/>
          <w:lang w:val="pt-PT"/>
        </w:rPr>
        <w:t xml:space="preserve"> </w:t>
      </w:r>
      <w:r w:rsidRPr="006408CF">
        <w:rPr>
          <w:rFonts w:ascii="Times New Roman" w:hAnsi="Times New Roman"/>
          <w:lang w:val="pt-PT"/>
        </w:rPr>
        <w:tab/>
      </w:r>
      <w:proofErr w:type="spellStart"/>
      <w:r w:rsidRPr="006408CF">
        <w:rPr>
          <w:rFonts w:ascii="Times New Roman" w:hAnsi="Times New Roman"/>
          <w:lang w:val="pt-PT"/>
        </w:rPr>
        <w:t>Directive</w:t>
      </w:r>
      <w:proofErr w:type="spellEnd"/>
      <w:r w:rsidRPr="006408CF">
        <w:rPr>
          <w:rFonts w:ascii="Times New Roman" w:hAnsi="Times New Roman"/>
          <w:lang w:val="pt-PT"/>
        </w:rPr>
        <w:t xml:space="preserve"> 2011/7/EU, recital 28</w:t>
      </w:r>
    </w:p>
  </w:footnote>
  <w:footnote w:id="11">
    <w:p w:rsidR="00C7001D" w:rsidRPr="006408CF" w:rsidRDefault="00C7001D" w:rsidP="00C7001D">
      <w:pPr>
        <w:pStyle w:val="FootnoteText"/>
        <w:spacing w:after="0"/>
        <w:rPr>
          <w:rFonts w:ascii="Times New Roman" w:hAnsi="Times New Roman"/>
          <w:lang w:val="pt-PT"/>
        </w:rPr>
      </w:pPr>
      <w:r w:rsidRPr="006408CF">
        <w:rPr>
          <w:rStyle w:val="FootnoteReference"/>
          <w:rFonts w:ascii="Times New Roman" w:hAnsi="Times New Roman"/>
        </w:rPr>
        <w:footnoteRef/>
      </w:r>
      <w:r w:rsidRPr="006408CF">
        <w:rPr>
          <w:rFonts w:ascii="Times New Roman" w:hAnsi="Times New Roman"/>
          <w:lang w:val="pt-PT"/>
        </w:rPr>
        <w:t xml:space="preserve"> </w:t>
      </w:r>
      <w:r w:rsidRPr="006408CF">
        <w:rPr>
          <w:rFonts w:ascii="Times New Roman" w:hAnsi="Times New Roman"/>
          <w:lang w:val="pt-PT"/>
        </w:rPr>
        <w:tab/>
      </w:r>
      <w:hyperlink r:id="rId9" w:history="1">
        <w:r w:rsidRPr="006408CF">
          <w:rPr>
            <w:rStyle w:val="Hyperlink"/>
            <w:rFonts w:ascii="Times New Roman" w:hAnsi="Times New Roman"/>
            <w:color w:val="auto"/>
            <w:lang w:val="pt-PT"/>
          </w:rPr>
          <w:t>http://ec.europa.eu/transparency/regexpert/index.cfm?do=groupDetail.groupDetail&amp;groupID=2710</w:t>
        </w:r>
      </w:hyperlink>
    </w:p>
  </w:footnote>
  <w:footnote w:id="12">
    <w:p w:rsidR="00C7001D" w:rsidRPr="006408CF" w:rsidRDefault="00C7001D" w:rsidP="00C7001D">
      <w:pPr>
        <w:pStyle w:val="FootnoteText"/>
        <w:spacing w:after="0"/>
        <w:rPr>
          <w:rFonts w:ascii="Times New Roman" w:hAnsi="Times New Roman"/>
          <w:lang w:val="pt-PT"/>
        </w:rPr>
      </w:pPr>
      <w:r w:rsidRPr="006408CF">
        <w:rPr>
          <w:rStyle w:val="FootnoteReference"/>
          <w:rFonts w:ascii="Times New Roman" w:hAnsi="Times New Roman"/>
        </w:rPr>
        <w:footnoteRef/>
      </w:r>
      <w:r w:rsidRPr="006408CF">
        <w:rPr>
          <w:rFonts w:ascii="Times New Roman" w:hAnsi="Times New Roman"/>
          <w:lang w:val="pt-PT"/>
        </w:rPr>
        <w:t xml:space="preserve"> </w:t>
      </w:r>
      <w:r w:rsidRPr="006408CF">
        <w:rPr>
          <w:rFonts w:ascii="Times New Roman" w:hAnsi="Times New Roman"/>
          <w:lang w:val="pt-PT"/>
        </w:rPr>
        <w:tab/>
      </w:r>
      <w:hyperlink r:id="rId10" w:history="1">
        <w:r w:rsidRPr="006408CF">
          <w:rPr>
            <w:rStyle w:val="Hyperlink"/>
            <w:rFonts w:ascii="Times New Roman" w:hAnsi="Times New Roman"/>
            <w:color w:val="auto"/>
            <w:lang w:val="pt-PT"/>
          </w:rPr>
          <w:t>https://ec.europa.eu/info/sites/info/files/refit-platform-opinions-v15june2018_en.pdf</w:t>
        </w:r>
      </w:hyperlink>
    </w:p>
    <w:p w:rsidR="00C7001D" w:rsidRPr="006408CF" w:rsidRDefault="00C7001D" w:rsidP="00C7001D">
      <w:pPr>
        <w:pStyle w:val="FootnoteText"/>
        <w:spacing w:after="0"/>
        <w:rPr>
          <w:rFonts w:ascii="Times New Roman" w:hAnsi="Times New Roman"/>
          <w:lang w:val="pt-PT"/>
        </w:rPr>
      </w:pPr>
      <w:r w:rsidRPr="006408CF">
        <w:rPr>
          <w:rFonts w:ascii="Times New Roman" w:hAnsi="Times New Roman"/>
          <w:lang w:val="pt-PT"/>
        </w:rPr>
        <w:t xml:space="preserve">    </w:t>
      </w:r>
      <w:r w:rsidRPr="006408CF">
        <w:rPr>
          <w:rFonts w:ascii="Times New Roman" w:hAnsi="Times New Roman"/>
          <w:lang w:val="pt-PT"/>
        </w:rPr>
        <w:tab/>
      </w:r>
      <w:hyperlink r:id="rId11" w:history="1">
        <w:r w:rsidRPr="006408CF">
          <w:rPr>
            <w:rStyle w:val="Hyperlink"/>
            <w:rFonts w:ascii="Times New Roman" w:hAnsi="Times New Roman"/>
            <w:color w:val="auto"/>
            <w:lang w:val="pt-PT"/>
          </w:rPr>
          <w:t>https://ec.europa.eu/transparency/regdoc/rep/3/2018/EN/C-2018-3051-F1-EN-MAIN-PART-1.PDF</w:t>
        </w:r>
      </w:hyperlink>
    </w:p>
    <w:p w:rsidR="00C7001D" w:rsidRPr="006408CF" w:rsidRDefault="00C7001D" w:rsidP="00C7001D">
      <w:pPr>
        <w:pStyle w:val="Default"/>
        <w:ind w:left="340" w:hanging="340"/>
        <w:rPr>
          <w:color w:val="auto"/>
          <w:u w:val="single"/>
          <w:lang w:val="pt-PT"/>
        </w:rPr>
      </w:pPr>
      <w:r w:rsidRPr="006408CF">
        <w:rPr>
          <w:color w:val="auto"/>
          <w:lang w:val="pt-PT"/>
        </w:rPr>
        <w:t xml:space="preserve">    </w:t>
      </w:r>
      <w:r w:rsidRPr="006408CF">
        <w:rPr>
          <w:color w:val="auto"/>
          <w:lang w:val="pt-PT"/>
        </w:rPr>
        <w:tab/>
      </w:r>
      <w:r w:rsidRPr="006408CF">
        <w:rPr>
          <w:color w:val="auto"/>
          <w:sz w:val="20"/>
          <w:szCs w:val="20"/>
          <w:u w:val="single"/>
          <w:lang w:val="pt-PT"/>
        </w:rPr>
        <w:t>https://eur-lex.europa.eu/LexUriServ/LexUriServ.do?uri=SWD:2016:0278:FIN:EN:PDF</w:t>
      </w:r>
    </w:p>
    <w:p w:rsidR="00C7001D" w:rsidRPr="006408CF" w:rsidRDefault="00C7001D" w:rsidP="00C7001D">
      <w:pPr>
        <w:pStyle w:val="FootnoteText"/>
        <w:rPr>
          <w:lang w:val="pt-PT"/>
        </w:rPr>
      </w:pP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A0076"/>
    <w:multiLevelType w:val="hybridMultilevel"/>
    <w:tmpl w:val="A10246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74B34532"/>
    <w:multiLevelType w:val="hybridMultilevel"/>
    <w:tmpl w:val="8A9E413A"/>
    <w:lvl w:ilvl="0" w:tplc="08090017">
      <w:start w:val="1"/>
      <w:numFmt w:val="lowerLetter"/>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01D"/>
    <w:rsid w:val="0007238C"/>
    <w:rsid w:val="000A1623"/>
    <w:rsid w:val="000D6EB1"/>
    <w:rsid w:val="001262BB"/>
    <w:rsid w:val="00131AC6"/>
    <w:rsid w:val="001855CC"/>
    <w:rsid w:val="001C3806"/>
    <w:rsid w:val="002871F7"/>
    <w:rsid w:val="006408CF"/>
    <w:rsid w:val="00643679"/>
    <w:rsid w:val="00680EFD"/>
    <w:rsid w:val="006843AE"/>
    <w:rsid w:val="00B34A98"/>
    <w:rsid w:val="00B65AA4"/>
    <w:rsid w:val="00C7001D"/>
    <w:rsid w:val="00ED700E"/>
    <w:rsid w:val="00F6247F"/>
    <w:rsid w:val="00F70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A9F4"/>
  <w15:chartTrackingRefBased/>
  <w15:docId w15:val="{AA4BCBFD-46C2-46DC-84C0-DA5AA893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01D"/>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DGName">
    <w:name w:val="Z_DGName"/>
    <w:basedOn w:val="Normal"/>
    <w:uiPriority w:val="99"/>
    <w:rsid w:val="000A1623"/>
    <w:pPr>
      <w:ind w:right="85"/>
    </w:pPr>
    <w:rPr>
      <w:rFonts w:ascii="Arial" w:hAnsi="Arial" w:cs="Arial"/>
      <w:color w:val="000000"/>
      <w:sz w:val="16"/>
      <w:szCs w:val="16"/>
      <w:lang w:val="fr-FR" w:eastAsia="fr-BE"/>
    </w:rPr>
  </w:style>
  <w:style w:type="paragraph" w:customStyle="1" w:styleId="NoSpacingGray-80">
    <w:name w:val="No Spacing + Gray-80%"/>
    <w:aliases w:val="Justified,Left:  0,5 cm + Left:  0,5 cm,Right:  0,08 cm"/>
    <w:basedOn w:val="NoSpacing"/>
    <w:rsid w:val="000A1623"/>
    <w:pPr>
      <w:ind w:right="707"/>
    </w:pPr>
    <w:rPr>
      <w:rFonts w:eastAsia="Times New Roman" w:cs="Times New Roman"/>
      <w:color w:val="000000"/>
    </w:rPr>
  </w:style>
  <w:style w:type="paragraph" w:styleId="NoSpacing">
    <w:name w:val="No Spacing"/>
    <w:link w:val="NoSpacingChar"/>
    <w:autoRedefine/>
    <w:uiPriority w:val="1"/>
    <w:qFormat/>
    <w:rsid w:val="000A1623"/>
    <w:pPr>
      <w:keepLines/>
      <w:spacing w:after="0" w:line="240" w:lineRule="auto"/>
      <w:jc w:val="both"/>
    </w:pPr>
    <w:rPr>
      <w:rFonts w:ascii="Times New Roman" w:hAnsi="Times New Roman"/>
      <w:color w:val="333333"/>
      <w:sz w:val="20"/>
      <w:szCs w:val="20"/>
      <w:lang w:val="fr-BE" w:eastAsia="en-GB"/>
    </w:rPr>
  </w:style>
  <w:style w:type="paragraph" w:styleId="Header">
    <w:name w:val="header"/>
    <w:basedOn w:val="Normal"/>
    <w:link w:val="HeaderChar"/>
    <w:uiPriority w:val="99"/>
    <w:unhideWhenUsed/>
    <w:rsid w:val="000A1623"/>
    <w:pPr>
      <w:tabs>
        <w:tab w:val="center" w:pos="4513"/>
        <w:tab w:val="right" w:pos="9026"/>
      </w:tabs>
      <w:spacing w:after="0"/>
    </w:pPr>
  </w:style>
  <w:style w:type="character" w:customStyle="1" w:styleId="HeaderChar">
    <w:name w:val="Header Char"/>
    <w:basedOn w:val="DefaultParagraphFont"/>
    <w:link w:val="Header"/>
    <w:uiPriority w:val="99"/>
    <w:rsid w:val="000A1623"/>
  </w:style>
  <w:style w:type="paragraph" w:styleId="Footer">
    <w:name w:val="footer"/>
    <w:basedOn w:val="Normal"/>
    <w:link w:val="FooterChar"/>
    <w:uiPriority w:val="99"/>
    <w:unhideWhenUsed/>
    <w:rsid w:val="000A1623"/>
    <w:pPr>
      <w:tabs>
        <w:tab w:val="center" w:pos="4513"/>
        <w:tab w:val="right" w:pos="9026"/>
      </w:tabs>
      <w:spacing w:after="0"/>
    </w:pPr>
  </w:style>
  <w:style w:type="character" w:customStyle="1" w:styleId="FooterChar">
    <w:name w:val="Footer Char"/>
    <w:basedOn w:val="DefaultParagraphFont"/>
    <w:link w:val="Footer"/>
    <w:uiPriority w:val="99"/>
    <w:rsid w:val="000A1623"/>
  </w:style>
  <w:style w:type="character" w:customStyle="1" w:styleId="NoSpacingChar">
    <w:name w:val="No Spacing Char"/>
    <w:link w:val="NoSpacing"/>
    <w:uiPriority w:val="1"/>
    <w:locked/>
    <w:rsid w:val="000A1623"/>
    <w:rPr>
      <w:rFonts w:ascii="Times New Roman" w:hAnsi="Times New Roman"/>
      <w:color w:val="333333"/>
      <w:sz w:val="20"/>
      <w:szCs w:val="20"/>
      <w:lang w:val="fr-BE" w:eastAsia="en-GB"/>
    </w:rPr>
  </w:style>
  <w:style w:type="paragraph" w:styleId="ListParagraph">
    <w:name w:val="List Paragraph"/>
    <w:basedOn w:val="Normal"/>
    <w:uiPriority w:val="34"/>
    <w:qFormat/>
    <w:rsid w:val="000A1623"/>
    <w:pPr>
      <w:ind w:left="720"/>
      <w:contextualSpacing/>
    </w:pPr>
  </w:style>
  <w:style w:type="paragraph" w:customStyle="1" w:styleId="Heading2capitalletters">
    <w:name w:val="Heading 2 (capital letters)"/>
    <w:basedOn w:val="Normal"/>
    <w:link w:val="Heading2capitallettersChar"/>
    <w:qFormat/>
    <w:rsid w:val="000A1623"/>
    <w:rPr>
      <w:rFonts w:ascii="Times New Roman" w:hAnsi="Times New Roman"/>
      <w:b/>
      <w:szCs w:val="24"/>
      <w:u w:val="single"/>
      <w:lang w:val="fr-BE"/>
    </w:rPr>
  </w:style>
  <w:style w:type="character" w:customStyle="1" w:styleId="Heading2capitallettersChar">
    <w:name w:val="Heading 2 (capital letters) Char"/>
    <w:basedOn w:val="DefaultParagraphFont"/>
    <w:link w:val="Heading2capitalletters"/>
    <w:rsid w:val="000A1623"/>
    <w:rPr>
      <w:rFonts w:ascii="Times New Roman" w:hAnsi="Times New Roman" w:cs="Times New Roman"/>
      <w:b/>
      <w:sz w:val="24"/>
      <w:szCs w:val="24"/>
      <w:u w:val="single"/>
      <w:lang w:val="fr-BE"/>
    </w:rPr>
  </w:style>
  <w:style w:type="paragraph" w:customStyle="1" w:styleId="Heading3number">
    <w:name w:val="Heading 3 (number)"/>
    <w:basedOn w:val="Normal"/>
    <w:link w:val="Heading3numberChar"/>
    <w:qFormat/>
    <w:rsid w:val="000A1623"/>
    <w:pPr>
      <w:ind w:left="284"/>
    </w:pPr>
    <w:rPr>
      <w:rFonts w:ascii="Times New Roman" w:hAnsi="Times New Roman"/>
      <w:b/>
      <w:szCs w:val="24"/>
      <w:u w:val="single"/>
      <w:lang w:val="fr-BE"/>
    </w:rPr>
  </w:style>
  <w:style w:type="character" w:customStyle="1" w:styleId="Heading3numberChar">
    <w:name w:val="Heading 3 (number) Char"/>
    <w:basedOn w:val="DefaultParagraphFont"/>
    <w:link w:val="Heading3number"/>
    <w:rsid w:val="000A1623"/>
    <w:rPr>
      <w:rFonts w:ascii="Times New Roman" w:hAnsi="Times New Roman" w:cs="Times New Roman"/>
      <w:b/>
      <w:sz w:val="24"/>
      <w:szCs w:val="24"/>
      <w:u w:val="single"/>
      <w:lang w:val="fr-BE"/>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rsid w:val="00C7001D"/>
    <w:pPr>
      <w:ind w:left="357" w:hanging="357"/>
    </w:pPr>
    <w:rPr>
      <w:sz w:val="20"/>
    </w:rPr>
  </w:style>
  <w:style w:type="character" w:customStyle="1" w:styleId="FootnoteTextChar">
    <w:name w:val="Footnote Text Char"/>
    <w:basedOn w:val="DefaultParagraphFont"/>
    <w:uiPriority w:val="99"/>
    <w:semiHidden/>
    <w:rsid w:val="00C7001D"/>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C7001D"/>
    <w:rPr>
      <w:vertAlign w:val="superscript"/>
    </w:rPr>
  </w:style>
  <w:style w:type="character" w:styleId="Hyperlink">
    <w:name w:val="Hyperlink"/>
    <w:aliases w:val="Char1"/>
    <w:uiPriority w:val="99"/>
    <w:rsid w:val="00C7001D"/>
    <w:rPr>
      <w:color w:val="0000FF"/>
      <w:u w:val="single"/>
    </w:rPr>
  </w:style>
  <w:style w:type="paragraph" w:styleId="NormalWeb">
    <w:name w:val="Normal (Web)"/>
    <w:aliases w:val=" webb,webb"/>
    <w:basedOn w:val="Normal"/>
    <w:link w:val="NormalWebChar1"/>
    <w:uiPriority w:val="99"/>
    <w:rsid w:val="00C7001D"/>
    <w:pPr>
      <w:spacing w:before="100" w:beforeAutospacing="1" w:after="100" w:afterAutospacing="1"/>
      <w:jc w:val="left"/>
    </w:pPr>
    <w:rPr>
      <w:rFonts w:ascii="Times New Roman" w:hAnsi="Times New Roman"/>
      <w:szCs w:val="24"/>
    </w:rPr>
  </w:style>
  <w:style w:type="character" w:customStyle="1" w:styleId="NormalWebChar1">
    <w:name w:val="Normal (Web) Char1"/>
    <w:aliases w:val=" webb Char,webb Char1"/>
    <w:link w:val="NormalWeb"/>
    <w:uiPriority w:val="99"/>
    <w:rsid w:val="00C7001D"/>
    <w:rPr>
      <w:rFonts w:ascii="Times New Roman" w:eastAsia="Times New Roman" w:hAnsi="Times New Roman" w:cs="Times New Roman"/>
      <w:sz w:val="24"/>
      <w:szCs w:val="24"/>
      <w:lang w:eastAsia="en-GB"/>
    </w:rPr>
  </w:style>
  <w:style w:type="character" w:customStyle="1" w:styleId="contents">
    <w:name w:val="contents"/>
    <w:basedOn w:val="DefaultParagraphFont"/>
    <w:rsid w:val="00C7001D"/>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C7001D"/>
    <w:rPr>
      <w:rFonts w:ascii="Courier New" w:eastAsia="Times New Roman" w:hAnsi="Courier New" w:cs="Times New Roman"/>
      <w:sz w:val="20"/>
      <w:szCs w:val="20"/>
      <w:lang w:eastAsia="en-GB"/>
    </w:rPr>
  </w:style>
  <w:style w:type="paragraph" w:customStyle="1" w:styleId="Default">
    <w:name w:val="Default"/>
    <w:rsid w:val="00C7001D"/>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C7001D"/>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CoverBold">
    <w:name w:val="CoverBold"/>
    <w:basedOn w:val="Normal"/>
    <w:rsid w:val="00C7001D"/>
    <w:pPr>
      <w:widowControl w:val="0"/>
      <w:spacing w:after="0"/>
      <w:ind w:left="1418"/>
      <w:jc w:val="left"/>
    </w:pPr>
    <w:rPr>
      <w:rFonts w:ascii="Times New Roman" w:hAnsi="Times New Roman"/>
      <w:b/>
    </w:rPr>
  </w:style>
  <w:style w:type="paragraph" w:customStyle="1" w:styleId="ZnakZnak">
    <w:name w:val="Znak Znak"/>
    <w:basedOn w:val="Normal"/>
    <w:uiPriority w:val="99"/>
    <w:rsid w:val="00C7001D"/>
    <w:pPr>
      <w:spacing w:after="0" w:line="360" w:lineRule="auto"/>
    </w:pPr>
    <w:rPr>
      <w:rFonts w:ascii="Verdana" w:hAnsi="Verdana"/>
      <w:sz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social/main.jsp?langId=en&amp;catId=1312&amp;" TargetMode="External"/><Relationship Id="rId3" Type="http://schemas.openxmlformats.org/officeDocument/2006/relationships/hyperlink" Target="https://europa.eu/youreurope/business/finance-funding/making-receiving-payments/index_en.htm" TargetMode="External"/><Relationship Id="rId7" Type="http://schemas.openxmlformats.org/officeDocument/2006/relationships/hyperlink" Target="https://ec.europa.eu/growth/smes/support/sme-week_en" TargetMode="External"/><Relationship Id="rId2" Type="http://schemas.openxmlformats.org/officeDocument/2006/relationships/hyperlink" Target="https://publications.europa.eu/en/publication-detail/-/publication/c8b7391b-9b80-11e8-a408-01aa75ed71a1" TargetMode="External"/><Relationship Id="rId1" Type="http://schemas.openxmlformats.org/officeDocument/2006/relationships/hyperlink" Target="https://eur-lex.europa.eu/legal-content/EN/ALL/?uri=COM%3A2016%3A534%3AFIN" TargetMode="External"/><Relationship Id="rId6" Type="http://schemas.openxmlformats.org/officeDocument/2006/relationships/hyperlink" Target="https://ec.europa.eu/growth/smes/business-friendly-environment/small-business-act/sme-envoys_en" TargetMode="External"/><Relationship Id="rId11" Type="http://schemas.openxmlformats.org/officeDocument/2006/relationships/hyperlink" Target="https://ec.europa.eu/transparency/regdoc/rep/3/2018/EN/C-2018-3051-F1-EN-MAIN-PART-1.PDF" TargetMode="External"/><Relationship Id="rId5" Type="http://schemas.openxmlformats.org/officeDocument/2006/relationships/hyperlink" Target="https://etendering.ted.europa.eu/cft/cft-display.html?cftId=3894" TargetMode="External"/><Relationship Id="rId10" Type="http://schemas.openxmlformats.org/officeDocument/2006/relationships/hyperlink" Target="https://ec.europa.eu/info/sites/info/files/refit-platform-opinions-v15june2018_en.pdf" TargetMode="External"/><Relationship Id="rId4" Type="http://schemas.openxmlformats.org/officeDocument/2006/relationships/hyperlink" Target="https://een.ec.europa.eu/" TargetMode="External"/><Relationship Id="rId9" Type="http://schemas.openxmlformats.org/officeDocument/2006/relationships/hyperlink" Target="http://ec.europa.eu/transparency/regexpert/index.cfm?do=groupDetail.groupDetail&amp;groupID=2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1692</Words>
  <Characters>9411</Characters>
  <Application>Microsoft Office Word</Application>
  <DocSecurity>0</DocSecurity>
  <Lines>142</Lines>
  <Paragraphs>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Veronique (SG)</dc:creator>
  <cp:keywords/>
  <dc:description/>
  <cp:lastModifiedBy>VINCENT Veronique (SG)</cp:lastModifiedBy>
  <cp:revision>3</cp:revision>
  <dcterms:created xsi:type="dcterms:W3CDTF">2019-05-22T07:12:00Z</dcterms:created>
  <dcterms:modified xsi:type="dcterms:W3CDTF">2019-05-22T07:22:00Z</dcterms:modified>
</cp:coreProperties>
</file>