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48" w:rsidRDefault="00693148" w:rsidP="006931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PROCEDURE LÉGISLATIVE ORDINAIRE – Première lecture </w:t>
      </w:r>
    </w:p>
    <w:p w:rsidR="00693148" w:rsidRDefault="00693148" w:rsidP="00693148">
      <w:pPr>
        <w:pStyle w:val="Default"/>
        <w:rPr>
          <w:b/>
          <w:bCs/>
          <w:sz w:val="23"/>
          <w:szCs w:val="23"/>
        </w:rPr>
      </w:pPr>
    </w:p>
    <w:p w:rsidR="00693148" w:rsidRDefault="00693148" w:rsidP="00693148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Suite donnée à la résolution législative du Parlement européen sur la proposition de règlement du Parlement européen et du Conseil modifiant le règlement (UE) nº 508/2014 en ce qui concerne certaines règles relatives au Fonds européen pour les affaires maritimes et la pêche en raison du retrait du Royaume-Uni de l’Union </w:t>
      </w:r>
    </w:p>
    <w:p w:rsidR="00693148" w:rsidRDefault="00693148" w:rsidP="006931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Rapporteur: </w:t>
      </w:r>
      <w:r>
        <w:rPr>
          <w:sz w:val="23"/>
          <w:szCs w:val="23"/>
        </w:rPr>
        <w:t xml:space="preserve">Sans objet </w:t>
      </w:r>
    </w:p>
    <w:p w:rsidR="00693148" w:rsidRDefault="00693148" w:rsidP="006931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Numéros de référence: </w:t>
      </w:r>
      <w:r>
        <w:rPr>
          <w:sz w:val="23"/>
          <w:szCs w:val="23"/>
        </w:rPr>
        <w:t xml:space="preserve">2019/0009 (COD) / P8_TA-PROV(2019)0183 </w:t>
      </w:r>
    </w:p>
    <w:p w:rsidR="00693148" w:rsidRDefault="00693148" w:rsidP="006931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Date d’adoption de la résolution: </w:t>
      </w:r>
      <w:r>
        <w:rPr>
          <w:sz w:val="23"/>
          <w:szCs w:val="23"/>
        </w:rPr>
        <w:t xml:space="preserve">13 mars 2019 </w:t>
      </w:r>
    </w:p>
    <w:p w:rsidR="00693148" w:rsidRDefault="00693148" w:rsidP="006931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Base juridique: </w:t>
      </w:r>
      <w:r>
        <w:rPr>
          <w:sz w:val="23"/>
          <w:szCs w:val="23"/>
        </w:rPr>
        <w:t xml:space="preserve">article 42 et article 43, paragraphe 2, du traité sur le fonctionnement de l’Union européenne </w:t>
      </w:r>
    </w:p>
    <w:p w:rsidR="00693148" w:rsidRDefault="00693148" w:rsidP="006931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Commission parlementaire compétente: </w:t>
      </w:r>
      <w:r>
        <w:rPr>
          <w:sz w:val="23"/>
          <w:szCs w:val="23"/>
        </w:rPr>
        <w:t xml:space="preserve">commission de la pêche (PECH) </w:t>
      </w:r>
    </w:p>
    <w:p w:rsidR="008765BE" w:rsidRDefault="00693148" w:rsidP="00693148">
      <w:r>
        <w:rPr>
          <w:b/>
          <w:bCs/>
          <w:sz w:val="23"/>
          <w:szCs w:val="23"/>
        </w:rPr>
        <w:t xml:space="preserve">6. Position de la Commission: </w:t>
      </w:r>
      <w:r>
        <w:rPr>
          <w:sz w:val="23"/>
          <w:szCs w:val="23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8"/>
    <w:rsid w:val="000F3C25"/>
    <w:rsid w:val="005762E3"/>
    <w:rsid w:val="00693148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282D"/>
  <w15:chartTrackingRefBased/>
  <w15:docId w15:val="{821E1558-BC89-4B81-914D-23EAD8A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693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2019-07-09T15:14:00Z</dcterms:created>
  <dcterms:modified xsi:type="dcterms:W3CDTF">2019-07-09T15:14:00Z</dcterms:modified>
</cp:coreProperties>
</file>