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1C" w:rsidRPr="00C33439" w:rsidRDefault="004D7E1C" w:rsidP="004D7E1C">
      <w:pPr>
        <w:spacing w:after="720"/>
        <w:ind w:right="-30"/>
        <w:jc w:val="center"/>
        <w:rPr>
          <w:rFonts w:ascii="Times New Roman" w:hAnsi="Times New Roman"/>
          <w:b/>
          <w:bCs/>
          <w:szCs w:val="24"/>
        </w:rPr>
      </w:pPr>
      <w:r>
        <w:rPr>
          <w:rFonts w:ascii="Times New Roman" w:hAnsi="Times New Roman"/>
          <w:b/>
        </w:rPr>
        <w:t>Suite donnée à la résolution non législative du Parlement européen sur le bien-être animal, l’utilisation des antimicrobiens et les conséquences de l’élevage industriel de poulets de chair sur l’environnement</w:t>
      </w:r>
    </w:p>
    <w:p w:rsidR="004D7E1C" w:rsidRPr="001F0B89" w:rsidRDefault="004D7E1C" w:rsidP="004D7E1C">
      <w:pPr>
        <w:numPr>
          <w:ilvl w:val="0"/>
          <w:numId w:val="1"/>
        </w:numPr>
        <w:ind w:left="360"/>
        <w:rPr>
          <w:rFonts w:ascii="Times New Roman" w:hAnsi="Times New Roman"/>
          <w:i/>
          <w:szCs w:val="24"/>
        </w:rPr>
      </w:pPr>
      <w:r>
        <w:rPr>
          <w:rFonts w:ascii="Times New Roman" w:hAnsi="Times New Roman"/>
          <w:b/>
        </w:rPr>
        <w:t>Résolution présentée, conformément à l’article </w:t>
      </w:r>
      <w:r w:rsidRPr="00517FE1">
        <w:rPr>
          <w:rFonts w:ascii="Times New Roman" w:hAnsi="Times New Roman"/>
          <w:b/>
        </w:rPr>
        <w:t>128</w:t>
      </w:r>
      <w:r>
        <w:rPr>
          <w:rFonts w:ascii="Times New Roman" w:hAnsi="Times New Roman"/>
          <w:b/>
        </w:rPr>
        <w:t>, paragraphe </w:t>
      </w:r>
      <w:r w:rsidRPr="00517FE1">
        <w:rPr>
          <w:rFonts w:ascii="Times New Roman" w:hAnsi="Times New Roman"/>
          <w:b/>
        </w:rPr>
        <w:t>5</w:t>
      </w:r>
      <w:r>
        <w:rPr>
          <w:rFonts w:ascii="Times New Roman" w:hAnsi="Times New Roman"/>
          <w:b/>
        </w:rPr>
        <w:t>, et à l’article </w:t>
      </w:r>
      <w:r w:rsidRPr="00517FE1">
        <w:rPr>
          <w:rFonts w:ascii="Times New Roman" w:hAnsi="Times New Roman"/>
          <w:b/>
        </w:rPr>
        <w:t>123</w:t>
      </w:r>
      <w:r>
        <w:rPr>
          <w:rFonts w:ascii="Times New Roman" w:hAnsi="Times New Roman"/>
          <w:b/>
        </w:rPr>
        <w:t>, paragraphe </w:t>
      </w:r>
      <w:r w:rsidRPr="00517FE1">
        <w:rPr>
          <w:rFonts w:ascii="Times New Roman" w:hAnsi="Times New Roman"/>
          <w:b/>
        </w:rPr>
        <w:t>4</w:t>
      </w:r>
      <w:r>
        <w:rPr>
          <w:rFonts w:ascii="Times New Roman" w:hAnsi="Times New Roman"/>
          <w:b/>
        </w:rPr>
        <w:t>, du règlement du Parlement européen, par la commission de l’environnement, de la santé publique et de la sécurité alimentaire</w:t>
      </w:r>
    </w:p>
    <w:p w:rsidR="004D7E1C" w:rsidRPr="00A0010B" w:rsidRDefault="004D7E1C" w:rsidP="004D7E1C">
      <w:pPr>
        <w:pStyle w:val="Default"/>
        <w:numPr>
          <w:ilvl w:val="0"/>
          <w:numId w:val="1"/>
        </w:numPr>
        <w:spacing w:after="240"/>
        <w:ind w:left="360"/>
        <w:rPr>
          <w:color w:val="auto"/>
        </w:rPr>
      </w:pPr>
      <w:r>
        <w:rPr>
          <w:b/>
          <w:color w:val="auto"/>
        </w:rPr>
        <w:t xml:space="preserve">Numéros de référence: </w:t>
      </w:r>
      <w:r w:rsidRPr="00517FE1">
        <w:rPr>
          <w:color w:val="auto"/>
        </w:rPr>
        <w:t>2018</w:t>
      </w:r>
      <w:r>
        <w:rPr>
          <w:color w:val="auto"/>
        </w:rPr>
        <w:t>/</w:t>
      </w:r>
      <w:r w:rsidRPr="00517FE1">
        <w:rPr>
          <w:color w:val="auto"/>
        </w:rPr>
        <w:t>2858</w:t>
      </w:r>
      <w:r>
        <w:rPr>
          <w:color w:val="auto"/>
        </w:rPr>
        <w:t xml:space="preserve"> (RSP) / </w:t>
      </w:r>
      <w:bookmarkStart w:id="0" w:name="_GoBack"/>
      <w:r>
        <w:rPr>
          <w:color w:val="auto"/>
        </w:rPr>
        <w:t>B</w:t>
      </w:r>
      <w:r w:rsidRPr="00517FE1">
        <w:rPr>
          <w:color w:val="auto"/>
        </w:rPr>
        <w:t>8</w:t>
      </w:r>
      <w:r>
        <w:rPr>
          <w:color w:val="auto"/>
        </w:rPr>
        <w:t>-</w:t>
      </w:r>
      <w:r w:rsidRPr="00517FE1">
        <w:rPr>
          <w:color w:val="auto"/>
        </w:rPr>
        <w:t>0484</w:t>
      </w:r>
      <w:r>
        <w:rPr>
          <w:color w:val="auto"/>
        </w:rPr>
        <w:t>/</w:t>
      </w:r>
      <w:r w:rsidRPr="00517FE1">
        <w:rPr>
          <w:color w:val="auto"/>
        </w:rPr>
        <w:t>2018</w:t>
      </w:r>
      <w:bookmarkEnd w:id="0"/>
      <w:r>
        <w:rPr>
          <w:color w:val="auto"/>
        </w:rPr>
        <w:t xml:space="preserve"> / P</w:t>
      </w:r>
      <w:r w:rsidRPr="00517FE1">
        <w:rPr>
          <w:color w:val="auto"/>
        </w:rPr>
        <w:t>8</w:t>
      </w:r>
      <w:r>
        <w:rPr>
          <w:color w:val="auto"/>
        </w:rPr>
        <w:t>_TA-</w:t>
      </w:r>
      <w:proofErr w:type="gramStart"/>
      <w:r>
        <w:rPr>
          <w:color w:val="auto"/>
        </w:rPr>
        <w:t>PROV(</w:t>
      </w:r>
      <w:proofErr w:type="gramEnd"/>
      <w:r w:rsidRPr="00517FE1">
        <w:rPr>
          <w:color w:val="auto"/>
        </w:rPr>
        <w:t>2018</w:t>
      </w:r>
      <w:r>
        <w:rPr>
          <w:color w:val="auto"/>
        </w:rPr>
        <w:t>)</w:t>
      </w:r>
      <w:r w:rsidRPr="00517FE1">
        <w:rPr>
          <w:color w:val="auto"/>
        </w:rPr>
        <w:t>0429</w:t>
      </w:r>
    </w:p>
    <w:p w:rsidR="004D7E1C" w:rsidRDefault="004D7E1C" w:rsidP="004D7E1C">
      <w:pPr>
        <w:numPr>
          <w:ilvl w:val="0"/>
          <w:numId w:val="1"/>
        </w:numPr>
        <w:ind w:left="360"/>
        <w:rPr>
          <w:rFonts w:ascii="Times New Roman" w:hAnsi="Times New Roman"/>
          <w:szCs w:val="24"/>
        </w:rPr>
      </w:pPr>
      <w:r>
        <w:rPr>
          <w:rFonts w:ascii="Times New Roman" w:hAnsi="Times New Roman"/>
          <w:b/>
        </w:rPr>
        <w:t>Date d'adoption de la résolution:</w:t>
      </w:r>
      <w:r>
        <w:rPr>
          <w:rFonts w:ascii="Times New Roman" w:hAnsi="Times New Roman"/>
        </w:rPr>
        <w:t xml:space="preserve"> </w:t>
      </w:r>
      <w:r w:rsidRPr="00517FE1">
        <w:rPr>
          <w:rFonts w:ascii="Times New Roman" w:hAnsi="Times New Roman"/>
        </w:rPr>
        <w:t>25</w:t>
      </w:r>
      <w:r>
        <w:rPr>
          <w:rFonts w:ascii="Times New Roman" w:hAnsi="Times New Roman"/>
        </w:rPr>
        <w:t> octobre </w:t>
      </w:r>
      <w:r w:rsidRPr="00517FE1">
        <w:rPr>
          <w:rFonts w:ascii="Times New Roman" w:hAnsi="Times New Roman"/>
        </w:rPr>
        <w:t>2018</w:t>
      </w:r>
    </w:p>
    <w:p w:rsidR="004D7E1C" w:rsidRDefault="004D7E1C" w:rsidP="004D7E1C">
      <w:pPr>
        <w:numPr>
          <w:ilvl w:val="0"/>
          <w:numId w:val="1"/>
        </w:numPr>
        <w:ind w:left="360"/>
        <w:rPr>
          <w:rFonts w:ascii="Times New Roman" w:hAnsi="Times New Roman"/>
          <w:szCs w:val="24"/>
        </w:rPr>
      </w:pPr>
      <w:r>
        <w:rPr>
          <w:rFonts w:ascii="Times New Roman" w:hAnsi="Times New Roman"/>
          <w:b/>
        </w:rPr>
        <w:t>Objet:</w:t>
      </w:r>
      <w:r>
        <w:rPr>
          <w:rFonts w:ascii="Times New Roman" w:hAnsi="Times New Roman"/>
        </w:rPr>
        <w:t xml:space="preserve"> élevage industriel de poulets de chair</w:t>
      </w:r>
    </w:p>
    <w:p w:rsidR="004D7E1C" w:rsidRPr="00A0010B" w:rsidRDefault="004D7E1C" w:rsidP="004D7E1C">
      <w:pPr>
        <w:numPr>
          <w:ilvl w:val="0"/>
          <w:numId w:val="1"/>
        </w:numPr>
        <w:ind w:left="360"/>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de l’environnement, de la santé publique et de la sécurité alimentaire (ENVI)</w:t>
      </w:r>
    </w:p>
    <w:p w:rsidR="004D7E1C" w:rsidRDefault="004D7E1C" w:rsidP="004D7E1C">
      <w:pPr>
        <w:widowControl w:val="0"/>
        <w:numPr>
          <w:ilvl w:val="0"/>
          <w:numId w:val="1"/>
        </w:numPr>
        <w:ind w:left="360"/>
        <w:rPr>
          <w:rFonts w:ascii="Times New Roman" w:hAnsi="Times New Roman"/>
          <w:b/>
          <w:szCs w:val="24"/>
        </w:rPr>
      </w:pPr>
      <w:r>
        <w:rPr>
          <w:rFonts w:ascii="Times New Roman" w:hAnsi="Times New Roman"/>
          <w:b/>
        </w:rPr>
        <w:t>Analyse/évaluation succincte de la résolution et des demandes qu’elle contient:</w:t>
      </w:r>
    </w:p>
    <w:p w:rsidR="004D7E1C" w:rsidRDefault="004D7E1C" w:rsidP="004D7E1C">
      <w:pPr>
        <w:widowControl w:val="0"/>
        <w:spacing w:after="120"/>
        <w:rPr>
          <w:rFonts w:ascii="Times New Roman" w:hAnsi="Times New Roman"/>
          <w:szCs w:val="24"/>
        </w:rPr>
      </w:pPr>
      <w:r>
        <w:rPr>
          <w:rFonts w:ascii="Times New Roman" w:hAnsi="Times New Roman"/>
        </w:rPr>
        <w:t xml:space="preserve">Le Parlement européen reconnaît la valeur de la législation actuelle relative à la protection des poulets destinés à la production de viande (directive </w:t>
      </w:r>
      <w:r w:rsidRPr="00517FE1">
        <w:rPr>
          <w:rFonts w:ascii="Times New Roman" w:hAnsi="Times New Roman"/>
        </w:rPr>
        <w:t>2007</w:t>
      </w:r>
      <w:r>
        <w:rPr>
          <w:rFonts w:ascii="Times New Roman" w:hAnsi="Times New Roman"/>
        </w:rPr>
        <w:t>/</w:t>
      </w:r>
      <w:r w:rsidRPr="00517FE1">
        <w:rPr>
          <w:rFonts w:ascii="Times New Roman" w:hAnsi="Times New Roman"/>
        </w:rPr>
        <w:t>43</w:t>
      </w:r>
      <w:r>
        <w:rPr>
          <w:rFonts w:ascii="Times New Roman" w:hAnsi="Times New Roman"/>
        </w:rPr>
        <w:t>/CE du Conseil</w:t>
      </w:r>
      <w:r>
        <w:rPr>
          <w:rStyle w:val="FootnoteReference"/>
          <w:rFonts w:ascii="Times New Roman" w:hAnsi="Times New Roman"/>
        </w:rPr>
        <w:footnoteReference w:id="1"/>
      </w:r>
      <w:r>
        <w:rPr>
          <w:rFonts w:ascii="Times New Roman" w:hAnsi="Times New Roman"/>
        </w:rPr>
        <w:t xml:space="preserve">), mais regrette que sa </w:t>
      </w:r>
      <w:r>
        <w:rPr>
          <w:rFonts w:ascii="Times New Roman" w:hAnsi="Times New Roman"/>
          <w:b/>
        </w:rPr>
        <w:t>mise en œuvre</w:t>
      </w:r>
      <w:r>
        <w:rPr>
          <w:rFonts w:ascii="Times New Roman" w:hAnsi="Times New Roman"/>
        </w:rPr>
        <w:t xml:space="preserve"> reste insuffisante (</w:t>
      </w:r>
      <w:r>
        <w:rPr>
          <w:rFonts w:ascii="Times New Roman" w:hAnsi="Times New Roman"/>
          <w:b/>
        </w:rPr>
        <w:t>paragraphes </w:t>
      </w:r>
      <w:r w:rsidRPr="00517FE1">
        <w:rPr>
          <w:rFonts w:ascii="Times New Roman" w:hAnsi="Times New Roman"/>
          <w:b/>
        </w:rPr>
        <w:t>1</w:t>
      </w:r>
      <w:r>
        <w:rPr>
          <w:rFonts w:ascii="Times New Roman" w:hAnsi="Times New Roman"/>
          <w:b/>
        </w:rPr>
        <w:t xml:space="preserve"> et </w:t>
      </w:r>
      <w:r w:rsidRPr="00517FE1">
        <w:rPr>
          <w:rFonts w:ascii="Times New Roman" w:hAnsi="Times New Roman"/>
          <w:b/>
        </w:rPr>
        <w:t>4</w:t>
      </w:r>
      <w:r>
        <w:rPr>
          <w:rFonts w:ascii="Times New Roman" w:hAnsi="Times New Roman"/>
        </w:rPr>
        <w:t>).</w:t>
      </w:r>
    </w:p>
    <w:p w:rsidR="004D7E1C" w:rsidRDefault="004D7E1C" w:rsidP="004D7E1C">
      <w:pPr>
        <w:widowControl w:val="0"/>
        <w:spacing w:after="120"/>
        <w:rPr>
          <w:rFonts w:ascii="Times New Roman" w:hAnsi="Times New Roman"/>
          <w:szCs w:val="24"/>
        </w:rPr>
      </w:pPr>
      <w:r>
        <w:rPr>
          <w:rFonts w:ascii="Times New Roman" w:hAnsi="Times New Roman"/>
        </w:rPr>
        <w:t xml:space="preserve">Aux </w:t>
      </w:r>
      <w:r>
        <w:rPr>
          <w:rFonts w:ascii="Times New Roman" w:hAnsi="Times New Roman"/>
          <w:b/>
        </w:rPr>
        <w:t>paragraphes </w:t>
      </w:r>
      <w:r w:rsidRPr="00517FE1">
        <w:rPr>
          <w:rFonts w:ascii="Times New Roman" w:hAnsi="Times New Roman"/>
          <w:b/>
        </w:rPr>
        <w:t>6</w:t>
      </w:r>
      <w:r>
        <w:rPr>
          <w:rFonts w:ascii="Times New Roman" w:hAnsi="Times New Roman"/>
          <w:b/>
        </w:rPr>
        <w:t xml:space="preserve"> et </w:t>
      </w:r>
      <w:r w:rsidRPr="00517FE1">
        <w:rPr>
          <w:rFonts w:ascii="Times New Roman" w:hAnsi="Times New Roman"/>
          <w:b/>
        </w:rPr>
        <w:t>7</w:t>
      </w:r>
      <w:r>
        <w:rPr>
          <w:rFonts w:ascii="Times New Roman" w:hAnsi="Times New Roman"/>
        </w:rPr>
        <w:t xml:space="preserve">, le Parlement européen invite la Commission à élaborer des indicateurs et des orientations harmonisés pour les poulets de chair (couverts par la directive </w:t>
      </w:r>
      <w:r w:rsidRPr="00517FE1">
        <w:rPr>
          <w:rFonts w:ascii="Times New Roman" w:hAnsi="Times New Roman"/>
        </w:rPr>
        <w:t>2007</w:t>
      </w:r>
      <w:r>
        <w:rPr>
          <w:rFonts w:ascii="Times New Roman" w:hAnsi="Times New Roman"/>
        </w:rPr>
        <w:t>/</w:t>
      </w:r>
      <w:r w:rsidRPr="00517FE1">
        <w:rPr>
          <w:rFonts w:ascii="Times New Roman" w:hAnsi="Times New Roman"/>
        </w:rPr>
        <w:t>43</w:t>
      </w:r>
      <w:r>
        <w:rPr>
          <w:rFonts w:ascii="Times New Roman" w:hAnsi="Times New Roman"/>
        </w:rPr>
        <w:t>/CE), ainsi que pour les cheptels parentaux et les couvoirs (hors du champ d’application de ladite directive).</w:t>
      </w:r>
    </w:p>
    <w:p w:rsidR="004D7E1C" w:rsidRDefault="004D7E1C" w:rsidP="004D7E1C">
      <w:pPr>
        <w:widowControl w:val="0"/>
        <w:spacing w:after="120"/>
        <w:rPr>
          <w:rFonts w:ascii="Times New Roman" w:hAnsi="Times New Roman"/>
          <w:szCs w:val="24"/>
        </w:rPr>
      </w:pPr>
      <w:r>
        <w:rPr>
          <w:rFonts w:ascii="Times New Roman" w:hAnsi="Times New Roman"/>
        </w:rPr>
        <w:t>La valeur de l’élevage est relevée, de même qu’un appel à promouvoir d’autres systèmes d’élevage (</w:t>
      </w:r>
      <w:r>
        <w:rPr>
          <w:rFonts w:ascii="Times New Roman" w:hAnsi="Times New Roman"/>
          <w:b/>
        </w:rPr>
        <w:t>paragraphe </w:t>
      </w:r>
      <w:r w:rsidRPr="00517FE1">
        <w:rPr>
          <w:rFonts w:ascii="Times New Roman" w:hAnsi="Times New Roman"/>
          <w:b/>
        </w:rPr>
        <w:t>13</w:t>
      </w:r>
      <w:r>
        <w:rPr>
          <w:rFonts w:ascii="Times New Roman" w:hAnsi="Times New Roman"/>
        </w:rPr>
        <w:t>) et une feuille de route pour soutenir des systèmes de production plus respectueux du bien-être animal (</w:t>
      </w:r>
      <w:r>
        <w:rPr>
          <w:rFonts w:ascii="Times New Roman" w:hAnsi="Times New Roman"/>
          <w:b/>
        </w:rPr>
        <w:t>paragraphe </w:t>
      </w:r>
      <w:r w:rsidRPr="00517FE1">
        <w:rPr>
          <w:rFonts w:ascii="Times New Roman" w:hAnsi="Times New Roman"/>
          <w:b/>
        </w:rPr>
        <w:t>14</w:t>
      </w:r>
      <w:r>
        <w:rPr>
          <w:rFonts w:ascii="Times New Roman" w:hAnsi="Times New Roman"/>
        </w:rPr>
        <w:t>).</w:t>
      </w:r>
    </w:p>
    <w:p w:rsidR="004D7E1C" w:rsidRDefault="004D7E1C" w:rsidP="004D7E1C">
      <w:pPr>
        <w:widowControl w:val="0"/>
        <w:spacing w:after="120"/>
        <w:rPr>
          <w:rFonts w:ascii="Times New Roman" w:hAnsi="Times New Roman"/>
          <w:szCs w:val="24"/>
        </w:rPr>
      </w:pPr>
      <w:r>
        <w:rPr>
          <w:rFonts w:ascii="Times New Roman" w:hAnsi="Times New Roman"/>
        </w:rPr>
        <w:t>Le Parlement européen se déclare également préoccupé et invite à prendre des mesures et à encourager la recherche dans le domaine de la résistance aux antimicrobiens (</w:t>
      </w:r>
      <w:r>
        <w:rPr>
          <w:rFonts w:ascii="Times New Roman" w:hAnsi="Times New Roman"/>
          <w:b/>
        </w:rPr>
        <w:t>paragraphe </w:t>
      </w:r>
      <w:r w:rsidRPr="00517FE1">
        <w:rPr>
          <w:rFonts w:ascii="Times New Roman" w:hAnsi="Times New Roman"/>
          <w:b/>
        </w:rPr>
        <w:t>12</w:t>
      </w:r>
      <w:r>
        <w:rPr>
          <w:rFonts w:ascii="Times New Roman" w:hAnsi="Times New Roman"/>
        </w:rPr>
        <w:t>).</w:t>
      </w:r>
    </w:p>
    <w:p w:rsidR="004D7E1C" w:rsidRDefault="004D7E1C" w:rsidP="004D7E1C">
      <w:pPr>
        <w:widowControl w:val="0"/>
        <w:spacing w:after="120"/>
        <w:rPr>
          <w:rFonts w:ascii="Times New Roman" w:hAnsi="Times New Roman"/>
          <w:szCs w:val="24"/>
        </w:rPr>
      </w:pPr>
      <w:r>
        <w:rPr>
          <w:rFonts w:ascii="Times New Roman" w:hAnsi="Times New Roman"/>
        </w:rPr>
        <w:t>Le Parlement européen insiste sur le fait que les produits importés de pays tiers doivent respecter la législation de l’Union européenne sur le bien-être animal, la sécurité alimentaire et l’environnement (</w:t>
      </w:r>
      <w:r>
        <w:rPr>
          <w:rFonts w:ascii="Times New Roman" w:hAnsi="Times New Roman"/>
          <w:b/>
        </w:rPr>
        <w:t>paragraphes </w:t>
      </w:r>
      <w:r w:rsidRPr="00517FE1">
        <w:rPr>
          <w:rFonts w:ascii="Times New Roman" w:hAnsi="Times New Roman"/>
          <w:b/>
        </w:rPr>
        <w:t>15</w:t>
      </w:r>
      <w:r>
        <w:rPr>
          <w:rFonts w:ascii="Times New Roman" w:hAnsi="Times New Roman"/>
          <w:b/>
        </w:rPr>
        <w:t xml:space="preserve"> et </w:t>
      </w:r>
      <w:r w:rsidRPr="00517FE1">
        <w:rPr>
          <w:rFonts w:ascii="Times New Roman" w:hAnsi="Times New Roman"/>
          <w:b/>
        </w:rPr>
        <w:t>16</w:t>
      </w:r>
      <w:r>
        <w:rPr>
          <w:rFonts w:ascii="Times New Roman" w:hAnsi="Times New Roman"/>
        </w:rPr>
        <w:t>) afin de garantir des conditions de concurrence loyales et équitables aux producteurs de l’Union européenne.</w:t>
      </w:r>
    </w:p>
    <w:p w:rsidR="004D7E1C" w:rsidRDefault="004D7E1C" w:rsidP="004D7E1C">
      <w:pPr>
        <w:widowControl w:val="0"/>
        <w:spacing w:after="120"/>
        <w:rPr>
          <w:rFonts w:ascii="Times New Roman" w:hAnsi="Times New Roman"/>
          <w:szCs w:val="24"/>
        </w:rPr>
      </w:pPr>
      <w:r>
        <w:rPr>
          <w:rFonts w:ascii="Times New Roman" w:hAnsi="Times New Roman"/>
        </w:rPr>
        <w:t>Enfin, la résolution se termine par deux demandes visant à proposer un étiquetage obligatoire pour les produits à base de viande de volaille importés (</w:t>
      </w:r>
      <w:r>
        <w:rPr>
          <w:rFonts w:ascii="Times New Roman" w:hAnsi="Times New Roman"/>
          <w:b/>
        </w:rPr>
        <w:t>paragraphe </w:t>
      </w:r>
      <w:r w:rsidRPr="00517FE1">
        <w:rPr>
          <w:rFonts w:ascii="Times New Roman" w:hAnsi="Times New Roman"/>
          <w:b/>
        </w:rPr>
        <w:t>17</w:t>
      </w:r>
      <w:r>
        <w:rPr>
          <w:rFonts w:ascii="Times New Roman" w:hAnsi="Times New Roman"/>
        </w:rPr>
        <w:t>) et tous les produits à base de viande de volaille de l’Union européenne (</w:t>
      </w:r>
      <w:r>
        <w:rPr>
          <w:rFonts w:ascii="Times New Roman" w:hAnsi="Times New Roman"/>
          <w:b/>
        </w:rPr>
        <w:t>paragraphe </w:t>
      </w:r>
      <w:r w:rsidRPr="00517FE1">
        <w:rPr>
          <w:rFonts w:ascii="Times New Roman" w:hAnsi="Times New Roman"/>
          <w:b/>
        </w:rPr>
        <w:t>18</w:t>
      </w:r>
      <w:r>
        <w:rPr>
          <w:rFonts w:ascii="Times New Roman" w:hAnsi="Times New Roman"/>
        </w:rPr>
        <w:t>), fondé sur des méthodes de production, afin d’améliorer la transparence et la communication vis-à-vis du consommateur sur le bien-être animal.</w:t>
      </w:r>
    </w:p>
    <w:p w:rsidR="004D7E1C" w:rsidRDefault="004D7E1C" w:rsidP="004D7E1C">
      <w:pPr>
        <w:widowControl w:val="0"/>
        <w:numPr>
          <w:ilvl w:val="0"/>
          <w:numId w:val="1"/>
        </w:numPr>
        <w:ind w:left="360"/>
        <w:rPr>
          <w:rFonts w:ascii="Times New Roman" w:hAnsi="Times New Roman"/>
          <w:b/>
          <w:szCs w:val="24"/>
        </w:rPr>
      </w:pPr>
      <w:r>
        <w:rPr>
          <w:rFonts w:ascii="Times New Roman" w:hAnsi="Times New Roman"/>
          <w:b/>
        </w:rPr>
        <w:t>Réponse à ces demandes et aperçu des mesures que la Commission a prises ou envisage de prendre:</w:t>
      </w:r>
    </w:p>
    <w:p w:rsidR="004D7E1C" w:rsidRDefault="004D7E1C" w:rsidP="004D7E1C">
      <w:pPr>
        <w:widowControl w:val="0"/>
        <w:spacing w:after="120"/>
        <w:rPr>
          <w:rFonts w:ascii="Times New Roman" w:hAnsi="Times New Roman"/>
          <w:szCs w:val="24"/>
        </w:rPr>
      </w:pPr>
      <w:r>
        <w:rPr>
          <w:rFonts w:ascii="Times New Roman" w:hAnsi="Times New Roman"/>
        </w:rPr>
        <w:lastRenderedPageBreak/>
        <w:t xml:space="preserve">En ce qui concerne le </w:t>
      </w:r>
      <w:r>
        <w:rPr>
          <w:rFonts w:ascii="Times New Roman" w:hAnsi="Times New Roman"/>
          <w:b/>
        </w:rPr>
        <w:t>paragraphe </w:t>
      </w:r>
      <w:r w:rsidRPr="00517FE1">
        <w:rPr>
          <w:rFonts w:ascii="Times New Roman" w:hAnsi="Times New Roman"/>
          <w:b/>
        </w:rPr>
        <w:t>4</w:t>
      </w:r>
      <w:r>
        <w:rPr>
          <w:rFonts w:ascii="Times New Roman" w:hAnsi="Times New Roman"/>
        </w:rPr>
        <w:t>, la Commission a adopté en </w:t>
      </w:r>
      <w:r w:rsidRPr="00517FE1">
        <w:rPr>
          <w:rFonts w:ascii="Times New Roman" w:hAnsi="Times New Roman"/>
        </w:rPr>
        <w:t>2018</w:t>
      </w:r>
      <w:r>
        <w:rPr>
          <w:rFonts w:ascii="Times New Roman" w:hAnsi="Times New Roman"/>
        </w:rPr>
        <w:t xml:space="preserve"> un rapport sur l’application de la directive </w:t>
      </w:r>
      <w:r w:rsidRPr="00517FE1">
        <w:rPr>
          <w:rFonts w:ascii="Times New Roman" w:hAnsi="Times New Roman"/>
        </w:rPr>
        <w:t>2007</w:t>
      </w:r>
      <w:r>
        <w:rPr>
          <w:rFonts w:ascii="Times New Roman" w:hAnsi="Times New Roman"/>
        </w:rPr>
        <w:t>/</w:t>
      </w:r>
      <w:r w:rsidRPr="00517FE1">
        <w:rPr>
          <w:rFonts w:ascii="Times New Roman" w:hAnsi="Times New Roman"/>
        </w:rPr>
        <w:t>43</w:t>
      </w:r>
      <w:r>
        <w:rPr>
          <w:rFonts w:ascii="Times New Roman" w:hAnsi="Times New Roman"/>
        </w:rPr>
        <w:t>/CE et son influence sur le bien-être des poulets destinés à la production de viande, ainsi que sur l’élaboration d’indicateurs de bien-être</w:t>
      </w:r>
      <w:r>
        <w:rPr>
          <w:rStyle w:val="FootnoteReference"/>
          <w:rFonts w:ascii="Times New Roman" w:hAnsi="Times New Roman"/>
        </w:rPr>
        <w:footnoteReference w:id="2"/>
      </w:r>
      <w:r>
        <w:rPr>
          <w:rFonts w:ascii="Times New Roman" w:hAnsi="Times New Roman"/>
        </w:rPr>
        <w:t>.</w:t>
      </w:r>
      <w:r>
        <w:t xml:space="preserve"> </w:t>
      </w:r>
      <w:r>
        <w:rPr>
          <w:rFonts w:ascii="Times New Roman" w:hAnsi="Times New Roman"/>
        </w:rPr>
        <w:t xml:space="preserve">Par la suite, en </w:t>
      </w:r>
      <w:r w:rsidRPr="00517FE1">
        <w:rPr>
          <w:rFonts w:ascii="Times New Roman" w:hAnsi="Times New Roman"/>
        </w:rPr>
        <w:t>2018</w:t>
      </w:r>
      <w:r>
        <w:rPr>
          <w:rFonts w:ascii="Times New Roman" w:hAnsi="Times New Roman"/>
        </w:rPr>
        <w:t>, la Commission a publié un rapport de synthèse sur l’utilisation des données des abattoirs pour surveiller le bien-être des poulets de chair dans les exploitations</w:t>
      </w:r>
      <w:r>
        <w:rPr>
          <w:rStyle w:val="FootnoteReference"/>
          <w:rFonts w:ascii="Times New Roman" w:hAnsi="Times New Roman"/>
        </w:rPr>
        <w:footnoteReference w:id="3"/>
      </w:r>
      <w:r>
        <w:rPr>
          <w:rFonts w:ascii="Times New Roman" w:hAnsi="Times New Roman"/>
        </w:rPr>
        <w:t>. Sur la base de ces informations, la Commission reconnaît que certains États membres doivent redoubler d’efforts afin de mettre en œuvre les exigences particulières de la directive. La Commission poursuivra la collaboration avec les États membres en vue de diffuser des exemples de bonnes pratiques en matière de contrôles, ainsi qu’avec l’industrie et les États membres en ce qui concerne les orientations sur la gestion des élevages (voir également le point suivant).</w:t>
      </w:r>
    </w:p>
    <w:p w:rsidR="004D7E1C" w:rsidRPr="00F869FF" w:rsidRDefault="004D7E1C" w:rsidP="004D7E1C">
      <w:pPr>
        <w:pStyle w:val="CommentText"/>
        <w:spacing w:after="120"/>
        <w:rPr>
          <w:rFonts w:ascii="Times New Roman" w:hAnsi="Times New Roman"/>
          <w:sz w:val="24"/>
          <w:szCs w:val="24"/>
        </w:rPr>
      </w:pPr>
      <w:r>
        <w:rPr>
          <w:rFonts w:ascii="Times New Roman" w:hAnsi="Times New Roman"/>
          <w:sz w:val="24"/>
        </w:rPr>
        <w:t xml:space="preserve">En ce qui concerne les </w:t>
      </w:r>
      <w:r>
        <w:rPr>
          <w:rFonts w:ascii="Times New Roman" w:hAnsi="Times New Roman"/>
          <w:b/>
          <w:sz w:val="24"/>
        </w:rPr>
        <w:t>paragraphes </w:t>
      </w:r>
      <w:r w:rsidRPr="00517FE1">
        <w:rPr>
          <w:rFonts w:ascii="Times New Roman" w:hAnsi="Times New Roman"/>
          <w:b/>
          <w:sz w:val="24"/>
        </w:rPr>
        <w:t>6</w:t>
      </w:r>
      <w:r>
        <w:rPr>
          <w:rFonts w:ascii="Times New Roman" w:hAnsi="Times New Roman"/>
          <w:b/>
          <w:sz w:val="24"/>
        </w:rPr>
        <w:t xml:space="preserve"> et </w:t>
      </w:r>
      <w:r w:rsidRPr="00517FE1">
        <w:rPr>
          <w:rFonts w:ascii="Times New Roman" w:hAnsi="Times New Roman"/>
          <w:b/>
          <w:sz w:val="24"/>
        </w:rPr>
        <w:t>7</w:t>
      </w:r>
      <w:r>
        <w:rPr>
          <w:rFonts w:ascii="Times New Roman" w:hAnsi="Times New Roman"/>
          <w:sz w:val="24"/>
        </w:rPr>
        <w:t xml:space="preserve">, à compter de </w:t>
      </w:r>
      <w:r w:rsidRPr="00517FE1">
        <w:rPr>
          <w:rFonts w:ascii="Times New Roman" w:hAnsi="Times New Roman"/>
          <w:sz w:val="24"/>
        </w:rPr>
        <w:t>2019</w:t>
      </w:r>
      <w:r>
        <w:rPr>
          <w:rFonts w:ascii="Times New Roman" w:hAnsi="Times New Roman"/>
          <w:sz w:val="24"/>
        </w:rPr>
        <w:t xml:space="preserve">, la Commission mettra en œuvre un projet visant à développer l’utilisation efficace d’indicateurs pour le suivi du bien-être des poulets de chair. Bien que les cheptels parentaux et les couvoirs ne relèvent pas du champ d’application de la directive </w:t>
      </w:r>
      <w:r w:rsidRPr="00517FE1">
        <w:rPr>
          <w:rFonts w:ascii="Times New Roman" w:hAnsi="Times New Roman"/>
          <w:sz w:val="24"/>
        </w:rPr>
        <w:t>2007</w:t>
      </w:r>
      <w:r>
        <w:rPr>
          <w:rFonts w:ascii="Times New Roman" w:hAnsi="Times New Roman"/>
          <w:sz w:val="24"/>
        </w:rPr>
        <w:t>/</w:t>
      </w:r>
      <w:r w:rsidRPr="00517FE1">
        <w:rPr>
          <w:rFonts w:ascii="Times New Roman" w:hAnsi="Times New Roman"/>
          <w:sz w:val="24"/>
        </w:rPr>
        <w:t>43</w:t>
      </w:r>
      <w:r>
        <w:rPr>
          <w:rFonts w:ascii="Times New Roman" w:hAnsi="Times New Roman"/>
          <w:sz w:val="24"/>
        </w:rPr>
        <w:t xml:space="preserve">/CE, ils sont néanmoins soumis aux dispositions générales de la directive </w:t>
      </w:r>
      <w:r w:rsidRPr="00517FE1">
        <w:rPr>
          <w:rFonts w:ascii="Times New Roman" w:hAnsi="Times New Roman"/>
          <w:sz w:val="24"/>
        </w:rPr>
        <w:t>98</w:t>
      </w:r>
      <w:r>
        <w:rPr>
          <w:rFonts w:ascii="Times New Roman" w:hAnsi="Times New Roman"/>
          <w:sz w:val="24"/>
        </w:rPr>
        <w:t>/</w:t>
      </w:r>
      <w:r w:rsidRPr="00517FE1">
        <w:rPr>
          <w:rFonts w:ascii="Times New Roman" w:hAnsi="Times New Roman"/>
          <w:sz w:val="24"/>
        </w:rPr>
        <w:t>58</w:t>
      </w:r>
      <w:r>
        <w:rPr>
          <w:rFonts w:ascii="Times New Roman" w:hAnsi="Times New Roman"/>
          <w:sz w:val="24"/>
        </w:rPr>
        <w:t>/CE concernant la protection des animaux dans les élevages</w:t>
      </w:r>
      <w:r>
        <w:rPr>
          <w:rStyle w:val="FootnoteReference"/>
          <w:rFonts w:ascii="Times New Roman" w:hAnsi="Times New Roman"/>
          <w:sz w:val="24"/>
        </w:rPr>
        <w:footnoteReference w:id="4"/>
      </w:r>
      <w:r>
        <w:rPr>
          <w:rFonts w:ascii="Times New Roman" w:hAnsi="Times New Roman"/>
          <w:sz w:val="24"/>
        </w:rPr>
        <w:t xml:space="preserve">. </w:t>
      </w:r>
    </w:p>
    <w:p w:rsidR="004D7E1C" w:rsidRPr="005A3C0D" w:rsidRDefault="004D7E1C" w:rsidP="004D7E1C">
      <w:pPr>
        <w:pStyle w:val="CommentText"/>
        <w:spacing w:after="120"/>
        <w:rPr>
          <w:rFonts w:ascii="Times New Roman" w:hAnsi="Times New Roman"/>
          <w:sz w:val="24"/>
          <w:szCs w:val="24"/>
        </w:rPr>
      </w:pPr>
      <w:r>
        <w:rPr>
          <w:rFonts w:ascii="Times New Roman" w:hAnsi="Times New Roman"/>
          <w:sz w:val="24"/>
        </w:rPr>
        <w:t xml:space="preserve">La question de la lutte contre les incendies de poulaillers, soulevée au </w:t>
      </w:r>
      <w:r>
        <w:rPr>
          <w:rFonts w:ascii="Times New Roman" w:hAnsi="Times New Roman"/>
          <w:b/>
          <w:sz w:val="24"/>
        </w:rPr>
        <w:t>paragraphe </w:t>
      </w:r>
      <w:r w:rsidRPr="00517FE1">
        <w:rPr>
          <w:rFonts w:ascii="Times New Roman" w:hAnsi="Times New Roman"/>
          <w:b/>
          <w:sz w:val="24"/>
        </w:rPr>
        <w:t>7</w:t>
      </w:r>
      <w:r>
        <w:rPr>
          <w:rFonts w:ascii="Times New Roman" w:hAnsi="Times New Roman"/>
          <w:sz w:val="24"/>
        </w:rPr>
        <w:t>, a été abordée dans l’une des recommandations</w:t>
      </w:r>
      <w:r>
        <w:rPr>
          <w:rStyle w:val="FootnoteReference"/>
          <w:rFonts w:ascii="Times New Roman" w:hAnsi="Times New Roman"/>
          <w:sz w:val="24"/>
        </w:rPr>
        <w:footnoteReference w:id="5"/>
      </w:r>
      <w:r>
        <w:rPr>
          <w:rFonts w:ascii="Times New Roman" w:hAnsi="Times New Roman"/>
          <w:sz w:val="24"/>
        </w:rPr>
        <w:t xml:space="preserve"> formulées dans le cadre de la convention européenne sur la protection des animaux dans les élevages</w:t>
      </w:r>
      <w:r>
        <w:rPr>
          <w:rStyle w:val="FootnoteReference"/>
          <w:rFonts w:ascii="Times New Roman" w:hAnsi="Times New Roman"/>
          <w:sz w:val="24"/>
        </w:rPr>
        <w:footnoteReference w:id="6"/>
      </w:r>
      <w:r>
        <w:rPr>
          <w:rFonts w:ascii="Times New Roman" w:hAnsi="Times New Roman"/>
          <w:sz w:val="24"/>
        </w:rPr>
        <w:t>. L’article </w:t>
      </w:r>
      <w:r w:rsidRPr="00517FE1">
        <w:rPr>
          <w:rFonts w:ascii="Times New Roman" w:hAnsi="Times New Roman"/>
          <w:sz w:val="24"/>
        </w:rPr>
        <w:t>10</w:t>
      </w:r>
      <w:r>
        <w:rPr>
          <w:rFonts w:ascii="Times New Roman" w:hAnsi="Times New Roman"/>
          <w:sz w:val="24"/>
        </w:rPr>
        <w:t>, paragraphe </w:t>
      </w:r>
      <w:r w:rsidRPr="00517FE1">
        <w:rPr>
          <w:rFonts w:ascii="Times New Roman" w:hAnsi="Times New Roman"/>
          <w:sz w:val="24"/>
        </w:rPr>
        <w:t>2</w:t>
      </w:r>
      <w:r>
        <w:rPr>
          <w:rFonts w:ascii="Times New Roman" w:hAnsi="Times New Roman"/>
          <w:sz w:val="24"/>
        </w:rPr>
        <w:t>, de la recommandation concernant les poules domestiques, qui inclut les poulets destinés à la production de viande et qui relève de la législation de l’Union européenne stipule ce qui suit:</w:t>
      </w:r>
      <w:proofErr w:type="gramStart"/>
      <w:r>
        <w:rPr>
          <w:rFonts w:ascii="Times New Roman" w:hAnsi="Times New Roman"/>
          <w:sz w:val="24"/>
        </w:rPr>
        <w:t xml:space="preserve"> «Les</w:t>
      </w:r>
      <w:proofErr w:type="gramEnd"/>
      <w:r>
        <w:rPr>
          <w:rFonts w:ascii="Times New Roman" w:hAnsi="Times New Roman"/>
          <w:sz w:val="24"/>
        </w:rPr>
        <w:t xml:space="preserve"> bâtiments où les oiseaux sont regroupés doivent être construits et entretenus de façon à réduire au maximum tout risque d’incendie. Les matériaux devraient être résistants au feu ou traités avec des retardateurs de flammes; toutes les mesures appropriées doivent être prises pour permettre une action immédiate de sauvegarde des animaux, par exemple l’installation d’un système d’alarme et l’élaboration d’un plan d’évacuation pour les animaux. Les équipements et installations électriques doivent être correctement mis en place et entretenus</w:t>
      </w:r>
      <w:proofErr w:type="gramStart"/>
      <w:r>
        <w:rPr>
          <w:rFonts w:ascii="Times New Roman" w:hAnsi="Times New Roman"/>
          <w:sz w:val="24"/>
        </w:rPr>
        <w:t>.»</w:t>
      </w:r>
      <w:proofErr w:type="gramEnd"/>
    </w:p>
    <w:p w:rsidR="004D7E1C" w:rsidRPr="00EF268B" w:rsidRDefault="004D7E1C" w:rsidP="004D7E1C">
      <w:pPr>
        <w:pStyle w:val="CommentText"/>
        <w:spacing w:after="120"/>
        <w:rPr>
          <w:rFonts w:ascii="Times New Roman" w:hAnsi="Times New Roman"/>
          <w:sz w:val="24"/>
          <w:szCs w:val="24"/>
        </w:rPr>
      </w:pPr>
      <w:r>
        <w:rPr>
          <w:rFonts w:ascii="Times New Roman" w:hAnsi="Times New Roman"/>
          <w:sz w:val="24"/>
        </w:rPr>
        <w:t xml:space="preserve">Les États membres sont responsables au premier chef de la mise en œuvre des dispositions, tant des recommandations du Conseil de l’Europe que des dispositions de la directive </w:t>
      </w:r>
      <w:r w:rsidRPr="00517FE1">
        <w:rPr>
          <w:rFonts w:ascii="Times New Roman" w:hAnsi="Times New Roman"/>
          <w:sz w:val="24"/>
        </w:rPr>
        <w:t>98</w:t>
      </w:r>
      <w:r>
        <w:rPr>
          <w:rFonts w:ascii="Times New Roman" w:hAnsi="Times New Roman"/>
          <w:sz w:val="24"/>
        </w:rPr>
        <w:t>/</w:t>
      </w:r>
      <w:r w:rsidRPr="00517FE1">
        <w:rPr>
          <w:rFonts w:ascii="Times New Roman" w:hAnsi="Times New Roman"/>
          <w:sz w:val="24"/>
        </w:rPr>
        <w:t>58</w:t>
      </w:r>
      <w:r>
        <w:rPr>
          <w:rFonts w:ascii="Times New Roman" w:hAnsi="Times New Roman"/>
          <w:sz w:val="24"/>
        </w:rPr>
        <w:t>/CE, en tenant dûment compte de leur contexte national.</w:t>
      </w:r>
    </w:p>
    <w:p w:rsidR="004D7E1C" w:rsidRPr="00C8644F" w:rsidRDefault="004D7E1C" w:rsidP="004D7E1C">
      <w:pPr>
        <w:widowControl w:val="0"/>
        <w:spacing w:after="120"/>
        <w:rPr>
          <w:rFonts w:ascii="Times New Roman" w:hAnsi="Times New Roman"/>
          <w:szCs w:val="24"/>
        </w:rPr>
      </w:pPr>
      <w:r>
        <w:rPr>
          <w:rFonts w:ascii="Times New Roman" w:hAnsi="Times New Roman"/>
        </w:rPr>
        <w:t xml:space="preserve">En ce qui concerne le </w:t>
      </w:r>
      <w:r>
        <w:rPr>
          <w:rFonts w:ascii="Times New Roman" w:hAnsi="Times New Roman"/>
          <w:b/>
        </w:rPr>
        <w:t>paragraphe </w:t>
      </w:r>
      <w:r w:rsidRPr="00517FE1">
        <w:rPr>
          <w:rFonts w:ascii="Times New Roman" w:hAnsi="Times New Roman"/>
          <w:b/>
        </w:rPr>
        <w:t>12</w:t>
      </w:r>
      <w:r>
        <w:rPr>
          <w:rFonts w:ascii="Times New Roman" w:hAnsi="Times New Roman"/>
        </w:rPr>
        <w:t xml:space="preserve"> et la surveillance des maladies, la décision d’exécution </w:t>
      </w:r>
      <w:r w:rsidRPr="00517FE1">
        <w:rPr>
          <w:rFonts w:ascii="Times New Roman" w:hAnsi="Times New Roman"/>
        </w:rPr>
        <w:t>652</w:t>
      </w:r>
      <w:r>
        <w:rPr>
          <w:rFonts w:ascii="Times New Roman" w:hAnsi="Times New Roman"/>
        </w:rPr>
        <w:t>/</w:t>
      </w:r>
      <w:r w:rsidRPr="00517FE1">
        <w:rPr>
          <w:rFonts w:ascii="Times New Roman" w:hAnsi="Times New Roman"/>
        </w:rPr>
        <w:t>2013</w:t>
      </w:r>
      <w:r>
        <w:rPr>
          <w:rFonts w:ascii="Times New Roman" w:hAnsi="Times New Roman"/>
        </w:rPr>
        <w:t>/UE de la Commission</w:t>
      </w:r>
      <w:r>
        <w:rPr>
          <w:rStyle w:val="FootnoteReference"/>
          <w:rFonts w:ascii="Times New Roman" w:hAnsi="Times New Roman"/>
        </w:rPr>
        <w:footnoteReference w:id="7"/>
      </w:r>
      <w:r>
        <w:rPr>
          <w:rFonts w:ascii="Times New Roman" w:hAnsi="Times New Roman"/>
        </w:rPr>
        <w:t xml:space="preserve"> établit des modalités détaillées concernant la surveillance et la présentation de rapports harmonisées concernant la résistance aux antimicrobiens (RAM) chez certaines populations d’animaux producteurs d’aliments et dans certaines denrées alimentaires, notamment la viande de poulet de chair et de volaille. Les informations recueillies sont utilisées pour mieux comprendre l’apparition et les tendances de la résistance antimicrobienne en Europe. En ce qui concerne les contrôles relatifs aux maladies (</w:t>
      </w:r>
      <w:r>
        <w:rPr>
          <w:rFonts w:ascii="Times New Roman" w:hAnsi="Times New Roman"/>
          <w:b/>
        </w:rPr>
        <w:t>paragraphe </w:t>
      </w:r>
      <w:r w:rsidRPr="00517FE1">
        <w:rPr>
          <w:rFonts w:ascii="Times New Roman" w:hAnsi="Times New Roman"/>
          <w:b/>
        </w:rPr>
        <w:t>12</w:t>
      </w:r>
      <w:r>
        <w:rPr>
          <w:rFonts w:ascii="Times New Roman" w:hAnsi="Times New Roman"/>
        </w:rPr>
        <w:t>), le règlement (CE) nº </w:t>
      </w:r>
      <w:r w:rsidRPr="00517FE1">
        <w:rPr>
          <w:rFonts w:ascii="Times New Roman" w:hAnsi="Times New Roman"/>
        </w:rPr>
        <w:t>2160</w:t>
      </w:r>
      <w:r>
        <w:rPr>
          <w:rFonts w:ascii="Times New Roman" w:hAnsi="Times New Roman"/>
        </w:rPr>
        <w:t>/</w:t>
      </w:r>
      <w:r w:rsidRPr="00517FE1">
        <w:rPr>
          <w:rFonts w:ascii="Times New Roman" w:hAnsi="Times New Roman"/>
        </w:rPr>
        <w:t>2003</w:t>
      </w:r>
      <w:r>
        <w:rPr>
          <w:rFonts w:ascii="Times New Roman" w:hAnsi="Times New Roman"/>
        </w:rPr>
        <w:t xml:space="preserve"> vise à garantir l'adoption de mesures adaptées et efficaces pour détecter et contrôler les salmonelles et d’autres agents zoonotiques </w:t>
      </w:r>
      <w:r>
        <w:rPr>
          <w:rFonts w:ascii="Times New Roman" w:hAnsi="Times New Roman"/>
        </w:rPr>
        <w:lastRenderedPageBreak/>
        <w:t>à tous les stades pertinents de la production, de la transformation et de la distribution de manière à réduire leur prévalence et le risque qu’ils représentent pour la santé publique</w:t>
      </w:r>
      <w:r>
        <w:rPr>
          <w:rStyle w:val="FootnoteReference"/>
          <w:rFonts w:ascii="Times New Roman" w:hAnsi="Times New Roman"/>
        </w:rPr>
        <w:footnoteReference w:id="8"/>
      </w:r>
      <w:r>
        <w:rPr>
          <w:rFonts w:ascii="Times New Roman" w:hAnsi="Times New Roman"/>
        </w:rPr>
        <w:t xml:space="preserve">. En </w:t>
      </w:r>
      <w:r w:rsidRPr="00517FE1">
        <w:rPr>
          <w:rFonts w:ascii="Times New Roman" w:hAnsi="Times New Roman"/>
        </w:rPr>
        <w:t>2017</w:t>
      </w:r>
      <w:r>
        <w:rPr>
          <w:rFonts w:ascii="Times New Roman" w:hAnsi="Times New Roman"/>
        </w:rPr>
        <w:t xml:space="preserve">, la Commission a publié un rapport de synthèse sur les mesures d’atténuation qui existent pour les espèces de </w:t>
      </w:r>
      <w:proofErr w:type="spellStart"/>
      <w:r>
        <w:rPr>
          <w:rFonts w:ascii="Times New Roman" w:hAnsi="Times New Roman"/>
        </w:rPr>
        <w:t>Campylobacter</w:t>
      </w:r>
      <w:proofErr w:type="spellEnd"/>
      <w:r>
        <w:rPr>
          <w:rFonts w:ascii="Times New Roman" w:hAnsi="Times New Roman"/>
        </w:rPr>
        <w:t xml:space="preserve"> dans les volailles</w:t>
      </w:r>
      <w:r>
        <w:rPr>
          <w:rStyle w:val="FootnoteReference"/>
          <w:rFonts w:ascii="Times New Roman" w:hAnsi="Times New Roman"/>
        </w:rPr>
        <w:footnoteReference w:id="9"/>
      </w:r>
      <w:r>
        <w:rPr>
          <w:rFonts w:ascii="Times New Roman" w:hAnsi="Times New Roman"/>
        </w:rPr>
        <w:t xml:space="preserve">. Ce rapport rassemble et recense les mesures mises en place dans les États membres afin de réduire ou d’éliminer le risque lié à </w:t>
      </w:r>
      <w:proofErr w:type="spellStart"/>
      <w:r>
        <w:rPr>
          <w:rFonts w:ascii="Times New Roman" w:hAnsi="Times New Roman"/>
        </w:rPr>
        <w:t>Campylobacter</w:t>
      </w:r>
      <w:proofErr w:type="spellEnd"/>
      <w:r>
        <w:rPr>
          <w:rFonts w:ascii="Times New Roman" w:hAnsi="Times New Roman"/>
        </w:rPr>
        <w:t xml:space="preserve"> dans la production et la distribution de viande de volaille et recense les bonnes pratiques pertinentes. Toujours en ce qui concerne le </w:t>
      </w:r>
      <w:r>
        <w:rPr>
          <w:rFonts w:ascii="Times New Roman" w:hAnsi="Times New Roman"/>
          <w:b/>
        </w:rPr>
        <w:t>paragraphe </w:t>
      </w:r>
      <w:r w:rsidRPr="00517FE1">
        <w:rPr>
          <w:rFonts w:ascii="Times New Roman" w:hAnsi="Times New Roman"/>
          <w:b/>
        </w:rPr>
        <w:t>12</w:t>
      </w:r>
      <w:r>
        <w:rPr>
          <w:rFonts w:ascii="Times New Roman" w:hAnsi="Times New Roman"/>
        </w:rPr>
        <w:t>, en matière de recherche, dans le cadre de l’initiative Horizon </w:t>
      </w:r>
      <w:r w:rsidRPr="00517FE1">
        <w:rPr>
          <w:rFonts w:ascii="Times New Roman" w:hAnsi="Times New Roman"/>
        </w:rPr>
        <w:t>2020</w:t>
      </w:r>
      <w:r>
        <w:rPr>
          <w:rFonts w:ascii="Times New Roman" w:hAnsi="Times New Roman"/>
        </w:rPr>
        <w:t xml:space="preserve"> (</w:t>
      </w:r>
      <w:r w:rsidRPr="00517FE1">
        <w:rPr>
          <w:rFonts w:ascii="Times New Roman" w:hAnsi="Times New Roman"/>
        </w:rPr>
        <w:t>2018</w:t>
      </w:r>
      <w:r>
        <w:rPr>
          <w:rFonts w:ascii="Times New Roman" w:hAnsi="Times New Roman"/>
        </w:rPr>
        <w:t>-</w:t>
      </w:r>
      <w:r w:rsidRPr="00517FE1">
        <w:rPr>
          <w:rFonts w:ascii="Times New Roman" w:hAnsi="Times New Roman"/>
        </w:rPr>
        <w:t>2020</w:t>
      </w:r>
      <w:r>
        <w:rPr>
          <w:rFonts w:ascii="Times New Roman" w:hAnsi="Times New Roman"/>
        </w:rPr>
        <w:t xml:space="preserve">), une enveloppe de </w:t>
      </w:r>
      <w:r w:rsidRPr="00517FE1">
        <w:rPr>
          <w:rFonts w:ascii="Times New Roman" w:hAnsi="Times New Roman"/>
        </w:rPr>
        <w:t>192</w:t>
      </w:r>
      <w:r>
        <w:rPr>
          <w:rFonts w:ascii="Times New Roman" w:hAnsi="Times New Roman"/>
        </w:rPr>
        <w:t> millions d’euros a été mobilisée pour la recherche sur la réduction de la RAM, dans le cadre de plusieurs projets différents. En janvier </w:t>
      </w:r>
      <w:r w:rsidRPr="00517FE1">
        <w:rPr>
          <w:rFonts w:ascii="Times New Roman" w:hAnsi="Times New Roman"/>
        </w:rPr>
        <w:t>2018</w:t>
      </w:r>
      <w:r>
        <w:rPr>
          <w:rFonts w:ascii="Times New Roman" w:hAnsi="Times New Roman"/>
        </w:rPr>
        <w:t>, l’initiative de programmation conjointe</w:t>
      </w:r>
      <w:proofErr w:type="gramStart"/>
      <w:r>
        <w:rPr>
          <w:rFonts w:ascii="Times New Roman" w:hAnsi="Times New Roman"/>
        </w:rPr>
        <w:t xml:space="preserve"> «Une</w:t>
      </w:r>
      <w:proofErr w:type="gramEnd"/>
      <w:r>
        <w:rPr>
          <w:rFonts w:ascii="Times New Roman" w:hAnsi="Times New Roman"/>
        </w:rPr>
        <w:t xml:space="preserve"> seule santé» a commencé à créer un cadre européen durable en faveur d’une seule santé afin d’intégrer et d’aligner les instituts médicaux, vétérinaires et alimentaires par la programmation conjointe d’agendas de recherche répondant aux besoins des décideurs et des parties prenantes européens et nationaux. Bien que la politique agricole commune (PAC) prévoie déjà plusieurs instruments contribuant à la réduction de la RAM, l’accent sera davantage mis sur cet aspect à l’avenir. Le système de conseil agricole (SCA) se centrera en particulier sur l’information des éleveurs sur les bonnes pratiques d’élevage, la nécessité et les moyens d’améliorer la santé animale et de réduire les traitements antimicrobiens. Les paiements cofinancés au titre de la PAC continueront à permettre des investissements dans les bâtiments utilisés pour les animaux ainsi que l’amélioration du bien-être et de la biosécurité des animaux dans les exploitations au moyen d’engagements en matière de gestion.</w:t>
      </w:r>
    </w:p>
    <w:p w:rsidR="004D7E1C" w:rsidRPr="00C8644F" w:rsidRDefault="004D7E1C" w:rsidP="004D7E1C">
      <w:pPr>
        <w:widowControl w:val="0"/>
        <w:spacing w:after="120"/>
        <w:rPr>
          <w:rFonts w:ascii="Times New Roman" w:hAnsi="Times New Roman"/>
          <w:szCs w:val="24"/>
        </w:rPr>
      </w:pPr>
      <w:r>
        <w:rPr>
          <w:rFonts w:ascii="Times New Roman" w:hAnsi="Times New Roman"/>
        </w:rPr>
        <w:t xml:space="preserve">En ce qui concerne les </w:t>
      </w:r>
      <w:r>
        <w:rPr>
          <w:rFonts w:ascii="Times New Roman" w:hAnsi="Times New Roman"/>
          <w:b/>
        </w:rPr>
        <w:t>paragraphes </w:t>
      </w:r>
      <w:r w:rsidRPr="00517FE1">
        <w:rPr>
          <w:rFonts w:ascii="Times New Roman" w:hAnsi="Times New Roman"/>
          <w:b/>
        </w:rPr>
        <w:t>13</w:t>
      </w:r>
      <w:r>
        <w:rPr>
          <w:rFonts w:ascii="Times New Roman" w:hAnsi="Times New Roman"/>
          <w:b/>
        </w:rPr>
        <w:t xml:space="preserve"> et </w:t>
      </w:r>
      <w:r w:rsidRPr="00517FE1">
        <w:rPr>
          <w:rFonts w:ascii="Times New Roman" w:hAnsi="Times New Roman"/>
          <w:b/>
        </w:rPr>
        <w:t>14</w:t>
      </w:r>
      <w:r>
        <w:rPr>
          <w:rFonts w:ascii="Times New Roman" w:hAnsi="Times New Roman"/>
        </w:rPr>
        <w:t>, la Commission a récemment lancé une évaluation externe des normes de commercialisation de l’Union européenne couvrant divers produits agricoles, dont la viande de volaille. Dans le cadre de cet exercice, le système d’étiquetage dans les secteurs de la volaille et des œufs sera réexaminé. Dans le cadre de ce processus, les parties prenantes et les citoyens intéressés pourront participer à la consultation publique et exprimer leur avis et leurs préoccupations.</w:t>
      </w:r>
    </w:p>
    <w:p w:rsidR="004D7E1C" w:rsidRDefault="004D7E1C" w:rsidP="004D7E1C">
      <w:pPr>
        <w:widowControl w:val="0"/>
        <w:spacing w:after="120"/>
        <w:rPr>
          <w:rFonts w:ascii="Times New Roman" w:hAnsi="Times New Roman"/>
          <w:szCs w:val="24"/>
        </w:rPr>
      </w:pPr>
      <w:r>
        <w:rPr>
          <w:rFonts w:ascii="Times New Roman" w:hAnsi="Times New Roman"/>
        </w:rPr>
        <w:t xml:space="preserve">En ce qui concerne les </w:t>
      </w:r>
      <w:r>
        <w:rPr>
          <w:rFonts w:ascii="Times New Roman" w:hAnsi="Times New Roman"/>
          <w:b/>
        </w:rPr>
        <w:t>paragraphes </w:t>
      </w:r>
      <w:r w:rsidRPr="00517FE1">
        <w:rPr>
          <w:rFonts w:ascii="Times New Roman" w:hAnsi="Times New Roman"/>
          <w:b/>
        </w:rPr>
        <w:t>15</w:t>
      </w:r>
      <w:r>
        <w:rPr>
          <w:rFonts w:ascii="Times New Roman" w:hAnsi="Times New Roman"/>
          <w:b/>
        </w:rPr>
        <w:t xml:space="preserve"> et </w:t>
      </w:r>
      <w:r w:rsidRPr="00517FE1">
        <w:rPr>
          <w:rFonts w:ascii="Times New Roman" w:hAnsi="Times New Roman"/>
          <w:b/>
        </w:rPr>
        <w:t>16</w:t>
      </w:r>
      <w:r>
        <w:rPr>
          <w:rFonts w:ascii="Times New Roman" w:hAnsi="Times New Roman"/>
        </w:rPr>
        <w:t xml:space="preserve">, la législation de l’Union européenne relative au bien-être des animaux ne s’applique pas à la viande de volaille importée de pays tiers, sauf en ce qui concerne les conditions d’abattage des animaux. L’Union n’est donc pas en mesure d’exiger que les produits importés de pays tiers respectent les exigences de la directive </w:t>
      </w:r>
      <w:r w:rsidRPr="00517FE1">
        <w:rPr>
          <w:rFonts w:ascii="Times New Roman" w:hAnsi="Times New Roman"/>
        </w:rPr>
        <w:t>2007</w:t>
      </w:r>
      <w:r>
        <w:rPr>
          <w:rFonts w:ascii="Times New Roman" w:hAnsi="Times New Roman"/>
        </w:rPr>
        <w:t>/</w:t>
      </w:r>
      <w:r w:rsidRPr="00517FE1">
        <w:rPr>
          <w:rFonts w:ascii="Times New Roman" w:hAnsi="Times New Roman"/>
        </w:rPr>
        <w:t>43</w:t>
      </w:r>
      <w:r>
        <w:rPr>
          <w:rFonts w:ascii="Times New Roman" w:hAnsi="Times New Roman"/>
        </w:rPr>
        <w:t>/CE ou des normes équivalentes. Toutefois, la Commission s’efforce de promouvoir des normes de bien-être animal au niveau mondial par l’intermédiaire des diverses activités présentées dans son rapport sur les conséquences des activités internationales en matière de bien-être des animaux sur la compétitivité des éleveurs européens à l’ère de la mondialisation</w:t>
      </w:r>
      <w:r>
        <w:rPr>
          <w:rStyle w:val="FootnoteReference"/>
          <w:rFonts w:ascii="Times New Roman" w:hAnsi="Times New Roman"/>
        </w:rPr>
        <w:footnoteReference w:id="10"/>
      </w:r>
      <w:r>
        <w:rPr>
          <w:rFonts w:ascii="Times New Roman" w:hAnsi="Times New Roman"/>
        </w:rPr>
        <w:t>. Ce rapport, qui se fonde sur une étude exhaustive, montre que l’Union européenne a largement contribué au processus d’établissement de normes de l’</w:t>
      </w:r>
      <w:r>
        <w:rPr>
          <w:rFonts w:ascii="Times New Roman" w:hAnsi="Times New Roman"/>
          <w:i/>
        </w:rPr>
        <w:t>Office international des épizooties</w:t>
      </w:r>
      <w:r>
        <w:rPr>
          <w:rFonts w:ascii="Times New Roman" w:hAnsi="Times New Roman"/>
        </w:rPr>
        <w:t xml:space="preserve"> (OIE) et a pris les devants en encourageant la participation active de plusieurs pays tiers. À ce jour, l’OIE a adopté </w:t>
      </w:r>
      <w:r w:rsidRPr="00517FE1">
        <w:rPr>
          <w:rFonts w:ascii="Times New Roman" w:hAnsi="Times New Roman"/>
        </w:rPr>
        <w:t>12</w:t>
      </w:r>
      <w:r>
        <w:rPr>
          <w:rFonts w:ascii="Times New Roman" w:hAnsi="Times New Roman"/>
        </w:rPr>
        <w:t xml:space="preserve"> normes internationales relatives au bien-être des animaux, notamment en ce qui concerne la production de poulets de chair. L’Union européenne dispose d’un système de contrôle rigoureux visant à garantir que tous les aliments, y compris la viande de volaille, qui entrent dans l’Union européenne répondent à toutes les normes pertinentes en matière de sécurité alimentaire et de santé des animaux et des végétaux. Les produits qui entrent dans l’Union européenne sont soumis à des contrôles documentaires, des contrôles d’identité et des contrôles physiques effectués à une fréquence </w:t>
      </w:r>
      <w:r>
        <w:rPr>
          <w:rFonts w:ascii="Times New Roman" w:hAnsi="Times New Roman"/>
        </w:rPr>
        <w:lastRenderedPageBreak/>
        <w:t>qui dépend du risque lié aux produits spécifiques. Les États membres sont responsables de la mise en œuvre des plans de surveillance des résidus, notamment de la surveillance des importations, et les contrôles peuvent être renforcés si les résultats s’avèrent positifs. Les contrôles peuvent également être renforcés en cas de problèmes de sécurité des aliments dans le pays d’origine. En outre, des mesures peuvent être prises pour restreindre ou interrompre les importations de produits s’il existe des préoccupations concernant le contrôle de sécurité des aliments dans un pays d’origine. La Commission procède régulièrement à des audits des systèmes de contrôle officiels en place dans les pays tiers afin de garantir la sécurité des aliments exportés vers l’Union européenne.</w:t>
      </w:r>
    </w:p>
    <w:p w:rsidR="004D7E1C" w:rsidRPr="00C8644F" w:rsidRDefault="004D7E1C" w:rsidP="004D7E1C">
      <w:pPr>
        <w:rPr>
          <w:rFonts w:ascii="Times New Roman" w:hAnsi="Times New Roman"/>
          <w:szCs w:val="24"/>
        </w:rPr>
      </w:pPr>
      <w:r>
        <w:rPr>
          <w:rFonts w:ascii="Times New Roman" w:hAnsi="Times New Roman"/>
        </w:rPr>
        <w:t xml:space="preserve">En ce qui concerne les </w:t>
      </w:r>
      <w:r>
        <w:rPr>
          <w:rFonts w:ascii="Times New Roman" w:hAnsi="Times New Roman"/>
          <w:b/>
        </w:rPr>
        <w:t>paragraphes </w:t>
      </w:r>
      <w:r w:rsidRPr="00517FE1">
        <w:rPr>
          <w:rFonts w:ascii="Times New Roman" w:hAnsi="Times New Roman"/>
          <w:b/>
        </w:rPr>
        <w:t>17</w:t>
      </w:r>
      <w:r>
        <w:rPr>
          <w:rFonts w:ascii="Times New Roman" w:hAnsi="Times New Roman"/>
          <w:b/>
        </w:rPr>
        <w:t xml:space="preserve"> et </w:t>
      </w:r>
      <w:r w:rsidRPr="00517FE1">
        <w:rPr>
          <w:rFonts w:ascii="Times New Roman" w:hAnsi="Times New Roman"/>
          <w:b/>
        </w:rPr>
        <w:t>18</w:t>
      </w:r>
      <w:r>
        <w:rPr>
          <w:rFonts w:ascii="Times New Roman" w:hAnsi="Times New Roman"/>
        </w:rPr>
        <w:t xml:space="preserve">, la Commission a examiné à plusieurs reprises la possibilité d’étiqueter les méthodes de production des produits d’origine animale. L’extension de l’étiquetage obligatoire à des produits autres que les œufs présente certaines difficultés, qui ont été mises en évidence dans le rapport d’analyse d’impact de la stratégie de l’Union européenne pour le bien-être des animaux pour la période </w:t>
      </w:r>
      <w:r w:rsidRPr="00517FE1">
        <w:rPr>
          <w:rFonts w:ascii="Times New Roman" w:hAnsi="Times New Roman"/>
        </w:rPr>
        <w:t>2012</w:t>
      </w:r>
      <w:r>
        <w:rPr>
          <w:rFonts w:ascii="Times New Roman" w:hAnsi="Times New Roman"/>
        </w:rPr>
        <w:t>-</w:t>
      </w:r>
      <w:r w:rsidRPr="00517FE1">
        <w:rPr>
          <w:rFonts w:ascii="Times New Roman" w:hAnsi="Times New Roman"/>
        </w:rPr>
        <w:t>2015</w:t>
      </w:r>
      <w:r>
        <w:rPr>
          <w:rFonts w:ascii="Times New Roman" w:hAnsi="Times New Roman"/>
          <w:vertAlign w:val="superscript"/>
        </w:rPr>
        <w:footnoteReference w:id="11"/>
      </w:r>
      <w:r>
        <w:rPr>
          <w:rFonts w:ascii="Times New Roman" w:hAnsi="Times New Roman"/>
        </w:rPr>
        <w:t>. Pour l’heure, la Commission n’a aucun projet à cet égard.</w:t>
      </w:r>
    </w:p>
    <w:p w:rsidR="004D7E1C" w:rsidRPr="00C8644F" w:rsidRDefault="004D7E1C" w:rsidP="004D7E1C">
      <w:pPr>
        <w:spacing w:after="120"/>
        <w:rPr>
          <w:rFonts w:ascii="Times New Roman" w:hAnsi="Times New Roman"/>
          <w:szCs w:val="24"/>
        </w:rPr>
      </w:pPr>
      <w:r>
        <w:rPr>
          <w:rFonts w:ascii="Times New Roman" w:hAnsi="Times New Roman"/>
        </w:rPr>
        <w:t>Toutefois, conformément à l’article </w:t>
      </w:r>
      <w:r w:rsidRPr="00517FE1">
        <w:rPr>
          <w:rFonts w:ascii="Times New Roman" w:hAnsi="Times New Roman"/>
        </w:rPr>
        <w:t>11</w:t>
      </w:r>
      <w:r>
        <w:rPr>
          <w:rFonts w:ascii="Times New Roman" w:hAnsi="Times New Roman"/>
        </w:rPr>
        <w:t>, paragraphe </w:t>
      </w:r>
      <w:r w:rsidRPr="00517FE1">
        <w:rPr>
          <w:rFonts w:ascii="Times New Roman" w:hAnsi="Times New Roman"/>
        </w:rPr>
        <w:t>1</w:t>
      </w:r>
      <w:r>
        <w:rPr>
          <w:rFonts w:ascii="Times New Roman" w:hAnsi="Times New Roman"/>
        </w:rPr>
        <w:t>, du règlement (CE) nº </w:t>
      </w:r>
      <w:r w:rsidRPr="00517FE1">
        <w:rPr>
          <w:rFonts w:ascii="Times New Roman" w:hAnsi="Times New Roman"/>
        </w:rPr>
        <w:t>543</w:t>
      </w:r>
      <w:r>
        <w:rPr>
          <w:rFonts w:ascii="Times New Roman" w:hAnsi="Times New Roman"/>
        </w:rPr>
        <w:t>/</w:t>
      </w:r>
      <w:r w:rsidRPr="00517FE1">
        <w:rPr>
          <w:rFonts w:ascii="Times New Roman" w:hAnsi="Times New Roman"/>
        </w:rPr>
        <w:t>2008</w:t>
      </w:r>
      <w:r>
        <w:rPr>
          <w:rFonts w:ascii="Times New Roman" w:hAnsi="Times New Roman"/>
        </w:rPr>
        <w:t xml:space="preserve"> sur les normes de commercialisation pour la viande de volaille</w:t>
      </w:r>
      <w:r>
        <w:rPr>
          <w:rFonts w:ascii="Times New Roman" w:hAnsi="Times New Roman"/>
          <w:vertAlign w:val="superscript"/>
        </w:rPr>
        <w:footnoteReference w:id="12"/>
      </w:r>
      <w:r>
        <w:rPr>
          <w:rFonts w:ascii="Times New Roman" w:hAnsi="Times New Roman"/>
        </w:rPr>
        <w:t>, quatre expressions réservées facultatives peuvent apparaître sur l’étiquetage de la viande de volailles élevées selon certains modes de production respectueux du bien-être (élevé à l’intérieur – système extensif, sortant à l’extérieur, fermier – élevé en plein air, fermier – élevé en liberté).</w:t>
      </w:r>
    </w:p>
    <w:p w:rsidR="004D7E1C" w:rsidRPr="00C8644F" w:rsidRDefault="004D7E1C" w:rsidP="004D7E1C">
      <w:pPr>
        <w:spacing w:after="120"/>
        <w:rPr>
          <w:rFonts w:ascii="Times New Roman" w:hAnsi="Times New Roman"/>
          <w:szCs w:val="24"/>
        </w:rPr>
      </w:pPr>
      <w:r>
        <w:rPr>
          <w:rFonts w:ascii="Times New Roman" w:hAnsi="Times New Roman"/>
        </w:rPr>
        <w:t>En outre, le règlement (UE) nº </w:t>
      </w:r>
      <w:r w:rsidRPr="00517FE1">
        <w:rPr>
          <w:rFonts w:ascii="Times New Roman" w:hAnsi="Times New Roman"/>
        </w:rPr>
        <w:t>1151</w:t>
      </w:r>
      <w:r>
        <w:rPr>
          <w:rFonts w:ascii="Times New Roman" w:hAnsi="Times New Roman"/>
        </w:rPr>
        <w:t>/</w:t>
      </w:r>
      <w:r w:rsidRPr="00517FE1">
        <w:rPr>
          <w:rFonts w:ascii="Times New Roman" w:hAnsi="Times New Roman"/>
        </w:rPr>
        <w:t>2012</w:t>
      </w:r>
      <w:r>
        <w:rPr>
          <w:rFonts w:ascii="Times New Roman" w:hAnsi="Times New Roman"/>
        </w:rPr>
        <w:t xml:space="preserve"> relatif aux systèmes de qualité applicables aux produits agricoles et aux denrées alimentaires</w:t>
      </w:r>
      <w:r>
        <w:rPr>
          <w:rFonts w:ascii="Times New Roman" w:hAnsi="Times New Roman"/>
          <w:vertAlign w:val="superscript"/>
        </w:rPr>
        <w:footnoteReference w:id="13"/>
      </w:r>
      <w:r>
        <w:rPr>
          <w:rFonts w:ascii="Times New Roman" w:hAnsi="Times New Roman"/>
        </w:rPr>
        <w:t xml:space="preserve"> établit un cadre dans lequel les producteurs peuvent communiquer aux consommateurs les caractéristiques des produits ainsi que leurs propriétés de production. De surcroît, divers systèmes d’étiquetage volontaires ont été mis en place afin de fournir des informations sur les modes d’élevage auxquels sont soumis les animaux.</w:t>
      </w:r>
    </w:p>
    <w:p w:rsidR="00680EFD" w:rsidRDefault="004D7E1C" w:rsidP="004D7E1C">
      <w:r>
        <w:rPr>
          <w:rFonts w:ascii="Times New Roman" w:hAnsi="Times New Roman"/>
        </w:rPr>
        <w:t>Conformément au règlement (UE) nº </w:t>
      </w:r>
      <w:r w:rsidRPr="00517FE1">
        <w:rPr>
          <w:rFonts w:ascii="Times New Roman" w:hAnsi="Times New Roman"/>
        </w:rPr>
        <w:t>1169</w:t>
      </w:r>
      <w:r>
        <w:rPr>
          <w:rFonts w:ascii="Times New Roman" w:hAnsi="Times New Roman"/>
        </w:rPr>
        <w:t>/</w:t>
      </w:r>
      <w:r w:rsidRPr="00517FE1">
        <w:rPr>
          <w:rFonts w:ascii="Times New Roman" w:hAnsi="Times New Roman"/>
        </w:rPr>
        <w:t>2011</w:t>
      </w:r>
      <w:r>
        <w:rPr>
          <w:rFonts w:ascii="Times New Roman" w:hAnsi="Times New Roman"/>
        </w:rPr>
        <w:t xml:space="preserve"> concernant l’information des consommateurs sur les denrées alimentaires</w:t>
      </w:r>
      <w:r>
        <w:rPr>
          <w:rFonts w:ascii="Times New Roman" w:hAnsi="Times New Roman"/>
          <w:vertAlign w:val="superscript"/>
        </w:rPr>
        <w:footnoteReference w:id="14"/>
      </w:r>
      <w:r>
        <w:rPr>
          <w:rFonts w:ascii="Times New Roman" w:hAnsi="Times New Roman"/>
        </w:rPr>
        <w:t>, les informations fournies à titre volontaire ne doivent pas induire les consommateurs en erreur; elles ne doivent pas être ambiguës ou déroutantes pour les consommateurs; et elles doivent se fonder, le cas échéant, sur les données scientifiques pertinentes. Ces dispositions s’appliquent aux informations concernant les modes d’élevage et de production animale fournies à titre volontaire.</w:t>
      </w:r>
    </w:p>
    <w:sectPr w:rsidR="00680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1C" w:rsidRDefault="004D7E1C" w:rsidP="004D7E1C">
      <w:pPr>
        <w:spacing w:after="0"/>
      </w:pPr>
      <w:r>
        <w:separator/>
      </w:r>
    </w:p>
  </w:endnote>
  <w:endnote w:type="continuationSeparator" w:id="0">
    <w:p w:rsidR="004D7E1C" w:rsidRDefault="004D7E1C" w:rsidP="004D7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1C" w:rsidRDefault="004D7E1C" w:rsidP="004D7E1C">
      <w:pPr>
        <w:spacing w:after="0"/>
      </w:pPr>
      <w:r>
        <w:separator/>
      </w:r>
    </w:p>
  </w:footnote>
  <w:footnote w:type="continuationSeparator" w:id="0">
    <w:p w:rsidR="004D7E1C" w:rsidRDefault="004D7E1C" w:rsidP="004D7E1C">
      <w:pPr>
        <w:spacing w:after="0"/>
      </w:pPr>
      <w:r>
        <w:continuationSeparator/>
      </w:r>
    </w:p>
  </w:footnote>
  <w:footnote w:id="1">
    <w:p w:rsidR="004D7E1C" w:rsidRPr="00796479" w:rsidRDefault="004D7E1C" w:rsidP="004D7E1C">
      <w:pPr>
        <w:pStyle w:val="FootnoteText"/>
        <w:spacing w:after="0"/>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Directive </w:t>
      </w:r>
      <w:r w:rsidRPr="00517FE1">
        <w:rPr>
          <w:rFonts w:ascii="Times New Roman" w:hAnsi="Times New Roman"/>
        </w:rPr>
        <w:t>2007</w:t>
      </w:r>
      <w:r>
        <w:rPr>
          <w:rFonts w:ascii="Times New Roman" w:hAnsi="Times New Roman"/>
        </w:rPr>
        <w:t>/</w:t>
      </w:r>
      <w:r w:rsidRPr="00517FE1">
        <w:rPr>
          <w:rFonts w:ascii="Times New Roman" w:hAnsi="Times New Roman"/>
        </w:rPr>
        <w:t>43</w:t>
      </w:r>
      <w:r>
        <w:rPr>
          <w:rFonts w:ascii="Times New Roman" w:hAnsi="Times New Roman"/>
        </w:rPr>
        <w:t xml:space="preserve">/CE du Conseil du </w:t>
      </w:r>
      <w:r w:rsidRPr="00517FE1">
        <w:rPr>
          <w:rFonts w:ascii="Times New Roman" w:hAnsi="Times New Roman"/>
        </w:rPr>
        <w:t>28</w:t>
      </w:r>
      <w:r>
        <w:rPr>
          <w:rFonts w:ascii="Times New Roman" w:hAnsi="Times New Roman"/>
        </w:rPr>
        <w:t> juin </w:t>
      </w:r>
      <w:r w:rsidRPr="00517FE1">
        <w:rPr>
          <w:rFonts w:ascii="Times New Roman" w:hAnsi="Times New Roman"/>
        </w:rPr>
        <w:t>2007</w:t>
      </w:r>
      <w:r>
        <w:rPr>
          <w:rFonts w:ascii="Times New Roman" w:hAnsi="Times New Roman"/>
        </w:rPr>
        <w:t xml:space="preserve"> fixant des règles minimales relatives à la protection des poulets destinés à la production de viande.</w:t>
      </w:r>
    </w:p>
  </w:footnote>
  <w:footnote w:id="2">
    <w:p w:rsidR="004D7E1C" w:rsidRPr="00796479" w:rsidRDefault="004D7E1C" w:rsidP="004D7E1C">
      <w:pPr>
        <w:pStyle w:val="FootnoteText"/>
        <w:spacing w:after="0"/>
        <w:ind w:left="284" w:hanging="284"/>
      </w:pPr>
      <w:r>
        <w:rPr>
          <w:rStyle w:val="FootnoteReference"/>
          <w:rFonts w:ascii="Times New Roman" w:hAnsi="Times New Roman"/>
        </w:rPr>
        <w:footnoteRef/>
      </w:r>
      <w:r>
        <w:rPr>
          <w:rFonts w:ascii="Times New Roman" w:hAnsi="Times New Roman"/>
        </w:rPr>
        <w:t xml:space="preserve"> </w:t>
      </w:r>
      <w:r>
        <w:tab/>
      </w:r>
      <w:proofErr w:type="gramStart"/>
      <w:r>
        <w:rPr>
          <w:rFonts w:ascii="Times New Roman" w:hAnsi="Times New Roman"/>
        </w:rPr>
        <w:t>COM(</w:t>
      </w:r>
      <w:proofErr w:type="gramEnd"/>
      <w:r w:rsidRPr="00517FE1">
        <w:rPr>
          <w:rFonts w:ascii="Times New Roman" w:hAnsi="Times New Roman"/>
        </w:rPr>
        <w:t>2018</w:t>
      </w:r>
      <w:r>
        <w:rPr>
          <w:rFonts w:ascii="Times New Roman" w:hAnsi="Times New Roman"/>
        </w:rPr>
        <w:t>) </w:t>
      </w:r>
      <w:r w:rsidRPr="00517FE1">
        <w:rPr>
          <w:rFonts w:ascii="Times New Roman" w:hAnsi="Times New Roman"/>
        </w:rPr>
        <w:t>0181</w:t>
      </w:r>
      <w:r>
        <w:rPr>
          <w:rFonts w:ascii="Times New Roman" w:hAnsi="Times New Roman"/>
        </w:rPr>
        <w:t xml:space="preserve"> final.</w:t>
      </w:r>
    </w:p>
  </w:footnote>
  <w:footnote w:id="3">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 xml:space="preserve">Rapport de la DG SANTE </w:t>
      </w:r>
      <w:r w:rsidRPr="00517FE1">
        <w:rPr>
          <w:color w:val="auto"/>
          <w:sz w:val="20"/>
        </w:rPr>
        <w:t>2016</w:t>
      </w:r>
      <w:r>
        <w:rPr>
          <w:color w:val="auto"/>
          <w:sz w:val="20"/>
        </w:rPr>
        <w:t>-</w:t>
      </w:r>
      <w:r w:rsidRPr="00517FE1">
        <w:rPr>
          <w:color w:val="auto"/>
          <w:sz w:val="20"/>
        </w:rPr>
        <w:t>899</w:t>
      </w:r>
      <w:r>
        <w:rPr>
          <w:color w:val="auto"/>
          <w:sz w:val="20"/>
        </w:rPr>
        <w:t>.</w:t>
      </w:r>
    </w:p>
  </w:footnote>
  <w:footnote w:id="4">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 xml:space="preserve">Directive </w:t>
      </w:r>
      <w:r w:rsidRPr="00517FE1">
        <w:rPr>
          <w:color w:val="auto"/>
          <w:sz w:val="20"/>
        </w:rPr>
        <w:t>98</w:t>
      </w:r>
      <w:r>
        <w:rPr>
          <w:color w:val="auto"/>
          <w:sz w:val="20"/>
        </w:rPr>
        <w:t>/</w:t>
      </w:r>
      <w:r w:rsidRPr="00517FE1">
        <w:rPr>
          <w:color w:val="auto"/>
          <w:sz w:val="20"/>
        </w:rPr>
        <w:t>58</w:t>
      </w:r>
      <w:r>
        <w:rPr>
          <w:color w:val="auto"/>
          <w:sz w:val="20"/>
        </w:rPr>
        <w:t xml:space="preserve">/CE du Conseil du </w:t>
      </w:r>
      <w:r w:rsidRPr="00517FE1">
        <w:rPr>
          <w:color w:val="auto"/>
          <w:sz w:val="20"/>
        </w:rPr>
        <w:t>20</w:t>
      </w:r>
      <w:r>
        <w:rPr>
          <w:color w:val="auto"/>
          <w:sz w:val="20"/>
        </w:rPr>
        <w:t> juillet </w:t>
      </w:r>
      <w:r w:rsidRPr="00517FE1">
        <w:rPr>
          <w:color w:val="auto"/>
          <w:sz w:val="20"/>
        </w:rPr>
        <w:t>1998</w:t>
      </w:r>
      <w:r>
        <w:rPr>
          <w:color w:val="auto"/>
          <w:sz w:val="20"/>
        </w:rPr>
        <w:t xml:space="preserve"> concernant la protection des animaux dans les élevages (JO L </w:t>
      </w:r>
      <w:r w:rsidRPr="00517FE1">
        <w:rPr>
          <w:color w:val="auto"/>
          <w:sz w:val="20"/>
        </w:rPr>
        <w:t>221</w:t>
      </w:r>
      <w:r>
        <w:rPr>
          <w:color w:val="auto"/>
          <w:sz w:val="20"/>
        </w:rPr>
        <w:t xml:space="preserve"> du </w:t>
      </w:r>
      <w:r w:rsidRPr="00517FE1">
        <w:rPr>
          <w:color w:val="auto"/>
          <w:sz w:val="20"/>
        </w:rPr>
        <w:t>8</w:t>
      </w:r>
      <w:r>
        <w:rPr>
          <w:color w:val="auto"/>
          <w:sz w:val="20"/>
        </w:rPr>
        <w:t>.</w:t>
      </w:r>
      <w:r w:rsidRPr="00517FE1">
        <w:rPr>
          <w:color w:val="auto"/>
          <w:sz w:val="20"/>
        </w:rPr>
        <w:t>8</w:t>
      </w:r>
      <w:r>
        <w:rPr>
          <w:color w:val="auto"/>
          <w:sz w:val="20"/>
        </w:rPr>
        <w:t>.</w:t>
      </w:r>
      <w:r w:rsidRPr="00517FE1">
        <w:rPr>
          <w:color w:val="auto"/>
          <w:sz w:val="20"/>
        </w:rPr>
        <w:t>1998</w:t>
      </w:r>
      <w:r>
        <w:rPr>
          <w:color w:val="auto"/>
          <w:sz w:val="20"/>
        </w:rPr>
        <w:t>, p. </w:t>
      </w:r>
      <w:r w:rsidRPr="00517FE1">
        <w:rPr>
          <w:color w:val="auto"/>
          <w:sz w:val="20"/>
        </w:rPr>
        <w:t>23</w:t>
      </w:r>
      <w:r>
        <w:rPr>
          <w:color w:val="auto"/>
          <w:sz w:val="20"/>
        </w:rPr>
        <w:t>).</w:t>
      </w:r>
    </w:p>
  </w:footnote>
  <w:footnote w:id="5">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 xml:space="preserve">Recommandation concernant les poules domestiques (Gallus </w:t>
      </w:r>
      <w:proofErr w:type="spellStart"/>
      <w:r>
        <w:rPr>
          <w:color w:val="auto"/>
          <w:sz w:val="20"/>
        </w:rPr>
        <w:t>gallus</w:t>
      </w:r>
      <w:proofErr w:type="spellEnd"/>
      <w:r>
        <w:rPr>
          <w:color w:val="auto"/>
          <w:sz w:val="20"/>
        </w:rPr>
        <w:t xml:space="preserve">) adoptée par le Comité permanent lors de sa </w:t>
      </w:r>
      <w:r w:rsidRPr="00517FE1">
        <w:rPr>
          <w:color w:val="auto"/>
          <w:sz w:val="20"/>
        </w:rPr>
        <w:t>30</w:t>
      </w:r>
      <w:r>
        <w:rPr>
          <w:color w:val="auto"/>
          <w:sz w:val="20"/>
          <w:vertAlign w:val="superscript"/>
        </w:rPr>
        <w:t>e</w:t>
      </w:r>
      <w:r>
        <w:rPr>
          <w:color w:val="auto"/>
          <w:sz w:val="20"/>
        </w:rPr>
        <w:t xml:space="preserve"> réunion le </w:t>
      </w:r>
      <w:r w:rsidRPr="00517FE1">
        <w:rPr>
          <w:color w:val="auto"/>
          <w:sz w:val="20"/>
        </w:rPr>
        <w:t>28</w:t>
      </w:r>
      <w:r>
        <w:rPr>
          <w:color w:val="auto"/>
          <w:sz w:val="20"/>
        </w:rPr>
        <w:t> novembre </w:t>
      </w:r>
      <w:r w:rsidRPr="00517FE1">
        <w:rPr>
          <w:color w:val="auto"/>
          <w:sz w:val="20"/>
        </w:rPr>
        <w:t>1995</w:t>
      </w:r>
      <w:r>
        <w:rPr>
          <w:color w:val="auto"/>
          <w:sz w:val="20"/>
        </w:rPr>
        <w:t>.</w:t>
      </w:r>
    </w:p>
  </w:footnote>
  <w:footnote w:id="6">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Comité permanent de la Convention européenne sur la protection des animaux dans les élevages STE nº </w:t>
      </w:r>
      <w:r w:rsidRPr="00517FE1">
        <w:rPr>
          <w:color w:val="auto"/>
          <w:sz w:val="20"/>
        </w:rPr>
        <w:t>087</w:t>
      </w:r>
      <w:r>
        <w:rPr>
          <w:color w:val="auto"/>
          <w:sz w:val="20"/>
        </w:rPr>
        <w:t xml:space="preserve"> et Protocole d’amendement à la Convention européenne sur la protection des animaux dans les élevages STE nº </w:t>
      </w:r>
      <w:r w:rsidRPr="00517FE1">
        <w:rPr>
          <w:color w:val="auto"/>
          <w:sz w:val="20"/>
        </w:rPr>
        <w:t>145</w:t>
      </w:r>
      <w:r>
        <w:rPr>
          <w:color w:val="auto"/>
          <w:sz w:val="20"/>
        </w:rPr>
        <w:t>.</w:t>
      </w:r>
    </w:p>
  </w:footnote>
  <w:footnote w:id="7">
    <w:p w:rsidR="004D7E1C" w:rsidRPr="00796479" w:rsidRDefault="004D7E1C" w:rsidP="004D7E1C">
      <w:pPr>
        <w:pStyle w:val="Default"/>
        <w:ind w:left="284" w:hanging="284"/>
        <w:jc w:val="both"/>
      </w:pPr>
      <w:r>
        <w:rPr>
          <w:color w:val="auto"/>
          <w:sz w:val="20"/>
        </w:rPr>
        <w:footnoteRef/>
      </w:r>
      <w:r>
        <w:rPr>
          <w:color w:val="auto"/>
          <w:sz w:val="20"/>
        </w:rPr>
        <w:t xml:space="preserve"> </w:t>
      </w:r>
      <w:r>
        <w:tab/>
      </w:r>
      <w:r>
        <w:rPr>
          <w:color w:val="auto"/>
          <w:sz w:val="20"/>
        </w:rPr>
        <w:t xml:space="preserve">Décision d’exécution de la Commission du </w:t>
      </w:r>
      <w:r w:rsidRPr="00517FE1">
        <w:rPr>
          <w:color w:val="auto"/>
          <w:sz w:val="20"/>
        </w:rPr>
        <w:t>12</w:t>
      </w:r>
      <w:r>
        <w:rPr>
          <w:color w:val="auto"/>
          <w:sz w:val="20"/>
        </w:rPr>
        <w:t> novembre </w:t>
      </w:r>
      <w:r w:rsidRPr="00517FE1">
        <w:rPr>
          <w:color w:val="auto"/>
          <w:sz w:val="20"/>
        </w:rPr>
        <w:t>2013</w:t>
      </w:r>
      <w:r>
        <w:rPr>
          <w:color w:val="auto"/>
          <w:sz w:val="20"/>
        </w:rPr>
        <w:t xml:space="preserve"> concernant la surveillance et la présentation de rapports relatifs à la résistance aux antimicrobiens chez les bactéries zoonotiques et commensales.</w:t>
      </w:r>
    </w:p>
  </w:footnote>
  <w:footnote w:id="8">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Règlement (CE) nº </w:t>
      </w:r>
      <w:r w:rsidRPr="00517FE1">
        <w:rPr>
          <w:color w:val="auto"/>
          <w:sz w:val="20"/>
        </w:rPr>
        <w:t>2160</w:t>
      </w:r>
      <w:r>
        <w:rPr>
          <w:color w:val="auto"/>
          <w:sz w:val="20"/>
        </w:rPr>
        <w:t>/</w:t>
      </w:r>
      <w:r w:rsidRPr="00517FE1">
        <w:rPr>
          <w:color w:val="auto"/>
          <w:sz w:val="20"/>
        </w:rPr>
        <w:t>2003</w:t>
      </w:r>
      <w:r>
        <w:rPr>
          <w:color w:val="auto"/>
          <w:sz w:val="20"/>
        </w:rPr>
        <w:t xml:space="preserve"> du Parlement européen et du Conseil du </w:t>
      </w:r>
      <w:r w:rsidRPr="00517FE1">
        <w:rPr>
          <w:color w:val="auto"/>
          <w:sz w:val="20"/>
        </w:rPr>
        <w:t>17</w:t>
      </w:r>
      <w:r>
        <w:rPr>
          <w:color w:val="auto"/>
          <w:sz w:val="20"/>
        </w:rPr>
        <w:t> novembre </w:t>
      </w:r>
      <w:r w:rsidRPr="00517FE1">
        <w:rPr>
          <w:color w:val="auto"/>
          <w:sz w:val="20"/>
        </w:rPr>
        <w:t>2003</w:t>
      </w:r>
      <w:r>
        <w:rPr>
          <w:color w:val="auto"/>
          <w:sz w:val="20"/>
        </w:rPr>
        <w:t xml:space="preserve"> sur le contrôle des salmonelles et d’autres agents zoonotiques spécifiques présents dans la chaîne alimentaire.</w:t>
      </w:r>
    </w:p>
  </w:footnote>
  <w:footnote w:id="9">
    <w:p w:rsidR="004D7E1C" w:rsidRPr="00796479" w:rsidRDefault="004D7E1C" w:rsidP="004D7E1C">
      <w:pPr>
        <w:pStyle w:val="Default"/>
        <w:ind w:left="284" w:hanging="284"/>
        <w:jc w:val="both"/>
      </w:pPr>
      <w:r>
        <w:rPr>
          <w:color w:val="auto"/>
          <w:sz w:val="20"/>
        </w:rPr>
        <w:footnoteRef/>
      </w:r>
      <w:r>
        <w:rPr>
          <w:color w:val="auto"/>
          <w:sz w:val="20"/>
        </w:rPr>
        <w:t xml:space="preserve"> </w:t>
      </w:r>
      <w:r>
        <w:tab/>
      </w:r>
      <w:r>
        <w:rPr>
          <w:color w:val="auto"/>
          <w:sz w:val="20"/>
        </w:rPr>
        <w:t>DG(SANTE) </w:t>
      </w:r>
      <w:r w:rsidRPr="00517FE1">
        <w:rPr>
          <w:color w:val="auto"/>
          <w:sz w:val="20"/>
        </w:rPr>
        <w:t>2017</w:t>
      </w:r>
      <w:r>
        <w:rPr>
          <w:color w:val="auto"/>
          <w:sz w:val="20"/>
        </w:rPr>
        <w:t>-</w:t>
      </w:r>
      <w:r w:rsidRPr="00517FE1">
        <w:rPr>
          <w:color w:val="auto"/>
          <w:sz w:val="20"/>
        </w:rPr>
        <w:t>6260</w:t>
      </w:r>
      <w:r>
        <w:rPr>
          <w:color w:val="auto"/>
          <w:sz w:val="20"/>
        </w:rPr>
        <w:t>.</w:t>
      </w:r>
    </w:p>
  </w:footnote>
  <w:footnote w:id="10">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proofErr w:type="gramStart"/>
      <w:r>
        <w:rPr>
          <w:color w:val="auto"/>
          <w:sz w:val="20"/>
        </w:rPr>
        <w:t>COM(</w:t>
      </w:r>
      <w:proofErr w:type="gramEnd"/>
      <w:r w:rsidRPr="00517FE1">
        <w:rPr>
          <w:color w:val="auto"/>
          <w:sz w:val="20"/>
        </w:rPr>
        <w:t>2018</w:t>
      </w:r>
      <w:r>
        <w:rPr>
          <w:color w:val="auto"/>
          <w:sz w:val="20"/>
        </w:rPr>
        <w:t>) </w:t>
      </w:r>
      <w:r w:rsidRPr="00517FE1">
        <w:rPr>
          <w:color w:val="auto"/>
          <w:sz w:val="20"/>
        </w:rPr>
        <w:t>42</w:t>
      </w:r>
      <w:r>
        <w:rPr>
          <w:color w:val="auto"/>
          <w:sz w:val="20"/>
        </w:rPr>
        <w:t xml:space="preserve"> final.</w:t>
      </w:r>
    </w:p>
  </w:footnote>
  <w:footnote w:id="11">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Annexe </w:t>
      </w:r>
      <w:r w:rsidRPr="00517FE1">
        <w:rPr>
          <w:color w:val="auto"/>
          <w:sz w:val="20"/>
        </w:rPr>
        <w:t>5</w:t>
      </w:r>
      <w:r>
        <w:rPr>
          <w:color w:val="auto"/>
          <w:sz w:val="20"/>
        </w:rPr>
        <w:t xml:space="preserve">D du document de travail des services de la Commission </w:t>
      </w:r>
      <w:proofErr w:type="gramStart"/>
      <w:r>
        <w:rPr>
          <w:color w:val="auto"/>
          <w:sz w:val="20"/>
        </w:rPr>
        <w:t>SEC(</w:t>
      </w:r>
      <w:proofErr w:type="gramEnd"/>
      <w:r w:rsidRPr="00517FE1">
        <w:rPr>
          <w:color w:val="auto"/>
          <w:sz w:val="20"/>
        </w:rPr>
        <w:t>2012</w:t>
      </w:r>
      <w:r>
        <w:rPr>
          <w:color w:val="auto"/>
          <w:sz w:val="20"/>
        </w:rPr>
        <w:t>) </w:t>
      </w:r>
      <w:r w:rsidRPr="00517FE1">
        <w:rPr>
          <w:color w:val="auto"/>
          <w:sz w:val="20"/>
        </w:rPr>
        <w:t>55</w:t>
      </w:r>
      <w:r>
        <w:rPr>
          <w:color w:val="auto"/>
          <w:sz w:val="20"/>
        </w:rPr>
        <w:t> final.</w:t>
      </w:r>
    </w:p>
  </w:footnote>
  <w:footnote w:id="12">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Règlement (CE) nº </w:t>
      </w:r>
      <w:r w:rsidRPr="00517FE1">
        <w:rPr>
          <w:color w:val="auto"/>
          <w:sz w:val="20"/>
        </w:rPr>
        <w:t>543</w:t>
      </w:r>
      <w:r>
        <w:rPr>
          <w:color w:val="auto"/>
          <w:sz w:val="20"/>
        </w:rPr>
        <w:t>/</w:t>
      </w:r>
      <w:r w:rsidRPr="00517FE1">
        <w:rPr>
          <w:color w:val="auto"/>
          <w:sz w:val="20"/>
        </w:rPr>
        <w:t>2008</w:t>
      </w:r>
      <w:r>
        <w:rPr>
          <w:color w:val="auto"/>
          <w:sz w:val="20"/>
        </w:rPr>
        <w:t xml:space="preserve"> de la Commission du </w:t>
      </w:r>
      <w:r w:rsidRPr="00517FE1">
        <w:rPr>
          <w:color w:val="auto"/>
          <w:sz w:val="20"/>
        </w:rPr>
        <w:t>16</w:t>
      </w:r>
      <w:r>
        <w:rPr>
          <w:color w:val="auto"/>
          <w:sz w:val="20"/>
        </w:rPr>
        <w:t xml:space="preserve"> juin </w:t>
      </w:r>
      <w:r w:rsidRPr="00517FE1">
        <w:rPr>
          <w:color w:val="auto"/>
          <w:sz w:val="20"/>
        </w:rPr>
        <w:t>2008</w:t>
      </w:r>
      <w:r>
        <w:rPr>
          <w:color w:val="auto"/>
          <w:sz w:val="20"/>
        </w:rPr>
        <w:t xml:space="preserve"> portant modalités d’application du règlement (CE) nº </w:t>
      </w:r>
      <w:r w:rsidRPr="00517FE1">
        <w:rPr>
          <w:color w:val="auto"/>
          <w:sz w:val="20"/>
        </w:rPr>
        <w:t>1234</w:t>
      </w:r>
      <w:r>
        <w:rPr>
          <w:color w:val="auto"/>
          <w:sz w:val="20"/>
        </w:rPr>
        <w:t>/</w:t>
      </w:r>
      <w:r w:rsidRPr="00517FE1">
        <w:rPr>
          <w:color w:val="auto"/>
          <w:sz w:val="20"/>
        </w:rPr>
        <w:t>2007</w:t>
      </w:r>
      <w:r>
        <w:rPr>
          <w:color w:val="auto"/>
          <w:sz w:val="20"/>
        </w:rPr>
        <w:t xml:space="preserve"> du Conseil en ce qui concerne les normes de commercialisation pour la viande de volaille (JO L </w:t>
      </w:r>
      <w:r w:rsidRPr="00517FE1">
        <w:rPr>
          <w:color w:val="auto"/>
          <w:sz w:val="20"/>
        </w:rPr>
        <w:t>157</w:t>
      </w:r>
      <w:r>
        <w:rPr>
          <w:color w:val="auto"/>
          <w:sz w:val="20"/>
        </w:rPr>
        <w:t xml:space="preserve"> du </w:t>
      </w:r>
      <w:r w:rsidRPr="00517FE1">
        <w:rPr>
          <w:color w:val="auto"/>
          <w:sz w:val="20"/>
        </w:rPr>
        <w:t>17</w:t>
      </w:r>
      <w:r>
        <w:rPr>
          <w:color w:val="auto"/>
          <w:sz w:val="20"/>
        </w:rPr>
        <w:t>.</w:t>
      </w:r>
      <w:r w:rsidRPr="00517FE1">
        <w:rPr>
          <w:color w:val="auto"/>
          <w:sz w:val="20"/>
        </w:rPr>
        <w:t>6</w:t>
      </w:r>
      <w:r>
        <w:rPr>
          <w:color w:val="auto"/>
          <w:sz w:val="20"/>
        </w:rPr>
        <w:t>.</w:t>
      </w:r>
      <w:r w:rsidRPr="00517FE1">
        <w:rPr>
          <w:color w:val="auto"/>
          <w:sz w:val="20"/>
        </w:rPr>
        <w:t>2008</w:t>
      </w:r>
      <w:r>
        <w:rPr>
          <w:color w:val="auto"/>
          <w:sz w:val="20"/>
        </w:rPr>
        <w:t>, p. </w:t>
      </w:r>
      <w:r w:rsidRPr="00517FE1">
        <w:rPr>
          <w:color w:val="auto"/>
          <w:sz w:val="20"/>
        </w:rPr>
        <w:t>46</w:t>
      </w:r>
      <w:r>
        <w:rPr>
          <w:color w:val="auto"/>
          <w:sz w:val="20"/>
        </w:rPr>
        <w:t xml:space="preserve">). </w:t>
      </w:r>
    </w:p>
  </w:footnote>
  <w:footnote w:id="13">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Règlement (UE) nº </w:t>
      </w:r>
      <w:r w:rsidRPr="00517FE1">
        <w:rPr>
          <w:color w:val="auto"/>
          <w:sz w:val="20"/>
        </w:rPr>
        <w:t>1151</w:t>
      </w:r>
      <w:r>
        <w:rPr>
          <w:color w:val="auto"/>
          <w:sz w:val="20"/>
        </w:rPr>
        <w:t>/</w:t>
      </w:r>
      <w:r w:rsidRPr="00517FE1">
        <w:rPr>
          <w:color w:val="auto"/>
          <w:sz w:val="20"/>
        </w:rPr>
        <w:t>2012</w:t>
      </w:r>
      <w:r>
        <w:rPr>
          <w:color w:val="auto"/>
          <w:sz w:val="20"/>
        </w:rPr>
        <w:t xml:space="preserve"> du Parlement européen et du Conseil du </w:t>
      </w:r>
      <w:r w:rsidRPr="00517FE1">
        <w:rPr>
          <w:color w:val="auto"/>
          <w:sz w:val="20"/>
        </w:rPr>
        <w:t>21</w:t>
      </w:r>
      <w:r>
        <w:rPr>
          <w:color w:val="auto"/>
          <w:sz w:val="20"/>
        </w:rPr>
        <w:t xml:space="preserve"> novembre </w:t>
      </w:r>
      <w:r w:rsidRPr="00517FE1">
        <w:rPr>
          <w:color w:val="auto"/>
          <w:sz w:val="20"/>
        </w:rPr>
        <w:t>2012</w:t>
      </w:r>
      <w:r>
        <w:rPr>
          <w:color w:val="auto"/>
          <w:sz w:val="20"/>
        </w:rPr>
        <w:t xml:space="preserve"> relatif aux systèmes de qualité applicables aux produits agricoles et aux denrées alimentaires (JO L </w:t>
      </w:r>
      <w:r w:rsidRPr="00517FE1">
        <w:rPr>
          <w:color w:val="auto"/>
          <w:sz w:val="20"/>
        </w:rPr>
        <w:t>343</w:t>
      </w:r>
      <w:r>
        <w:rPr>
          <w:color w:val="auto"/>
          <w:sz w:val="20"/>
        </w:rPr>
        <w:t xml:space="preserve"> du </w:t>
      </w:r>
      <w:r w:rsidRPr="00517FE1">
        <w:rPr>
          <w:color w:val="auto"/>
          <w:sz w:val="20"/>
        </w:rPr>
        <w:t>14</w:t>
      </w:r>
      <w:r>
        <w:rPr>
          <w:color w:val="auto"/>
          <w:sz w:val="20"/>
        </w:rPr>
        <w:t>.</w:t>
      </w:r>
      <w:r w:rsidRPr="00517FE1">
        <w:rPr>
          <w:color w:val="auto"/>
          <w:sz w:val="20"/>
        </w:rPr>
        <w:t>12</w:t>
      </w:r>
      <w:r>
        <w:rPr>
          <w:color w:val="auto"/>
          <w:sz w:val="20"/>
        </w:rPr>
        <w:t>.</w:t>
      </w:r>
      <w:r w:rsidRPr="00517FE1">
        <w:rPr>
          <w:color w:val="auto"/>
          <w:sz w:val="20"/>
        </w:rPr>
        <w:t>2012</w:t>
      </w:r>
      <w:r>
        <w:rPr>
          <w:color w:val="auto"/>
          <w:sz w:val="20"/>
        </w:rPr>
        <w:t>, p. </w:t>
      </w:r>
      <w:r w:rsidRPr="00517FE1">
        <w:rPr>
          <w:color w:val="auto"/>
          <w:sz w:val="20"/>
        </w:rPr>
        <w:t>1</w:t>
      </w:r>
      <w:r>
        <w:rPr>
          <w:color w:val="auto"/>
          <w:sz w:val="20"/>
        </w:rPr>
        <w:t>-</w:t>
      </w:r>
      <w:r w:rsidRPr="00517FE1">
        <w:rPr>
          <w:color w:val="auto"/>
          <w:sz w:val="20"/>
        </w:rPr>
        <w:t>29</w:t>
      </w:r>
      <w:r>
        <w:rPr>
          <w:color w:val="auto"/>
          <w:sz w:val="20"/>
        </w:rPr>
        <w:t>).</w:t>
      </w:r>
    </w:p>
  </w:footnote>
  <w:footnote w:id="14">
    <w:p w:rsidR="004D7E1C" w:rsidRPr="00796479" w:rsidRDefault="004D7E1C" w:rsidP="004D7E1C">
      <w:pPr>
        <w:pStyle w:val="Default"/>
        <w:ind w:left="284" w:hanging="284"/>
        <w:jc w:val="both"/>
        <w:rPr>
          <w:color w:val="auto"/>
          <w:sz w:val="20"/>
          <w:szCs w:val="20"/>
        </w:rPr>
      </w:pPr>
      <w:r>
        <w:rPr>
          <w:color w:val="auto"/>
          <w:sz w:val="20"/>
        </w:rPr>
        <w:footnoteRef/>
      </w:r>
      <w:r>
        <w:rPr>
          <w:color w:val="auto"/>
          <w:sz w:val="20"/>
        </w:rPr>
        <w:t xml:space="preserve"> </w:t>
      </w:r>
      <w:r>
        <w:tab/>
      </w:r>
      <w:r>
        <w:rPr>
          <w:color w:val="auto"/>
          <w:sz w:val="20"/>
        </w:rPr>
        <w:t>Règlement (UE) nº </w:t>
      </w:r>
      <w:r w:rsidRPr="00517FE1">
        <w:rPr>
          <w:color w:val="auto"/>
          <w:sz w:val="20"/>
        </w:rPr>
        <w:t>1169</w:t>
      </w:r>
      <w:r>
        <w:rPr>
          <w:color w:val="auto"/>
          <w:sz w:val="20"/>
        </w:rPr>
        <w:t>/</w:t>
      </w:r>
      <w:r w:rsidRPr="00517FE1">
        <w:rPr>
          <w:color w:val="auto"/>
          <w:sz w:val="20"/>
        </w:rPr>
        <w:t>2011</w:t>
      </w:r>
      <w:r>
        <w:rPr>
          <w:color w:val="auto"/>
          <w:sz w:val="20"/>
        </w:rPr>
        <w:t xml:space="preserve"> du Parlement européen et du Conseil du </w:t>
      </w:r>
      <w:r w:rsidRPr="00517FE1">
        <w:rPr>
          <w:color w:val="auto"/>
          <w:sz w:val="20"/>
        </w:rPr>
        <w:t>25</w:t>
      </w:r>
      <w:r>
        <w:rPr>
          <w:color w:val="auto"/>
          <w:sz w:val="20"/>
        </w:rPr>
        <w:t xml:space="preserve"> octobre </w:t>
      </w:r>
      <w:r w:rsidRPr="00517FE1">
        <w:rPr>
          <w:color w:val="auto"/>
          <w:sz w:val="20"/>
        </w:rPr>
        <w:t>2011</w:t>
      </w:r>
      <w:r>
        <w:rPr>
          <w:color w:val="auto"/>
          <w:sz w:val="20"/>
        </w:rPr>
        <w:t xml:space="preserve"> concernant l’information des consommateurs sur les denrées alimentaires (JO L </w:t>
      </w:r>
      <w:r w:rsidRPr="00517FE1">
        <w:rPr>
          <w:color w:val="auto"/>
          <w:sz w:val="20"/>
        </w:rPr>
        <w:t>304</w:t>
      </w:r>
      <w:r>
        <w:rPr>
          <w:color w:val="auto"/>
          <w:sz w:val="20"/>
        </w:rPr>
        <w:t xml:space="preserve"> du </w:t>
      </w:r>
      <w:r w:rsidRPr="00517FE1">
        <w:rPr>
          <w:color w:val="auto"/>
          <w:sz w:val="20"/>
        </w:rPr>
        <w:t>22</w:t>
      </w:r>
      <w:r>
        <w:rPr>
          <w:color w:val="auto"/>
          <w:sz w:val="20"/>
        </w:rPr>
        <w:t>.</w:t>
      </w:r>
      <w:r w:rsidRPr="00517FE1">
        <w:rPr>
          <w:color w:val="auto"/>
          <w:sz w:val="20"/>
        </w:rPr>
        <w:t>11</w:t>
      </w:r>
      <w:r>
        <w:rPr>
          <w:color w:val="auto"/>
          <w:sz w:val="20"/>
        </w:rPr>
        <w:t>.</w:t>
      </w:r>
      <w:r w:rsidRPr="00517FE1">
        <w:rPr>
          <w:color w:val="auto"/>
          <w:sz w:val="20"/>
        </w:rPr>
        <w:t>2011</w:t>
      </w:r>
      <w:r>
        <w:rPr>
          <w:color w:val="auto"/>
          <w:sz w:val="20"/>
        </w:rPr>
        <w:t>, p. </w:t>
      </w:r>
      <w:r w:rsidRPr="00517FE1">
        <w:rPr>
          <w:color w:val="auto"/>
          <w:sz w:val="20"/>
        </w:rPr>
        <w:t>18</w:t>
      </w:r>
      <w:r>
        <w:rPr>
          <w:color w:val="auto"/>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C6D6A"/>
    <w:multiLevelType w:val="hybridMultilevel"/>
    <w:tmpl w:val="B010F498"/>
    <w:lvl w:ilvl="0" w:tplc="03148AB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1C"/>
    <w:rsid w:val="00131AC6"/>
    <w:rsid w:val="001C3806"/>
    <w:rsid w:val="002871F7"/>
    <w:rsid w:val="004D7E1C"/>
    <w:rsid w:val="00680EFD"/>
    <w:rsid w:val="006843AE"/>
    <w:rsid w:val="00B34A98"/>
    <w:rsid w:val="00B65AA4"/>
    <w:rsid w:val="00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55D05-AC90-4624-A100-4F13CDC0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1C"/>
    <w:pPr>
      <w:spacing w:after="240" w:line="240" w:lineRule="auto"/>
      <w:jc w:val="both"/>
    </w:pPr>
    <w:rPr>
      <w:rFonts w:ascii="Courier New" w:eastAsia="Times New Roman" w:hAnsi="Courier New" w:cs="Times New Roman"/>
      <w:sz w:val="24"/>
      <w:szCs w:val="20"/>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D7E1C"/>
    <w:rPr>
      <w:sz w:val="20"/>
    </w:rPr>
  </w:style>
  <w:style w:type="character" w:customStyle="1" w:styleId="CommentTextChar">
    <w:name w:val="Comment Text Char"/>
    <w:basedOn w:val="DefaultParagraphFont"/>
    <w:link w:val="CommentText"/>
    <w:rsid w:val="004D7E1C"/>
    <w:rPr>
      <w:rFonts w:ascii="Courier New" w:eastAsia="Times New Roman" w:hAnsi="Courier New" w:cs="Times New Roman"/>
      <w:sz w:val="20"/>
      <w:szCs w:val="20"/>
      <w:lang w:val="fr-FR" w:eastAsia="fr-FR" w:bidi="fr-FR"/>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4D7E1C"/>
    <w:pPr>
      <w:ind w:left="357" w:hanging="357"/>
    </w:pPr>
    <w:rPr>
      <w:sz w:val="20"/>
    </w:rPr>
  </w:style>
  <w:style w:type="character" w:customStyle="1" w:styleId="FootnoteTextChar">
    <w:name w:val="Footnote Text Char"/>
    <w:basedOn w:val="DefaultParagraphFont"/>
    <w:uiPriority w:val="99"/>
    <w:semiHidden/>
    <w:rsid w:val="004D7E1C"/>
    <w:rPr>
      <w:rFonts w:ascii="Courier New" w:eastAsia="Times New Roman" w:hAnsi="Courier New" w:cs="Times New Roman"/>
      <w:sz w:val="20"/>
      <w:szCs w:val="20"/>
      <w:lang w:val="fr-FR" w:eastAsia="fr-FR" w:bidi="fr-FR"/>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4D7E1C"/>
    <w:rPr>
      <w:vertAlign w:val="superscript"/>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4D7E1C"/>
    <w:rPr>
      <w:rFonts w:ascii="Courier New" w:eastAsia="Times New Roman" w:hAnsi="Courier New" w:cs="Times New Roman"/>
      <w:sz w:val="20"/>
      <w:szCs w:val="20"/>
      <w:lang w:val="fr-FR" w:eastAsia="fr-FR" w:bidi="fr-FR"/>
    </w:rPr>
  </w:style>
  <w:style w:type="paragraph" w:customStyle="1" w:styleId="Default">
    <w:name w:val="Default"/>
    <w:rsid w:val="004D7E1C"/>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bidi="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D7E1C"/>
    <w:pPr>
      <w:spacing w:after="160" w:line="240" w:lineRule="exact"/>
      <w:jc w:val="left"/>
    </w:pPr>
    <w:rPr>
      <w:rFonts w:asciiTheme="minorHAnsi" w:eastAsiaTheme="minorHAnsi" w:hAnsiTheme="minorHAnsi" w:cstheme="minorBidi"/>
      <w:sz w:val="22"/>
      <w:szCs w:val="22"/>
      <w:vertAlign w:val="superscript"/>
      <w:lang w:val="en-GB" w:eastAsia="en-US" w:bidi="ar-SA"/>
    </w:rPr>
  </w:style>
  <w:style w:type="paragraph" w:customStyle="1" w:styleId="ZnakZnak">
    <w:name w:val="Znak Znak"/>
    <w:basedOn w:val="Normal"/>
    <w:uiPriority w:val="99"/>
    <w:rsid w:val="004D7E1C"/>
    <w:pPr>
      <w:spacing w:after="0" w:line="36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1908</Words>
  <Characters>10860</Characters>
  <Application>Microsoft Office Word</Application>
  <DocSecurity>0</DocSecurity>
  <Lines>169</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2019-03-14T09:31:00Z</dcterms:created>
  <dcterms:modified xsi:type="dcterms:W3CDTF">2019-03-14T09:32:00Z</dcterms:modified>
</cp:coreProperties>
</file>